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DC96B8">
      <w:pPr>
        <w:spacing w:line="301" w:lineRule="auto"/>
        <w:rPr>
          <w:rFonts w:ascii="Arial"/>
          <w:sz w:val="21"/>
        </w:rPr>
      </w:pPr>
    </w:p>
    <w:p w14:paraId="6AEECA11">
      <w:pPr>
        <w:spacing w:line="301" w:lineRule="auto"/>
        <w:rPr>
          <w:rFonts w:ascii="Arial"/>
          <w:sz w:val="21"/>
        </w:rPr>
      </w:pPr>
    </w:p>
    <w:p w14:paraId="3C0802D3">
      <w:pPr>
        <w:spacing w:before="156" w:line="204" w:lineRule="auto"/>
        <w:ind w:left="18"/>
        <w:rPr>
          <w:rFonts w:ascii="华文宋体" w:hAnsi="华文宋体" w:eastAsia="华文宋体" w:cs="华文宋体"/>
          <w:sz w:val="43"/>
          <w:szCs w:val="43"/>
        </w:rPr>
      </w:pPr>
      <w:r>
        <w:rPr>
          <w:rFonts w:ascii="华文宋体" w:hAnsi="华文宋体" w:eastAsia="华文宋体" w:cs="华文宋体"/>
          <w:spacing w:val="9"/>
          <w:sz w:val="43"/>
          <w:szCs w:val="43"/>
        </w:rPr>
        <w:t>池州市贵池区人民政府办公室关于印发贵池区</w:t>
      </w:r>
    </w:p>
    <w:p w14:paraId="019405A7">
      <w:pPr>
        <w:spacing w:before="108" w:line="203" w:lineRule="auto"/>
        <w:ind w:left="834"/>
        <w:rPr>
          <w:rFonts w:ascii="华文宋体" w:hAnsi="华文宋体" w:eastAsia="华文宋体" w:cs="华文宋体"/>
          <w:sz w:val="43"/>
          <w:szCs w:val="43"/>
        </w:rPr>
      </w:pPr>
      <w:r>
        <w:rPr>
          <w:rFonts w:ascii="华文宋体" w:hAnsi="华文宋体" w:eastAsia="华文宋体" w:cs="华文宋体"/>
          <w:spacing w:val="9"/>
          <w:sz w:val="43"/>
          <w:szCs w:val="43"/>
        </w:rPr>
        <w:t>2026年城乡居民基本医疗保险费征缴</w:t>
      </w:r>
    </w:p>
    <w:p w14:paraId="6EBD2D89">
      <w:pPr>
        <w:spacing w:before="111" w:line="203" w:lineRule="auto"/>
        <w:ind w:left="2438"/>
        <w:rPr>
          <w:rFonts w:ascii="华文宋体" w:hAnsi="华文宋体" w:eastAsia="华文宋体" w:cs="华文宋体"/>
          <w:sz w:val="43"/>
          <w:szCs w:val="43"/>
        </w:rPr>
      </w:pPr>
      <w:r>
        <w:rPr>
          <w:rFonts w:ascii="华文宋体" w:hAnsi="华文宋体" w:eastAsia="华文宋体" w:cs="华文宋体"/>
          <w:spacing w:val="8"/>
          <w:sz w:val="43"/>
          <w:szCs w:val="43"/>
        </w:rPr>
        <w:t>工作实施方案的通知</w:t>
      </w:r>
    </w:p>
    <w:p w14:paraId="7BD3A830">
      <w:pPr>
        <w:pStyle w:val="2"/>
        <w:spacing w:before="170" w:line="229" w:lineRule="auto"/>
        <w:ind w:right="21"/>
        <w:jc w:val="center"/>
      </w:pPr>
      <w:r>
        <w:rPr>
          <w:spacing w:val="5"/>
        </w:rPr>
        <w:t>贵政办秘〔2025〕37号</w:t>
      </w:r>
    </w:p>
    <w:p w14:paraId="6CD54CE4">
      <w:pPr>
        <w:spacing w:line="314" w:lineRule="auto"/>
        <w:rPr>
          <w:rFonts w:ascii="Arial"/>
          <w:sz w:val="21"/>
        </w:rPr>
      </w:pPr>
    </w:p>
    <w:p w14:paraId="3423B92F">
      <w:pPr>
        <w:spacing w:line="315" w:lineRule="auto"/>
        <w:rPr>
          <w:rFonts w:ascii="Arial"/>
          <w:sz w:val="21"/>
        </w:rPr>
      </w:pPr>
    </w:p>
    <w:p w14:paraId="3606F2D8">
      <w:pPr>
        <w:pStyle w:val="2"/>
        <w:spacing w:before="102" w:line="350" w:lineRule="auto"/>
        <w:ind w:left="11" w:right="40" w:hanging="11"/>
      </w:pPr>
      <w:r>
        <w:rPr>
          <w:spacing w:val="5"/>
        </w:rPr>
        <w:t>各镇人民政府、街道办事处，池州高新区、杏花村文化旅游区管</w:t>
      </w:r>
      <w:r>
        <w:rPr>
          <w:spacing w:val="4"/>
        </w:rPr>
        <w:t>委会，区政府各部门、各直属机构：</w:t>
      </w:r>
    </w:p>
    <w:p w14:paraId="4E3DF1A4">
      <w:pPr>
        <w:pStyle w:val="2"/>
        <w:spacing w:before="2" w:line="351" w:lineRule="auto"/>
        <w:ind w:left="13" w:right="42" w:firstLine="625"/>
      </w:pPr>
      <w:r>
        <w:rPr>
          <w:spacing w:val="8"/>
        </w:rPr>
        <w:t>经区政府同意，现将《贵池区2026年城乡居民基本医疗保</w:t>
      </w:r>
      <w:r>
        <w:rPr>
          <w:spacing w:val="7"/>
        </w:rPr>
        <w:t>险费征缴工作实施方案》印发给你们，请认真贯彻执行。</w:t>
      </w:r>
    </w:p>
    <w:p w14:paraId="4F21DFC7">
      <w:pPr>
        <w:spacing w:line="276" w:lineRule="auto"/>
        <w:rPr>
          <w:rFonts w:ascii="Arial"/>
          <w:sz w:val="21"/>
        </w:rPr>
      </w:pPr>
    </w:p>
    <w:p w14:paraId="40FF578E">
      <w:pPr>
        <w:spacing w:line="276" w:lineRule="auto"/>
        <w:rPr>
          <w:rFonts w:ascii="Arial"/>
          <w:sz w:val="21"/>
        </w:rPr>
      </w:pPr>
    </w:p>
    <w:p w14:paraId="7E2F82B3">
      <w:pPr>
        <w:spacing w:line="277" w:lineRule="auto"/>
        <w:rPr>
          <w:rFonts w:ascii="Arial"/>
          <w:sz w:val="21"/>
        </w:rPr>
      </w:pPr>
    </w:p>
    <w:p w14:paraId="4F5D6928">
      <w:pPr>
        <w:spacing w:line="277" w:lineRule="auto"/>
        <w:rPr>
          <w:rFonts w:ascii="Arial"/>
          <w:sz w:val="21"/>
        </w:rPr>
      </w:pPr>
    </w:p>
    <w:p w14:paraId="11951353">
      <w:pPr>
        <w:spacing w:line="277" w:lineRule="auto"/>
        <w:rPr>
          <w:rFonts w:ascii="Arial"/>
          <w:sz w:val="21"/>
        </w:rPr>
      </w:pPr>
    </w:p>
    <w:p w14:paraId="1A220EC0">
      <w:pPr>
        <w:spacing w:line="277" w:lineRule="auto"/>
        <w:rPr>
          <w:rFonts w:ascii="Arial"/>
          <w:sz w:val="21"/>
        </w:rPr>
      </w:pPr>
    </w:p>
    <w:p w14:paraId="4FD84872">
      <w:pPr>
        <w:pStyle w:val="2"/>
        <w:spacing w:before="101" w:line="228" w:lineRule="auto"/>
        <w:ind w:left="4917"/>
        <w:jc w:val="right"/>
        <w:rPr>
          <w:rFonts w:hint="eastAsia"/>
          <w:spacing w:val="-6"/>
          <w:lang w:val="en-US" w:eastAsia="zh-CN"/>
        </w:rPr>
      </w:pPr>
      <w:r>
        <w:rPr>
          <w:rFonts w:hint="eastAsia"/>
          <w:spacing w:val="-6"/>
          <w:lang w:val="en-US" w:eastAsia="zh-CN"/>
        </w:rPr>
        <w:t>贵池区人民政府办公室</w:t>
      </w:r>
    </w:p>
    <w:p w14:paraId="236590AE">
      <w:pPr>
        <w:pStyle w:val="2"/>
        <w:wordWrap w:val="0"/>
        <w:spacing w:before="101" w:line="228" w:lineRule="auto"/>
        <w:ind w:left="4917"/>
        <w:jc w:val="right"/>
        <w:rPr>
          <w:rFonts w:hint="default" w:eastAsia="仿宋"/>
          <w:lang w:val="en-US" w:eastAsia="zh-CN"/>
        </w:rPr>
      </w:pPr>
      <w:r>
        <w:rPr>
          <w:spacing w:val="-6"/>
        </w:rPr>
        <w:t>2025年10月23日</w:t>
      </w:r>
      <w:r>
        <w:rPr>
          <w:rFonts w:hint="eastAsia"/>
          <w:spacing w:val="-6"/>
          <w:lang w:val="en-US" w:eastAsia="zh-CN"/>
        </w:rPr>
        <w:t xml:space="preserve">   </w:t>
      </w:r>
      <w:bookmarkStart w:id="0" w:name="_GoBack"/>
      <w:bookmarkEnd w:id="0"/>
    </w:p>
    <w:p w14:paraId="301097F8">
      <w:pPr>
        <w:pStyle w:val="2"/>
        <w:spacing w:before="207" w:line="226" w:lineRule="auto"/>
        <w:ind w:left="643"/>
      </w:pPr>
      <w:r>
        <w:rPr>
          <w:spacing w:val="5"/>
        </w:rPr>
        <w:t>（此件公开发布）</w:t>
      </w:r>
    </w:p>
    <w:p w14:paraId="127C0F27">
      <w:pPr>
        <w:spacing w:line="226" w:lineRule="auto"/>
        <w:sectPr>
          <w:footerReference r:id="rId5" w:type="default"/>
          <w:pgSz w:w="11906" w:h="16838"/>
          <w:pgMar w:top="1431" w:right="1489" w:bottom="985" w:left="1553" w:header="0" w:footer="895" w:gutter="0"/>
          <w:cols w:space="720" w:num="1"/>
        </w:sectPr>
      </w:pPr>
    </w:p>
    <w:p w14:paraId="3FBA105B">
      <w:pPr>
        <w:spacing w:line="316" w:lineRule="auto"/>
        <w:rPr>
          <w:rFonts w:ascii="Arial"/>
          <w:sz w:val="21"/>
        </w:rPr>
      </w:pPr>
    </w:p>
    <w:p w14:paraId="691B31AA">
      <w:pPr>
        <w:spacing w:line="316" w:lineRule="auto"/>
        <w:rPr>
          <w:rFonts w:ascii="Arial"/>
          <w:sz w:val="21"/>
        </w:rPr>
      </w:pPr>
    </w:p>
    <w:p w14:paraId="611932CF">
      <w:pPr>
        <w:spacing w:before="157" w:line="203" w:lineRule="auto"/>
        <w:ind w:left="576"/>
        <w:rPr>
          <w:rFonts w:ascii="华文宋体" w:hAnsi="华文宋体" w:eastAsia="华文宋体" w:cs="华文宋体"/>
          <w:sz w:val="43"/>
          <w:szCs w:val="43"/>
        </w:rPr>
      </w:pPr>
      <w:r>
        <w:rPr>
          <w:rFonts w:ascii="华文宋体" w:hAnsi="华文宋体" w:eastAsia="华文宋体" w:cs="华文宋体"/>
          <w:spacing w:val="9"/>
          <w:sz w:val="43"/>
          <w:szCs w:val="43"/>
        </w:rPr>
        <w:t>贵池区2026年城乡居民基本医疗保险费</w:t>
      </w:r>
    </w:p>
    <w:p w14:paraId="4B7048BF">
      <w:pPr>
        <w:spacing w:before="60" w:line="203" w:lineRule="auto"/>
        <w:ind w:left="2667"/>
        <w:rPr>
          <w:rFonts w:ascii="华文宋体" w:hAnsi="华文宋体" w:eastAsia="华文宋体" w:cs="华文宋体"/>
          <w:sz w:val="43"/>
          <w:szCs w:val="43"/>
        </w:rPr>
      </w:pPr>
      <w:r>
        <w:rPr>
          <w:rFonts w:ascii="华文宋体" w:hAnsi="华文宋体" w:eastAsia="华文宋体" w:cs="华文宋体"/>
          <w:spacing w:val="8"/>
          <w:sz w:val="43"/>
          <w:szCs w:val="43"/>
        </w:rPr>
        <w:t>征缴工作实施方案</w:t>
      </w:r>
    </w:p>
    <w:p w14:paraId="144B9DC5">
      <w:pPr>
        <w:spacing w:line="307" w:lineRule="auto"/>
        <w:rPr>
          <w:rFonts w:ascii="Arial"/>
          <w:sz w:val="21"/>
        </w:rPr>
      </w:pPr>
    </w:p>
    <w:p w14:paraId="05C4A515">
      <w:pPr>
        <w:spacing w:line="308" w:lineRule="auto"/>
        <w:rPr>
          <w:rFonts w:ascii="Arial"/>
          <w:sz w:val="21"/>
        </w:rPr>
      </w:pPr>
    </w:p>
    <w:p w14:paraId="366A146E">
      <w:pPr>
        <w:pStyle w:val="2"/>
        <w:spacing w:before="100" w:line="352" w:lineRule="auto"/>
        <w:ind w:left="13" w:right="2" w:firstLine="652"/>
        <w:jc w:val="both"/>
      </w:pPr>
      <w:r>
        <w:rPr>
          <w:spacing w:val="4"/>
        </w:rPr>
        <w:t>为切实做好城乡居民基本医疗保险费筹资工作，提高城乡居</w:t>
      </w:r>
      <w:r>
        <w:rPr>
          <w:spacing w:val="5"/>
        </w:rPr>
        <w:t>民参保水平，根据省医疗保障局、省财政厅、省税务局《关于做</w:t>
      </w:r>
      <w:r>
        <w:rPr>
          <w:spacing w:val="6"/>
        </w:rPr>
        <w:t>好2025年城乡居民医疗保障工作的通知》（皖医保发〔2025〕</w:t>
      </w:r>
      <w:r>
        <w:rPr>
          <w:spacing w:val="5"/>
        </w:rPr>
        <w:t>17号）要求，现结合我区实际，制定本方案。</w:t>
      </w:r>
    </w:p>
    <w:p w14:paraId="42394962">
      <w:pPr>
        <w:spacing w:line="227" w:lineRule="auto"/>
        <w:ind w:left="650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一、指导思想与工作目标</w:t>
      </w:r>
    </w:p>
    <w:p w14:paraId="483FDCEC">
      <w:pPr>
        <w:pStyle w:val="2"/>
        <w:spacing w:before="168" w:line="328" w:lineRule="auto"/>
        <w:ind w:left="12" w:firstLine="663"/>
      </w:pPr>
      <w:r>
        <w:rPr>
          <w:rFonts w:ascii="华文楷体" w:hAnsi="华文楷体" w:eastAsia="华文楷体" w:cs="华文楷体"/>
          <w:spacing w:val="1"/>
        </w:rPr>
        <w:t>（一）指导思想。</w:t>
      </w:r>
      <w:r>
        <w:rPr>
          <w:spacing w:val="1"/>
        </w:rPr>
        <w:t>以保障和改善民生为出发点，</w:t>
      </w:r>
      <w:r>
        <w:t>坚持“全覆</w:t>
      </w:r>
      <w:r>
        <w:rPr>
          <w:spacing w:val="3"/>
        </w:rPr>
        <w:t>盖、保基本、多层次、可持续”的方针，按照“政府主导、部门协作、镇街组织、村居代办、税务征收、多元缴费”的原则，强</w:t>
      </w:r>
      <w:r>
        <w:rPr>
          <w:spacing w:val="5"/>
        </w:rPr>
        <w:t>化组织领导，明确职责分工，优化缴费服务，加大宣传力度，确保我区城乡居民医保征缴工作有序、高效、规范开展，切实维护广大人民群众的医疗保障权益。</w:t>
      </w:r>
    </w:p>
    <w:p w14:paraId="06D02FB8">
      <w:pPr>
        <w:pStyle w:val="2"/>
        <w:spacing w:before="166" w:line="317" w:lineRule="auto"/>
        <w:ind w:left="13" w:right="2" w:firstLine="662"/>
      </w:pPr>
      <w:r>
        <w:rPr>
          <w:rFonts w:ascii="华文楷体" w:hAnsi="华文楷体" w:eastAsia="华文楷体" w:cs="华文楷体"/>
          <w:spacing w:val="8"/>
        </w:rPr>
        <w:t>（二）工作目标。</w:t>
      </w:r>
      <w:r>
        <w:rPr>
          <w:spacing w:val="8"/>
        </w:rPr>
        <w:t>确保在规定时间内，全面完成我区2026</w:t>
      </w:r>
      <w:r>
        <w:rPr>
          <w:spacing w:val="5"/>
        </w:rPr>
        <w:t>年度城乡居民医保参保缴费目标任务，实现符合参保条件的城乡居民应保尽保、应缴尽缴，持续巩固扩大参保覆盖面，提升医疗</w:t>
      </w:r>
      <w:r>
        <w:rPr>
          <w:spacing w:val="-3"/>
        </w:rPr>
        <w:t>保障水平。</w:t>
      </w:r>
    </w:p>
    <w:p w14:paraId="5FD3A7BB">
      <w:pPr>
        <w:spacing w:before="210" w:line="227" w:lineRule="auto"/>
        <w:ind w:left="650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二、参保范围与筹资标准</w:t>
      </w:r>
    </w:p>
    <w:p w14:paraId="3821D7C8">
      <w:pPr>
        <w:pStyle w:val="2"/>
        <w:spacing w:before="168" w:line="340" w:lineRule="auto"/>
        <w:ind w:left="14" w:right="1" w:firstLine="661"/>
        <w:jc w:val="both"/>
      </w:pPr>
      <w:r>
        <w:rPr>
          <w:rFonts w:ascii="华文楷体" w:hAnsi="华文楷体" w:eastAsia="华文楷体" w:cs="华文楷体"/>
          <w:spacing w:val="4"/>
        </w:rPr>
        <w:t>（一）参保范围。</w:t>
      </w:r>
      <w:r>
        <w:rPr>
          <w:spacing w:val="4"/>
        </w:rPr>
        <w:t>具有本区户籍且未参加城镇职工</w:t>
      </w:r>
      <w:r>
        <w:rPr>
          <w:spacing w:val="3"/>
        </w:rPr>
        <w:t>基本医疗</w:t>
      </w:r>
      <w:r>
        <w:rPr>
          <w:spacing w:val="5"/>
        </w:rPr>
        <w:t>保险的城乡居民；在本区长期居住且未在原籍参加基本医疗</w:t>
      </w:r>
      <w:r>
        <w:rPr>
          <w:spacing w:val="4"/>
        </w:rPr>
        <w:t>保险</w:t>
      </w:r>
      <w:r>
        <w:rPr>
          <w:spacing w:val="5"/>
        </w:rPr>
        <w:t>的非本区户籍人员；本区内各类全日制普通高等学校、中等职业</w:t>
      </w:r>
    </w:p>
    <w:p w14:paraId="2924EC48">
      <w:pPr>
        <w:spacing w:line="340" w:lineRule="auto"/>
        <w:sectPr>
          <w:footerReference r:id="rId6" w:type="default"/>
          <w:pgSz w:w="11906" w:h="16838"/>
          <w:pgMar w:top="1431" w:right="1528" w:bottom="1161" w:left="1538" w:header="0" w:footer="792" w:gutter="0"/>
          <w:cols w:space="720" w:num="1"/>
        </w:sectPr>
      </w:pPr>
    </w:p>
    <w:p w14:paraId="11591B87">
      <w:pPr>
        <w:spacing w:line="253" w:lineRule="auto"/>
        <w:rPr>
          <w:rFonts w:ascii="Arial"/>
          <w:sz w:val="21"/>
        </w:rPr>
      </w:pPr>
    </w:p>
    <w:p w14:paraId="3486DBD9">
      <w:pPr>
        <w:spacing w:line="253" w:lineRule="auto"/>
        <w:rPr>
          <w:rFonts w:ascii="Arial"/>
          <w:sz w:val="21"/>
        </w:rPr>
      </w:pPr>
    </w:p>
    <w:p w14:paraId="1D0CA1D1">
      <w:pPr>
        <w:spacing w:line="254" w:lineRule="auto"/>
        <w:rPr>
          <w:rFonts w:ascii="Arial"/>
          <w:sz w:val="21"/>
        </w:rPr>
      </w:pPr>
    </w:p>
    <w:p w14:paraId="65A6025D">
      <w:pPr>
        <w:pStyle w:val="2"/>
        <w:spacing w:before="101" w:line="339" w:lineRule="auto"/>
        <w:ind w:left="39" w:right="16" w:hanging="18"/>
      </w:pPr>
      <w:r>
        <w:rPr>
          <w:spacing w:val="-7"/>
        </w:rPr>
        <w:t>学校、中小学校的在册学生、托幼机构在园幼儿（含非本区户籍</w:t>
      </w:r>
      <w:r>
        <w:rPr>
          <w:spacing w:val="-80"/>
          <w:w w:val="91"/>
        </w:rPr>
        <w:t>）；</w:t>
      </w:r>
      <w:r>
        <w:rPr>
          <w:spacing w:val="4"/>
        </w:rPr>
        <w:t>以及国家、省、市规定的其他人员。</w:t>
      </w:r>
    </w:p>
    <w:p w14:paraId="1EB8EE98">
      <w:pPr>
        <w:pStyle w:val="2"/>
        <w:spacing w:before="4" w:line="347" w:lineRule="auto"/>
        <w:ind w:left="6" w:firstLine="663"/>
        <w:jc w:val="both"/>
      </w:pPr>
      <w:r>
        <w:rPr>
          <w:rFonts w:ascii="华文楷体" w:hAnsi="华文楷体" w:eastAsia="华文楷体" w:cs="华文楷体"/>
          <w:spacing w:val="2"/>
        </w:rPr>
        <w:t>（二）筹资标准。</w:t>
      </w:r>
      <w:r>
        <w:rPr>
          <w:spacing w:val="2"/>
        </w:rPr>
        <w:t>2026年居民医保个人缴费标准</w:t>
      </w:r>
      <w:r>
        <w:rPr>
          <w:spacing w:val="1"/>
        </w:rPr>
        <w:t>为每人400</w:t>
      </w:r>
      <w:r>
        <w:rPr>
          <w:spacing w:val="-2"/>
        </w:rPr>
        <w:t>元，各级财政补助标准按照国家、省、市规定执行</w:t>
      </w:r>
      <w:r>
        <w:rPr>
          <w:spacing w:val="-3"/>
        </w:rPr>
        <w:t>。对特困人员、</w:t>
      </w:r>
      <w:r>
        <w:rPr>
          <w:spacing w:val="12"/>
        </w:rPr>
        <w:t>低保对象、返贫致贫人口、重度残疾人、退捕渔民、80周岁及</w:t>
      </w:r>
      <w:r>
        <w:rPr>
          <w:spacing w:val="5"/>
        </w:rPr>
        <w:t>以上老年人口等困难群众，其个人缴费部分按规定由政府给予全</w:t>
      </w:r>
      <w:r>
        <w:rPr>
          <w:spacing w:val="8"/>
        </w:rPr>
        <w:t>额或定额资助。具体资助政策和标准为：</w:t>
      </w:r>
    </w:p>
    <w:p w14:paraId="66F0C4F9">
      <w:pPr>
        <w:pStyle w:val="2"/>
        <w:spacing w:before="3" w:line="311" w:lineRule="auto"/>
        <w:ind w:left="9" w:right="104" w:firstLine="651"/>
      </w:pPr>
      <w:r>
        <w:rPr>
          <w:spacing w:val="-4"/>
        </w:rPr>
        <w:t>1.特困供养人员、“百岁”老人（即1925年12月31日前</w:t>
      </w:r>
      <w:r>
        <w:rPr>
          <w:spacing w:val="5"/>
        </w:rPr>
        <w:t>出生）享受政府全额资助参保，其个人缴费部分由区财政</w:t>
      </w:r>
      <w:r>
        <w:rPr>
          <w:spacing w:val="4"/>
        </w:rPr>
        <w:t>全额承</w:t>
      </w:r>
      <w:r>
        <w:rPr>
          <w:spacing w:val="-14"/>
        </w:rPr>
        <w:t>担。</w:t>
      </w:r>
    </w:p>
    <w:p w14:paraId="5CC7B900">
      <w:pPr>
        <w:pStyle w:val="2"/>
        <w:spacing w:before="202" w:line="290" w:lineRule="auto"/>
        <w:ind w:left="12" w:right="105" w:firstLine="629"/>
      </w:pPr>
      <w:r>
        <w:rPr>
          <w:spacing w:val="6"/>
        </w:rPr>
        <w:t>2.低保对象、重点优抚对象给予90%定额资助，本年度其个</w:t>
      </w:r>
      <w:r>
        <w:rPr>
          <w:spacing w:val="3"/>
        </w:rPr>
        <w:t>人缴费部分区财政承担360元、个人缴纳40元。</w:t>
      </w:r>
    </w:p>
    <w:p w14:paraId="6C18CA10">
      <w:pPr>
        <w:pStyle w:val="2"/>
        <w:spacing w:before="208" w:line="290" w:lineRule="auto"/>
        <w:ind w:left="34" w:right="102" w:firstLine="609"/>
      </w:pPr>
      <w:r>
        <w:rPr>
          <w:spacing w:val="6"/>
        </w:rPr>
        <w:t>3.返贫致贫人口给予80%定额资助，本年度其个人缴费部分</w:t>
      </w:r>
      <w:r>
        <w:rPr>
          <w:spacing w:val="-1"/>
        </w:rPr>
        <w:t>区财政承担320元、个人缴纳80元。</w:t>
      </w:r>
    </w:p>
    <w:p w14:paraId="6BF16CA4">
      <w:pPr>
        <w:pStyle w:val="2"/>
        <w:spacing w:before="204" w:line="321" w:lineRule="auto"/>
        <w:ind w:right="102" w:firstLine="636"/>
      </w:pPr>
      <w:r>
        <w:rPr>
          <w:spacing w:val="5"/>
        </w:rPr>
        <w:t>4.建档立卡退捕渔民（含升金湖禁捕退捕渔民）、计</w:t>
      </w:r>
      <w:r>
        <w:rPr>
          <w:spacing w:val="4"/>
        </w:rPr>
        <w:t>划生育</w:t>
      </w:r>
      <w:r>
        <w:rPr>
          <w:spacing w:val="17"/>
        </w:rPr>
        <w:t>特殊困难家庭、重度残疾人（指残疾等级为一级、二级</w:t>
      </w:r>
      <w:r>
        <w:rPr>
          <w:spacing w:val="16"/>
        </w:rPr>
        <w:t>）给予</w:t>
      </w:r>
      <w:r>
        <w:rPr>
          <w:spacing w:val="11"/>
        </w:rPr>
        <w:t>60%定额资助，本年度个人缴费部分区财政承担240元、个人缴</w:t>
      </w:r>
      <w:r>
        <w:rPr>
          <w:spacing w:val="-10"/>
        </w:rPr>
        <w:t>纳160元。</w:t>
      </w:r>
    </w:p>
    <w:p w14:paraId="20CD7929">
      <w:pPr>
        <w:pStyle w:val="2"/>
        <w:spacing w:before="205" w:line="310" w:lineRule="auto"/>
        <w:ind w:left="7" w:right="105" w:firstLine="637"/>
      </w:pPr>
      <w:r>
        <w:rPr>
          <w:spacing w:val="-3"/>
        </w:rPr>
        <w:t>5.80周岁及以上老年人口（即1945年12月31日前出生且</w:t>
      </w:r>
      <w:r>
        <w:rPr>
          <w:spacing w:val="3"/>
        </w:rPr>
        <w:t>户籍在贵池区）给予200元定额资助，本年度个人缴费部分区财</w:t>
      </w:r>
      <w:r>
        <w:t>政承担200元，个人缴纳200元。</w:t>
      </w:r>
    </w:p>
    <w:p w14:paraId="6756307C">
      <w:pPr>
        <w:pStyle w:val="2"/>
        <w:spacing w:before="206" w:line="229" w:lineRule="auto"/>
        <w:ind w:left="640"/>
      </w:pPr>
      <w:r>
        <w:rPr>
          <w:spacing w:val="6"/>
        </w:rPr>
        <w:t>6.防止返贫监测对象给予50%定额资助，区财政、个人各承</w:t>
      </w:r>
    </w:p>
    <w:p w14:paraId="40CAA047">
      <w:pPr>
        <w:spacing w:line="229" w:lineRule="auto"/>
        <w:sectPr>
          <w:footerReference r:id="rId7" w:type="default"/>
          <w:pgSz w:w="11906" w:h="16838"/>
          <w:pgMar w:top="1431" w:right="1427" w:bottom="1161" w:left="1544" w:header="0" w:footer="794" w:gutter="0"/>
          <w:cols w:space="720" w:num="1"/>
        </w:sectPr>
      </w:pPr>
    </w:p>
    <w:p w14:paraId="7EF3EB1D">
      <w:pPr>
        <w:spacing w:line="253" w:lineRule="auto"/>
        <w:rPr>
          <w:rFonts w:ascii="Arial"/>
          <w:sz w:val="21"/>
        </w:rPr>
      </w:pPr>
    </w:p>
    <w:p w14:paraId="09EDC51E">
      <w:pPr>
        <w:spacing w:line="253" w:lineRule="auto"/>
        <w:rPr>
          <w:rFonts w:ascii="Arial"/>
          <w:sz w:val="21"/>
        </w:rPr>
      </w:pPr>
    </w:p>
    <w:p w14:paraId="5A51B6EF">
      <w:pPr>
        <w:spacing w:line="254" w:lineRule="auto"/>
        <w:rPr>
          <w:rFonts w:ascii="Arial"/>
          <w:sz w:val="21"/>
        </w:rPr>
      </w:pPr>
    </w:p>
    <w:p w14:paraId="06839538">
      <w:pPr>
        <w:pStyle w:val="2"/>
        <w:spacing w:before="101" w:line="231" w:lineRule="auto"/>
        <w:ind w:left="16"/>
      </w:pPr>
      <w:r>
        <w:rPr>
          <w:spacing w:val="-8"/>
        </w:rPr>
        <w:t>担200元。</w:t>
      </w:r>
    </w:p>
    <w:p w14:paraId="717BD49F">
      <w:pPr>
        <w:pStyle w:val="2"/>
        <w:spacing w:before="202" w:line="320" w:lineRule="auto"/>
        <w:ind w:left="13" w:right="85" w:firstLine="638"/>
      </w:pPr>
      <w:r>
        <w:rPr>
          <w:spacing w:val="4"/>
        </w:rPr>
        <w:t>7.池州市区大中专学生，属于特困供养人员（孤儿）、低保</w:t>
      </w:r>
      <w:r>
        <w:rPr>
          <w:spacing w:val="5"/>
        </w:rPr>
        <w:t>对象、返贫致贫人口、重度残疾人（一级、二级）和防止返贫监</w:t>
      </w:r>
      <w:r>
        <w:rPr>
          <w:spacing w:val="8"/>
        </w:rPr>
        <w:t>测对象在贵池参加2025年城乡居民基本医保，可享受贵池区城</w:t>
      </w:r>
      <w:r>
        <w:rPr>
          <w:spacing w:val="7"/>
        </w:rPr>
        <w:t>乡居民资助参保同类型同等待遇。</w:t>
      </w:r>
    </w:p>
    <w:p w14:paraId="737897BE">
      <w:pPr>
        <w:pStyle w:val="2"/>
        <w:spacing w:before="210" w:line="289" w:lineRule="auto"/>
        <w:ind w:left="17" w:right="87" w:firstLine="628"/>
      </w:pPr>
      <w:r>
        <w:rPr>
          <w:spacing w:val="5"/>
        </w:rPr>
        <w:t>8.对符合政府资助参保多项条件的，以享受其中</w:t>
      </w:r>
      <w:r>
        <w:rPr>
          <w:spacing w:val="4"/>
        </w:rPr>
        <w:t>一项最高标</w:t>
      </w:r>
      <w:r>
        <w:rPr>
          <w:spacing w:val="-5"/>
        </w:rPr>
        <w:t>准执行。</w:t>
      </w:r>
    </w:p>
    <w:p w14:paraId="09FD5D08">
      <w:pPr>
        <w:pStyle w:val="2"/>
        <w:spacing w:before="207" w:line="331" w:lineRule="auto"/>
        <w:ind w:left="11" w:right="87" w:firstLine="634"/>
      </w:pPr>
      <w:r>
        <w:rPr>
          <w:spacing w:val="5"/>
        </w:rPr>
        <w:t>9.年度内，因动态退出或救助身份类型变动影响</w:t>
      </w:r>
      <w:r>
        <w:rPr>
          <w:spacing w:val="4"/>
        </w:rPr>
        <w:t>资助标准变</w:t>
      </w:r>
      <w:r>
        <w:rPr>
          <w:spacing w:val="5"/>
        </w:rPr>
        <w:t>化的已参保缴费医疗救助对象，个人已享受的资助参保补贴不调整。集中参保期外动态新增的已参保缴费医疗救助对象，次年起落实相应参保资助政策；未参保缴费的，实行随参随缴，落实参保资助政策。经反复动员后，因个人原因未参加基本医保的医疗</w:t>
      </w:r>
      <w:r>
        <w:rPr>
          <w:spacing w:val="7"/>
        </w:rPr>
        <w:t>救助对象，不纳入医疗救助范围。</w:t>
      </w:r>
    </w:p>
    <w:p w14:paraId="211F71EE">
      <w:pPr>
        <w:pStyle w:val="2"/>
        <w:spacing w:before="173" w:line="349" w:lineRule="auto"/>
        <w:ind w:left="7" w:firstLine="668"/>
        <w:jc w:val="both"/>
      </w:pPr>
      <w:r>
        <w:rPr>
          <w:rFonts w:ascii="华文楷体" w:hAnsi="华文楷体" w:eastAsia="华文楷体" w:cs="华文楷体"/>
          <w:spacing w:val="5"/>
        </w:rPr>
        <w:t>（三）缴费期与待遇享受期。</w:t>
      </w:r>
      <w:r>
        <w:rPr>
          <w:spacing w:val="5"/>
        </w:rPr>
        <w:t>集中征缴期为2025年10月</w:t>
      </w:r>
      <w:r>
        <w:rPr>
          <w:spacing w:val="-9"/>
        </w:rPr>
        <w:t>20日至12月31日。原则上，在2025年底前完成居民医保缴费，</w:t>
      </w:r>
      <w:r>
        <w:rPr>
          <w:spacing w:val="-4"/>
        </w:rPr>
        <w:t>其待遇保障周期为2026年1月1日至12月31日；鉴于外出务</w:t>
      </w:r>
      <w:r>
        <w:rPr>
          <w:spacing w:val="12"/>
        </w:rPr>
        <w:t>工人员春节集中返乡的实际，该群体的征缴时间可延长到2026</w:t>
      </w:r>
      <w:r>
        <w:rPr>
          <w:spacing w:val="-9"/>
        </w:rPr>
        <w:t>年2月底，在2026年1月1日至2月底前缴费的外出务工人员，</w:t>
      </w:r>
      <w:r>
        <w:rPr>
          <w:spacing w:val="5"/>
        </w:rPr>
        <w:t>自参保缴费次日起享受待遇。按照《国务院办公厅关于健全基本</w:t>
      </w:r>
      <w:r>
        <w:rPr>
          <w:spacing w:val="10"/>
        </w:rPr>
        <w:t>医疗保险参保长效机制的指导意见》（国办发〔2024〕38号）</w:t>
      </w:r>
      <w:r>
        <w:rPr>
          <w:spacing w:val="5"/>
        </w:rPr>
        <w:t>及我省实施意见要求，对连续参保人员和中断缴费人员分别实行</w:t>
      </w:r>
      <w:r>
        <w:rPr>
          <w:spacing w:val="4"/>
        </w:rPr>
        <w:t>相应的激励和约束措施。</w:t>
      </w:r>
    </w:p>
    <w:p w14:paraId="66B17EAE">
      <w:pPr>
        <w:spacing w:line="349" w:lineRule="auto"/>
        <w:sectPr>
          <w:footerReference r:id="rId8" w:type="default"/>
          <w:pgSz w:w="11906" w:h="16838"/>
          <w:pgMar w:top="1431" w:right="1442" w:bottom="1161" w:left="1538" w:header="0" w:footer="792" w:gutter="0"/>
          <w:cols w:space="720" w:num="1"/>
        </w:sectPr>
      </w:pPr>
    </w:p>
    <w:p w14:paraId="03935E7C">
      <w:pPr>
        <w:spacing w:line="253" w:lineRule="auto"/>
        <w:rPr>
          <w:rFonts w:ascii="Arial"/>
          <w:sz w:val="21"/>
        </w:rPr>
      </w:pPr>
    </w:p>
    <w:p w14:paraId="4F7661D4">
      <w:pPr>
        <w:spacing w:line="254" w:lineRule="auto"/>
        <w:rPr>
          <w:rFonts w:ascii="Arial"/>
          <w:sz w:val="21"/>
        </w:rPr>
      </w:pPr>
    </w:p>
    <w:p w14:paraId="320B2F16">
      <w:pPr>
        <w:spacing w:line="254" w:lineRule="auto"/>
        <w:rPr>
          <w:rFonts w:ascii="Arial"/>
          <w:sz w:val="21"/>
        </w:rPr>
      </w:pPr>
    </w:p>
    <w:p w14:paraId="7B4D202F">
      <w:pPr>
        <w:spacing w:before="100" w:line="227" w:lineRule="auto"/>
        <w:ind w:left="638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三、特殊参保政策</w:t>
      </w:r>
    </w:p>
    <w:p w14:paraId="08CFC896">
      <w:pPr>
        <w:pStyle w:val="2"/>
        <w:spacing w:before="211" w:line="309" w:lineRule="auto"/>
        <w:ind w:right="58" w:firstLine="654"/>
      </w:pPr>
      <w:r>
        <w:t>1.实行“新生儿”落地参保，出生90天内参保缴费的，自</w:t>
      </w:r>
      <w:r>
        <w:rPr>
          <w:spacing w:val="5"/>
        </w:rPr>
        <w:t>出生之日起享受医保待遇；超过90天参保缴费的，自参保缴费</w:t>
      </w:r>
      <w:r>
        <w:rPr>
          <w:spacing w:val="4"/>
        </w:rPr>
        <w:t>次日起享受医保待遇。</w:t>
      </w:r>
    </w:p>
    <w:p w14:paraId="50353D79">
      <w:pPr>
        <w:pStyle w:val="2"/>
        <w:spacing w:before="207" w:line="334" w:lineRule="auto"/>
        <w:ind w:left="3" w:right="55" w:firstLine="630"/>
      </w:pPr>
      <w:r>
        <w:rPr>
          <w:spacing w:val="14"/>
        </w:rPr>
        <w:t>2.当年退出现役的军人及随迁的由部队保障的随军未就业</w:t>
      </w:r>
      <w:r>
        <w:rPr>
          <w:spacing w:val="5"/>
        </w:rPr>
        <w:t>配偶，动态新增的特困人员、低保对象、返贫致贫人口等救</w:t>
      </w:r>
      <w:r>
        <w:rPr>
          <w:spacing w:val="4"/>
        </w:rPr>
        <w:t>助对</w:t>
      </w:r>
      <w:r>
        <w:rPr>
          <w:spacing w:val="5"/>
        </w:rPr>
        <w:t>象，以及刑满释放等退出其他制度保障的人员，分别自退役</w:t>
      </w:r>
      <w:r>
        <w:rPr>
          <w:spacing w:val="4"/>
        </w:rPr>
        <w:t>、动</w:t>
      </w:r>
      <w:r>
        <w:rPr>
          <w:spacing w:val="3"/>
        </w:rPr>
        <w:t>态新增、刑满释放之日起3个月内接续参加居民医保的，缴费次</w:t>
      </w:r>
      <w:r>
        <w:rPr>
          <w:spacing w:val="1"/>
        </w:rPr>
        <w:t>日即可按规定享受待遇；超过3个月参加居民医保的，设置3个</w:t>
      </w:r>
      <w:r>
        <w:rPr>
          <w:spacing w:val="5"/>
        </w:rPr>
        <w:t>月待遇享受等待期，等待期期间发生的医疗费用居民医保不</w:t>
      </w:r>
      <w:r>
        <w:rPr>
          <w:spacing w:val="4"/>
        </w:rPr>
        <w:t>予报</w:t>
      </w:r>
      <w:r>
        <w:rPr>
          <w:spacing w:val="-14"/>
        </w:rPr>
        <w:t>销。</w:t>
      </w:r>
    </w:p>
    <w:p w14:paraId="39880D8A">
      <w:pPr>
        <w:pStyle w:val="2"/>
        <w:spacing w:before="201" w:line="334" w:lineRule="auto"/>
        <w:ind w:right="55" w:firstLine="637"/>
      </w:pPr>
      <w:r>
        <w:rPr>
          <w:spacing w:val="17"/>
        </w:rPr>
        <w:t>3.为解决好职工医保参保人员中断缴费后跨制度医</w:t>
      </w:r>
      <w:r>
        <w:rPr>
          <w:spacing w:val="16"/>
        </w:rPr>
        <w:t>疗保险</w:t>
      </w:r>
      <w:r>
        <w:rPr>
          <w:spacing w:val="3"/>
        </w:rPr>
        <w:t>关系接续问题，已连续6个月(含6个月)以上参加职工</w:t>
      </w:r>
      <w:r>
        <w:rPr>
          <w:spacing w:val="2"/>
        </w:rPr>
        <w:t>基本医疗</w:t>
      </w:r>
      <w:r>
        <w:rPr>
          <w:spacing w:val="5"/>
        </w:rPr>
        <w:t>保险(不含补缴)因就业等个人状态变化中断缴费，在居</w:t>
      </w:r>
      <w:r>
        <w:rPr>
          <w:spacing w:val="4"/>
        </w:rPr>
        <w:t>民医保集</w:t>
      </w:r>
      <w:r>
        <w:rPr>
          <w:spacing w:val="7"/>
        </w:rPr>
        <w:t>中参保缴费期结束后可补办城乡居民医保参保手续，3个月</w:t>
      </w:r>
      <w:r>
        <w:rPr>
          <w:spacing w:val="6"/>
        </w:rPr>
        <w:t>内接</w:t>
      </w:r>
      <w:r>
        <w:rPr>
          <w:spacing w:val="3"/>
        </w:rPr>
        <w:t>续参加居民医保的，缴费次日即可按规定享受待遇；超过3个月接续参加居民医保的，设置3个月待遇享受等待期，等待期期间</w:t>
      </w:r>
      <w:r>
        <w:rPr>
          <w:spacing w:val="6"/>
        </w:rPr>
        <w:t>发生的医疗费用居民医保不予报销。</w:t>
      </w:r>
    </w:p>
    <w:p w14:paraId="1C6E9048">
      <w:pPr>
        <w:spacing w:before="210" w:line="226" w:lineRule="auto"/>
        <w:ind w:left="650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4"/>
          <w:sz w:val="31"/>
          <w:szCs w:val="31"/>
        </w:rPr>
        <w:t>四、职责分工</w:t>
      </w:r>
    </w:p>
    <w:p w14:paraId="67E2EE96">
      <w:pPr>
        <w:pStyle w:val="2"/>
        <w:spacing w:before="209" w:line="338" w:lineRule="auto"/>
        <w:ind w:left="1" w:firstLine="681"/>
        <w:jc w:val="both"/>
      </w:pPr>
      <w:r>
        <w:rPr>
          <w:rFonts w:ascii="华文楷体" w:hAnsi="华文楷体" w:eastAsia="华文楷体" w:cs="华文楷体"/>
          <w:spacing w:val="2"/>
        </w:rPr>
        <w:t>区税务局：</w:t>
      </w:r>
      <w:r>
        <w:rPr>
          <w:spacing w:val="2"/>
        </w:rPr>
        <w:t>牵头负责征缴工作的组织实施。负责保费征收、</w:t>
      </w:r>
      <w:r>
        <w:rPr>
          <w:spacing w:val="5"/>
        </w:rPr>
        <w:t>缴费记录管理、收入对账、退费受理；会同医保部门做好政</w:t>
      </w:r>
      <w:r>
        <w:rPr>
          <w:spacing w:val="4"/>
        </w:rPr>
        <w:t>策宣</w:t>
      </w:r>
      <w:r>
        <w:rPr>
          <w:spacing w:val="7"/>
        </w:rPr>
        <w:t>传和业务培训；优化缴费渠道，提供便捷高效的缴费服务。</w:t>
      </w:r>
    </w:p>
    <w:p w14:paraId="34C825E7">
      <w:pPr>
        <w:spacing w:line="338" w:lineRule="auto"/>
        <w:sectPr>
          <w:footerReference r:id="rId9" w:type="default"/>
          <w:pgSz w:w="11906" w:h="16838"/>
          <w:pgMar w:top="1431" w:right="1470" w:bottom="1161" w:left="1552" w:header="0" w:footer="794" w:gutter="0"/>
          <w:cols w:space="720" w:num="1"/>
        </w:sectPr>
      </w:pPr>
    </w:p>
    <w:p w14:paraId="6BA4BFB7">
      <w:pPr>
        <w:spacing w:line="250" w:lineRule="auto"/>
        <w:rPr>
          <w:rFonts w:ascii="Arial"/>
          <w:sz w:val="21"/>
        </w:rPr>
      </w:pPr>
    </w:p>
    <w:p w14:paraId="00DBC5EA">
      <w:pPr>
        <w:spacing w:line="250" w:lineRule="auto"/>
        <w:rPr>
          <w:rFonts w:ascii="Arial"/>
          <w:sz w:val="21"/>
        </w:rPr>
      </w:pPr>
    </w:p>
    <w:p w14:paraId="43C0163F">
      <w:pPr>
        <w:spacing w:line="250" w:lineRule="auto"/>
        <w:rPr>
          <w:rFonts w:ascii="Arial"/>
          <w:sz w:val="21"/>
        </w:rPr>
      </w:pPr>
    </w:p>
    <w:p w14:paraId="16753BD9">
      <w:pPr>
        <w:pStyle w:val="2"/>
        <w:spacing w:before="113" w:line="337" w:lineRule="auto"/>
        <w:ind w:left="13" w:firstLine="682"/>
        <w:jc w:val="both"/>
      </w:pPr>
      <w:r>
        <w:rPr>
          <w:rFonts w:ascii="华文楷体" w:hAnsi="华文楷体" w:eastAsia="华文楷体" w:cs="华文楷体"/>
          <w:spacing w:val="-6"/>
        </w:rPr>
        <w:t>区医保局：</w:t>
      </w:r>
      <w:r>
        <w:rPr>
          <w:spacing w:val="-6"/>
        </w:rPr>
        <w:t>负责参保登记、变更、关系转移接续等经办管理；</w:t>
      </w:r>
      <w:r>
        <w:rPr>
          <w:spacing w:val="5"/>
        </w:rPr>
        <w:t>做好困难群众身份标识和资助参保信息确认；配合税务部门做好</w:t>
      </w:r>
      <w:r>
        <w:rPr>
          <w:spacing w:val="7"/>
        </w:rPr>
        <w:t>政策宣传解释和缴费引导；负责医保待遇政策落实和咨询服务。</w:t>
      </w:r>
    </w:p>
    <w:p w14:paraId="617E510F">
      <w:pPr>
        <w:pStyle w:val="2"/>
        <w:spacing w:before="4" w:line="341" w:lineRule="auto"/>
        <w:ind w:left="13" w:right="83" w:firstLine="682"/>
        <w:jc w:val="both"/>
      </w:pPr>
      <w:r>
        <w:rPr>
          <w:rFonts w:ascii="华文楷体" w:hAnsi="华文楷体" w:eastAsia="华文楷体" w:cs="华文楷体"/>
          <w:spacing w:val="3"/>
        </w:rPr>
        <w:t>区财政局：</w:t>
      </w:r>
      <w:r>
        <w:rPr>
          <w:spacing w:val="3"/>
        </w:rPr>
        <w:t>审核并汇总编制基本医保基金预决算草案，</w:t>
      </w:r>
      <w:r>
        <w:rPr>
          <w:spacing w:val="2"/>
        </w:rPr>
        <w:t>及时</w:t>
      </w:r>
      <w:r>
        <w:rPr>
          <w:spacing w:val="5"/>
        </w:rPr>
        <w:t>落实财政补助资金，确保各类资助参保人员的补助资金、配套资金和征缴工作经费及时足额到位，对基本医保基金的收支、管理</w:t>
      </w:r>
      <w:r>
        <w:rPr>
          <w:spacing w:val="2"/>
        </w:rPr>
        <w:t>情况实施监督。</w:t>
      </w:r>
    </w:p>
    <w:p w14:paraId="4435940C">
      <w:pPr>
        <w:pStyle w:val="2"/>
        <w:spacing w:before="4" w:line="340" w:lineRule="auto"/>
        <w:ind w:left="14" w:right="24" w:firstLine="681"/>
        <w:jc w:val="both"/>
      </w:pPr>
      <w:r>
        <w:rPr>
          <w:rFonts w:ascii="华文楷体" w:hAnsi="华文楷体" w:eastAsia="华文楷体" w:cs="华文楷体"/>
          <w:spacing w:val="3"/>
        </w:rPr>
        <w:t>区民政局：</w:t>
      </w:r>
      <w:r>
        <w:rPr>
          <w:spacing w:val="3"/>
        </w:rPr>
        <w:t>负责核实核准城乡居民中特困供养人员、孤儿、</w:t>
      </w:r>
      <w:r>
        <w:rPr>
          <w:spacing w:val="5"/>
        </w:rPr>
        <w:t>城乡低保对象、“百岁”老人80周岁及以上老年人口等享受参保资助人员名单及动态信息，并及时、准确将相关人员信息</w:t>
      </w:r>
      <w:r>
        <w:rPr>
          <w:spacing w:val="4"/>
        </w:rPr>
        <w:t>数据</w:t>
      </w:r>
      <w:r>
        <w:rPr>
          <w:spacing w:val="7"/>
        </w:rPr>
        <w:t>推送给区医保部门，协助做好相关人员的参保动员工作。</w:t>
      </w:r>
    </w:p>
    <w:p w14:paraId="54AB0B9B">
      <w:pPr>
        <w:pStyle w:val="2"/>
        <w:spacing w:before="6" w:line="340" w:lineRule="auto"/>
        <w:ind w:left="12" w:right="39" w:firstLine="683"/>
        <w:jc w:val="both"/>
      </w:pPr>
      <w:r>
        <w:rPr>
          <w:rFonts w:ascii="华文楷体" w:hAnsi="华文楷体" w:eastAsia="华文楷体" w:cs="华文楷体"/>
          <w:spacing w:val="3"/>
        </w:rPr>
        <w:t>区卫生健康委：</w:t>
      </w:r>
      <w:r>
        <w:rPr>
          <w:spacing w:val="3"/>
        </w:rPr>
        <w:t>负责核实核准计划生育特殊困难家庭的人员</w:t>
      </w:r>
      <w:r>
        <w:rPr>
          <w:spacing w:val="7"/>
        </w:rPr>
        <w:t>身份信息，及时、准确将相关人员信息数据</w:t>
      </w:r>
      <w:r>
        <w:rPr>
          <w:spacing w:val="6"/>
        </w:rPr>
        <w:t>推送给区医保部门，</w:t>
      </w:r>
      <w:r>
        <w:rPr>
          <w:spacing w:val="5"/>
        </w:rPr>
        <w:t>协助做好相关对象的参保动员工作。同时，指导基层医疗卫生机构配合做好参保筹资相关工作。</w:t>
      </w:r>
    </w:p>
    <w:p w14:paraId="0FF55265">
      <w:pPr>
        <w:pStyle w:val="2"/>
        <w:spacing w:before="1" w:line="338" w:lineRule="auto"/>
        <w:ind w:left="13" w:right="85" w:firstLine="682"/>
        <w:jc w:val="both"/>
      </w:pPr>
      <w:r>
        <w:rPr>
          <w:rFonts w:ascii="华文楷体" w:hAnsi="华文楷体" w:eastAsia="华文楷体" w:cs="华文楷体"/>
          <w:spacing w:val="3"/>
        </w:rPr>
        <w:t>区农业农村局：</w:t>
      </w:r>
      <w:r>
        <w:rPr>
          <w:spacing w:val="3"/>
        </w:rPr>
        <w:t>负责认定返贫致贫人口、防止返贫监测</w:t>
      </w:r>
      <w:r>
        <w:rPr>
          <w:spacing w:val="2"/>
        </w:rPr>
        <w:t>对象</w:t>
      </w:r>
      <w:r>
        <w:rPr>
          <w:spacing w:val="5"/>
        </w:rPr>
        <w:t>和建档立卡退捕渔民的身份，并及时、准确将相关人员信息数据</w:t>
      </w:r>
      <w:r>
        <w:rPr>
          <w:spacing w:val="7"/>
        </w:rPr>
        <w:t>推送给区医保部门，协助做好相关对象的参保动员工作。</w:t>
      </w:r>
    </w:p>
    <w:p w14:paraId="7EB5B530">
      <w:pPr>
        <w:pStyle w:val="2"/>
        <w:spacing w:before="2" w:line="337" w:lineRule="auto"/>
        <w:ind w:left="16" w:right="83" w:firstLine="680"/>
        <w:jc w:val="both"/>
      </w:pPr>
      <w:r>
        <w:rPr>
          <w:rFonts w:ascii="华文楷体" w:hAnsi="华文楷体" w:eastAsia="华文楷体" w:cs="华文楷体"/>
        </w:rPr>
        <w:t>区残联：</w:t>
      </w:r>
      <w:r>
        <w:t>负责重度残疾人（一级、二级）的身份认定，并及</w:t>
      </w:r>
      <w:r>
        <w:rPr>
          <w:spacing w:val="5"/>
        </w:rPr>
        <w:t>时、准确将相关人员信息数据推送给区医保部门，协助做好相关</w:t>
      </w:r>
      <w:r>
        <w:rPr>
          <w:spacing w:val="4"/>
        </w:rPr>
        <w:t>对象的参保动员工作。</w:t>
      </w:r>
    </w:p>
    <w:p w14:paraId="199AF913">
      <w:pPr>
        <w:pStyle w:val="2"/>
        <w:spacing w:before="2" w:line="217" w:lineRule="auto"/>
        <w:ind w:left="696"/>
      </w:pPr>
      <w:r>
        <w:rPr>
          <w:rFonts w:ascii="华文楷体" w:hAnsi="华文楷体" w:eastAsia="华文楷体" w:cs="华文楷体"/>
          <w:spacing w:val="3"/>
        </w:rPr>
        <w:t>区退役军人事务局：</w:t>
      </w:r>
      <w:r>
        <w:rPr>
          <w:spacing w:val="3"/>
        </w:rPr>
        <w:t>负责核实核准重点优抚对象的身份，及</w:t>
      </w:r>
    </w:p>
    <w:p w14:paraId="44104A85">
      <w:pPr>
        <w:spacing w:line="217" w:lineRule="auto"/>
        <w:sectPr>
          <w:footerReference r:id="rId10" w:type="default"/>
          <w:pgSz w:w="11906" w:h="16838"/>
          <w:pgMar w:top="1431" w:right="1446" w:bottom="1161" w:left="1538" w:header="0" w:footer="794" w:gutter="0"/>
          <w:cols w:space="720" w:num="1"/>
        </w:sectPr>
      </w:pPr>
    </w:p>
    <w:p w14:paraId="71C800F9">
      <w:pPr>
        <w:spacing w:line="253" w:lineRule="auto"/>
        <w:rPr>
          <w:rFonts w:ascii="Arial"/>
          <w:sz w:val="21"/>
        </w:rPr>
      </w:pPr>
    </w:p>
    <w:p w14:paraId="454F590F">
      <w:pPr>
        <w:spacing w:line="253" w:lineRule="auto"/>
        <w:rPr>
          <w:rFonts w:ascii="Arial"/>
          <w:sz w:val="21"/>
        </w:rPr>
      </w:pPr>
    </w:p>
    <w:p w14:paraId="029EE730">
      <w:pPr>
        <w:spacing w:line="254" w:lineRule="auto"/>
        <w:rPr>
          <w:rFonts w:ascii="Arial"/>
          <w:sz w:val="21"/>
        </w:rPr>
      </w:pPr>
    </w:p>
    <w:p w14:paraId="498ECB94">
      <w:pPr>
        <w:pStyle w:val="2"/>
        <w:spacing w:before="101" w:line="351" w:lineRule="auto"/>
        <w:ind w:left="2" w:right="111" w:firstLine="20"/>
      </w:pPr>
      <w:r>
        <w:rPr>
          <w:spacing w:val="4"/>
        </w:rPr>
        <w:t>时、准确将相关人员信息数据推送给区医保部门，协助做好相关对象的参保动员工作。</w:t>
      </w:r>
    </w:p>
    <w:p w14:paraId="03197F71">
      <w:pPr>
        <w:pStyle w:val="2"/>
        <w:spacing w:before="4" w:line="337" w:lineRule="auto"/>
        <w:ind w:right="111" w:firstLine="682"/>
        <w:jc w:val="both"/>
      </w:pPr>
      <w:r>
        <w:rPr>
          <w:rFonts w:ascii="华文楷体" w:hAnsi="华文楷体" w:eastAsia="华文楷体" w:cs="华文楷体"/>
          <w:spacing w:val="3"/>
        </w:rPr>
        <w:t>区教育体育局：</w:t>
      </w:r>
      <w:r>
        <w:rPr>
          <w:spacing w:val="3"/>
        </w:rPr>
        <w:t>负责组织协调区内各类学校、托幼机构在校</w:t>
      </w:r>
      <w:r>
        <w:rPr>
          <w:spacing w:val="5"/>
        </w:rPr>
        <w:t>（在园）学生的参保宣传和动员工作，协助完善并提供相关学生</w:t>
      </w:r>
      <w:r>
        <w:rPr>
          <w:spacing w:val="-1"/>
        </w:rPr>
        <w:t>信息。</w:t>
      </w:r>
    </w:p>
    <w:p w14:paraId="65B82AA3">
      <w:pPr>
        <w:pStyle w:val="2"/>
        <w:spacing w:before="1" w:line="331" w:lineRule="auto"/>
        <w:ind w:left="16" w:right="113" w:firstLine="666"/>
      </w:pPr>
      <w:r>
        <w:rPr>
          <w:rFonts w:ascii="华文楷体" w:hAnsi="华文楷体" w:eastAsia="华文楷体" w:cs="华文楷体"/>
          <w:spacing w:val="3"/>
        </w:rPr>
        <w:t>区公安分局：</w:t>
      </w:r>
      <w:r>
        <w:rPr>
          <w:spacing w:val="3"/>
        </w:rPr>
        <w:t>协助提供全区户籍人口和流动人口相关数</w:t>
      </w:r>
      <w:r>
        <w:rPr>
          <w:spacing w:val="2"/>
        </w:rPr>
        <w:t>据信</w:t>
      </w:r>
      <w:r>
        <w:rPr>
          <w:spacing w:val="6"/>
        </w:rPr>
        <w:t>息，支持参保信息比对核实工作。</w:t>
      </w:r>
    </w:p>
    <w:p w14:paraId="62AF645A">
      <w:pPr>
        <w:pStyle w:val="2"/>
        <w:spacing w:before="5" w:line="344" w:lineRule="auto"/>
        <w:ind w:right="108" w:firstLine="632"/>
        <w:jc w:val="both"/>
      </w:pPr>
      <w:r>
        <w:rPr>
          <w:rFonts w:ascii="华文楷体" w:hAnsi="华文楷体" w:eastAsia="华文楷体" w:cs="华文楷体"/>
          <w:spacing w:val="5"/>
        </w:rPr>
        <w:t>在池高校：</w:t>
      </w:r>
      <w:r>
        <w:rPr>
          <w:spacing w:val="5"/>
        </w:rPr>
        <w:t>负责组织本校学生参保，做好参保宣传、费</w:t>
      </w:r>
      <w:r>
        <w:rPr>
          <w:spacing w:val="4"/>
        </w:rPr>
        <w:t>用代</w:t>
      </w:r>
      <w:r>
        <w:rPr>
          <w:spacing w:val="5"/>
        </w:rPr>
        <w:t>收等工作，并及时将学生参保信息报送至当地医保部门和税务部门。做好大学生中特困供养人员（孤儿）、低保对象、返贫致贫人口、重度残疾人（一级、二级）和防止返贫监测等困难群体的信息比对工作，并负责报送学生本人签署的告知书，按照“先缴费，后资助”的原则，由区财政统一进行参保资助。</w:t>
      </w:r>
    </w:p>
    <w:p w14:paraId="2BE5259B">
      <w:pPr>
        <w:pStyle w:val="2"/>
        <w:spacing w:line="343" w:lineRule="auto"/>
        <w:ind w:left="1" w:firstLine="647"/>
        <w:jc w:val="both"/>
      </w:pPr>
      <w:r>
        <w:rPr>
          <w:rFonts w:ascii="华文楷体" w:hAnsi="华文楷体" w:eastAsia="华文楷体" w:cs="华文楷体"/>
          <w:spacing w:val="4"/>
        </w:rPr>
        <w:t>各镇人民政府、街道办事处：</w:t>
      </w:r>
      <w:r>
        <w:rPr>
          <w:spacing w:val="4"/>
        </w:rPr>
        <w:t>承担辖区内城乡居民医保征缴</w:t>
      </w:r>
      <w:r>
        <w:rPr>
          <w:spacing w:val="5"/>
        </w:rPr>
        <w:t>工作的主体责任，负责做好参保筹资的宣传发动、参保登记、信息采集、费用代收代缴（部分渠道）、进度督促等工作。指导村组（居）具体落实，确保网格化管理到位，任务分解到人，适时</w:t>
      </w:r>
      <w:r>
        <w:rPr>
          <w:spacing w:val="-2"/>
        </w:rPr>
        <w:t>动态更新未参保人员信息，做到村不漏组、组不漏户、户不漏人。</w:t>
      </w:r>
    </w:p>
    <w:p w14:paraId="02AC6DC2">
      <w:pPr>
        <w:pStyle w:val="2"/>
        <w:spacing w:before="2" w:line="337" w:lineRule="auto"/>
        <w:ind w:left="1" w:right="110" w:firstLine="640"/>
        <w:jc w:val="both"/>
      </w:pPr>
      <w:r>
        <w:rPr>
          <w:rFonts w:ascii="华文楷体" w:hAnsi="华文楷体" w:eastAsia="华文楷体" w:cs="华文楷体"/>
          <w:spacing w:val="4"/>
        </w:rPr>
        <w:t>唐田镇人民政府：</w:t>
      </w:r>
      <w:r>
        <w:rPr>
          <w:spacing w:val="4"/>
        </w:rPr>
        <w:t>负责会同区水产业发展中心做好升金湖禁</w:t>
      </w:r>
      <w:r>
        <w:rPr>
          <w:spacing w:val="5"/>
        </w:rPr>
        <w:t>捕退捕渔民摸底核查、确认工作，及时、准确将相关人员信息数</w:t>
      </w:r>
      <w:r>
        <w:rPr>
          <w:spacing w:val="9"/>
        </w:rPr>
        <w:t>据推送给区医保部门，并协助做好相关对象</w:t>
      </w:r>
      <w:r>
        <w:rPr>
          <w:spacing w:val="8"/>
        </w:rPr>
        <w:t>的参保动员工作。</w:t>
      </w:r>
    </w:p>
    <w:p w14:paraId="683FA586">
      <w:pPr>
        <w:spacing w:before="3" w:line="226" w:lineRule="auto"/>
        <w:ind w:left="64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五、工作步骤与时间安排</w:t>
      </w:r>
    </w:p>
    <w:p w14:paraId="6724257C">
      <w:pPr>
        <w:spacing w:line="226" w:lineRule="auto"/>
        <w:rPr>
          <w:rFonts w:ascii="黑体" w:hAnsi="黑体" w:eastAsia="黑体" w:cs="黑体"/>
          <w:sz w:val="31"/>
          <w:szCs w:val="31"/>
        </w:rPr>
        <w:sectPr>
          <w:footerReference r:id="rId11" w:type="default"/>
          <w:pgSz w:w="11906" w:h="16838"/>
          <w:pgMar w:top="1431" w:right="1419" w:bottom="1161" w:left="1552" w:header="0" w:footer="794" w:gutter="0"/>
          <w:cols w:space="720" w:num="1"/>
        </w:sectPr>
      </w:pPr>
    </w:p>
    <w:p w14:paraId="1005624F">
      <w:pPr>
        <w:spacing w:line="355" w:lineRule="auto"/>
        <w:rPr>
          <w:rFonts w:ascii="Arial"/>
          <w:sz w:val="21"/>
        </w:rPr>
      </w:pPr>
    </w:p>
    <w:p w14:paraId="2514B9A4">
      <w:pPr>
        <w:spacing w:line="355" w:lineRule="auto"/>
        <w:rPr>
          <w:rFonts w:ascii="Arial"/>
          <w:sz w:val="21"/>
        </w:rPr>
      </w:pPr>
    </w:p>
    <w:p w14:paraId="400C3408">
      <w:pPr>
        <w:pStyle w:val="2"/>
        <w:spacing w:before="113" w:line="316" w:lineRule="auto"/>
        <w:ind w:left="13" w:right="99" w:firstLine="662"/>
      </w:pPr>
      <w:r>
        <w:rPr>
          <w:rFonts w:ascii="华文楷体" w:hAnsi="华文楷体" w:eastAsia="华文楷体" w:cs="华文楷体"/>
          <w:spacing w:val="1"/>
        </w:rPr>
        <w:t>（一）动员部署阶段（2025年10月25日前）。</w:t>
      </w:r>
      <w:r>
        <w:rPr>
          <w:spacing w:val="1"/>
        </w:rPr>
        <w:t>召开全区</w:t>
      </w:r>
      <w:r>
        <w:rPr>
          <w:spacing w:val="5"/>
        </w:rPr>
        <w:t>征缴工作动员部署会议，印发实施方案。各镇（街道）、各相关部门成立相应工作机构，制定具体落实措施，开展业务培训，做好宣传发动等前期准备工作。</w:t>
      </w:r>
    </w:p>
    <w:p w14:paraId="1DCD8275">
      <w:pPr>
        <w:pStyle w:val="2"/>
        <w:spacing w:before="169" w:line="317" w:lineRule="auto"/>
        <w:ind w:left="13" w:right="100" w:firstLine="662"/>
      </w:pPr>
      <w:r>
        <w:rPr>
          <w:rFonts w:ascii="华文楷体" w:hAnsi="华文楷体" w:eastAsia="华文楷体" w:cs="华文楷体"/>
          <w:spacing w:val="-5"/>
        </w:rPr>
        <w:t>（二）集中征缴阶段（2025年10月至2025年12月）。</w:t>
      </w:r>
      <w:r>
        <w:rPr>
          <w:spacing w:val="-5"/>
        </w:rPr>
        <w:t>全</w:t>
      </w:r>
      <w:r>
        <w:rPr>
          <w:spacing w:val="5"/>
        </w:rPr>
        <w:t>面开展参保缴费工作。各镇（街道）、村（居）委会组织力量深入基层，广泛宣传，引导居民通过线上、线下多种渠道缴费。税</w:t>
      </w:r>
      <w:r>
        <w:rPr>
          <w:spacing w:val="7"/>
        </w:rPr>
        <w:t>务、医保部门加强协调，及时处理缴费过程中出现的问题。</w:t>
      </w:r>
    </w:p>
    <w:p w14:paraId="16458748">
      <w:pPr>
        <w:pStyle w:val="2"/>
        <w:spacing w:before="169" w:line="317" w:lineRule="auto"/>
        <w:ind w:left="16" w:firstLine="659"/>
      </w:pPr>
      <w:r>
        <w:rPr>
          <w:rFonts w:ascii="华文楷体" w:hAnsi="华文楷体" w:eastAsia="华文楷体" w:cs="华文楷体"/>
          <w:spacing w:val="-4"/>
        </w:rPr>
        <w:t>（三）扫尾总结阶段（2026年2月28日后）。</w:t>
      </w:r>
      <w:r>
        <w:rPr>
          <w:spacing w:val="-4"/>
        </w:rPr>
        <w:t>对未参保缴</w:t>
      </w:r>
      <w:r>
        <w:rPr>
          <w:spacing w:val="-3"/>
        </w:rPr>
        <w:t>费人员进行梳理，有针对性地开展宣传动员。做好参保数据核对、汇总、上报工作。全面总结评估本年度征缴工作，分析存在问题，</w:t>
      </w:r>
      <w:r>
        <w:rPr>
          <w:spacing w:val="1"/>
        </w:rPr>
        <w:t>提出改进建议。</w:t>
      </w:r>
    </w:p>
    <w:p w14:paraId="0378EE7C">
      <w:pPr>
        <w:spacing w:before="207" w:line="226" w:lineRule="auto"/>
        <w:ind w:left="655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6"/>
          <w:sz w:val="31"/>
          <w:szCs w:val="31"/>
        </w:rPr>
        <w:t>六、缴费方式</w:t>
      </w:r>
    </w:p>
    <w:p w14:paraId="5ABB8107">
      <w:pPr>
        <w:pStyle w:val="2"/>
        <w:spacing w:before="210" w:line="228" w:lineRule="auto"/>
        <w:ind w:left="665"/>
      </w:pPr>
      <w:r>
        <w:rPr>
          <w:spacing w:val="5"/>
        </w:rPr>
        <w:t>为方便居民缴费，提供以下多元化缴费渠道：</w:t>
      </w:r>
    </w:p>
    <w:p w14:paraId="5FE2ED94">
      <w:pPr>
        <w:pStyle w:val="2"/>
        <w:spacing w:before="163" w:line="306" w:lineRule="auto"/>
        <w:ind w:left="13" w:right="100" w:firstLine="662"/>
      </w:pPr>
      <w:r>
        <w:rPr>
          <w:rFonts w:ascii="华文楷体" w:hAnsi="华文楷体" w:eastAsia="华文楷体" w:cs="华文楷体"/>
          <w:spacing w:val="1"/>
        </w:rPr>
        <w:t>（一）线上缴费：</w:t>
      </w:r>
      <w:r>
        <w:rPr>
          <w:spacing w:val="1"/>
        </w:rPr>
        <w:t>可通过“池州医疗保障”微信公众号、安</w:t>
      </w:r>
      <w:r>
        <w:rPr>
          <w:spacing w:val="6"/>
        </w:rPr>
        <w:t>徽医保公共服务平台、皖事通</w:t>
      </w:r>
      <w:r>
        <w:t>APP</w:t>
      </w:r>
      <w:r>
        <w:rPr>
          <w:spacing w:val="6"/>
        </w:rPr>
        <w:t>、“安徽税务社保缴费”微信</w:t>
      </w:r>
      <w:r>
        <w:rPr>
          <w:spacing w:val="8"/>
        </w:rPr>
        <w:t>小程序、支付宝直接参保缴费</w:t>
      </w:r>
    </w:p>
    <w:p w14:paraId="0333AF6C">
      <w:pPr>
        <w:pStyle w:val="2"/>
        <w:spacing w:before="168" w:line="284" w:lineRule="auto"/>
        <w:ind w:left="12" w:right="100" w:firstLine="663"/>
      </w:pPr>
      <w:r>
        <w:rPr>
          <w:rFonts w:ascii="华文楷体" w:hAnsi="华文楷体" w:eastAsia="华文楷体" w:cs="华文楷体"/>
          <w:spacing w:val="2"/>
        </w:rPr>
        <w:t>（二）线下缴费：</w:t>
      </w:r>
      <w:r>
        <w:rPr>
          <w:spacing w:val="2"/>
        </w:rPr>
        <w:t>村（居）委会代收代缴：部分区域可委托</w:t>
      </w:r>
      <w:r>
        <w:rPr>
          <w:spacing w:val="9"/>
        </w:rPr>
        <w:t>村（居）委会协办人员集中收取，并通过指定渠</w:t>
      </w:r>
      <w:r>
        <w:rPr>
          <w:spacing w:val="8"/>
        </w:rPr>
        <w:t>道统一缴纳。</w:t>
      </w:r>
    </w:p>
    <w:p w14:paraId="04BDCBBA">
      <w:pPr>
        <w:pStyle w:val="2"/>
        <w:spacing w:before="171" w:line="285" w:lineRule="auto"/>
        <w:ind w:left="23" w:right="102" w:firstLine="652"/>
      </w:pPr>
      <w:r>
        <w:rPr>
          <w:rFonts w:ascii="华文楷体" w:hAnsi="华文楷体" w:eastAsia="华文楷体" w:cs="华文楷体"/>
          <w:spacing w:val="4"/>
        </w:rPr>
        <w:t>（三）办税服务厅缴费：</w:t>
      </w:r>
      <w:r>
        <w:rPr>
          <w:spacing w:val="4"/>
        </w:rPr>
        <w:t>可前往区税务局办税服</w:t>
      </w:r>
      <w:r>
        <w:rPr>
          <w:spacing w:val="3"/>
        </w:rPr>
        <w:t>务厅办理缴</w:t>
      </w:r>
      <w:r>
        <w:rPr>
          <w:spacing w:val="-15"/>
        </w:rPr>
        <w:t>费。</w:t>
      </w:r>
    </w:p>
    <w:p w14:paraId="2E065310">
      <w:pPr>
        <w:spacing w:before="204" w:line="229" w:lineRule="auto"/>
        <w:ind w:left="644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七、保障措施</w:t>
      </w:r>
    </w:p>
    <w:p w14:paraId="5A44B882">
      <w:pPr>
        <w:spacing w:line="229" w:lineRule="auto"/>
        <w:rPr>
          <w:rFonts w:ascii="黑体" w:hAnsi="黑体" w:eastAsia="黑体" w:cs="黑体"/>
          <w:sz w:val="31"/>
          <w:szCs w:val="31"/>
        </w:rPr>
        <w:sectPr>
          <w:footerReference r:id="rId12" w:type="default"/>
          <w:pgSz w:w="11906" w:h="16838"/>
          <w:pgMar w:top="1431" w:right="1427" w:bottom="1161" w:left="1538" w:header="0" w:footer="794" w:gutter="0"/>
          <w:cols w:space="720" w:num="1"/>
        </w:sectPr>
      </w:pPr>
    </w:p>
    <w:p w14:paraId="723D2C61">
      <w:pPr>
        <w:spacing w:line="352" w:lineRule="auto"/>
        <w:rPr>
          <w:rFonts w:ascii="Arial"/>
          <w:sz w:val="21"/>
        </w:rPr>
      </w:pPr>
    </w:p>
    <w:p w14:paraId="7C8CCC52">
      <w:pPr>
        <w:spacing w:line="353" w:lineRule="auto"/>
        <w:rPr>
          <w:rFonts w:ascii="Arial"/>
          <w:sz w:val="21"/>
        </w:rPr>
      </w:pPr>
    </w:p>
    <w:p w14:paraId="07593B4A">
      <w:pPr>
        <w:pStyle w:val="2"/>
        <w:spacing w:before="113" w:line="317" w:lineRule="auto"/>
        <w:ind w:left="2" w:right="88" w:firstLine="662"/>
      </w:pPr>
      <w:r>
        <w:rPr>
          <w:rFonts w:ascii="华文楷体" w:hAnsi="华文楷体" w:eastAsia="华文楷体" w:cs="华文楷体"/>
          <w:spacing w:val="2"/>
        </w:rPr>
        <w:t>（一）加强组织领导。</w:t>
      </w:r>
      <w:r>
        <w:rPr>
          <w:spacing w:val="2"/>
        </w:rPr>
        <w:t>各镇（街道）、各相关部门要充分认</w:t>
      </w:r>
      <w:r>
        <w:rPr>
          <w:spacing w:val="5"/>
        </w:rPr>
        <w:t>识居民医保征缴工作的重要性，将其作为当前一项重点民生工作</w:t>
      </w:r>
      <w:r>
        <w:rPr>
          <w:spacing w:val="6"/>
        </w:rPr>
        <w:t>来抓，主要领导亲自过问，分管领导具体负责，层层压实责任，</w:t>
      </w:r>
      <w:r>
        <w:rPr>
          <w:spacing w:val="5"/>
        </w:rPr>
        <w:t>确保组织到位、措施到位、落实到位。</w:t>
      </w:r>
    </w:p>
    <w:p w14:paraId="69D0BED2">
      <w:pPr>
        <w:pStyle w:val="2"/>
        <w:spacing w:before="171" w:line="323" w:lineRule="auto"/>
        <w:ind w:left="6" w:right="129" w:firstLine="658"/>
      </w:pPr>
      <w:r>
        <w:rPr>
          <w:rFonts w:ascii="华文楷体" w:hAnsi="华文楷体" w:eastAsia="华文楷体" w:cs="华文楷体"/>
        </w:rPr>
        <w:t>（二）强化宣传引导。</w:t>
      </w:r>
      <w:r>
        <w:t>综合利用广播、电视、网络、微信公</w:t>
      </w:r>
      <w:r>
        <w:rPr>
          <w:spacing w:val="5"/>
        </w:rPr>
        <w:t>众号、宣传栏、横幅、发放宣传单、入户讲解等多种形式，</w:t>
      </w:r>
      <w:r>
        <w:rPr>
          <w:spacing w:val="4"/>
        </w:rPr>
        <w:t>广泛</w:t>
      </w:r>
      <w:r>
        <w:rPr>
          <w:spacing w:val="5"/>
        </w:rPr>
        <w:t>宣传居民医保的政策内容、缴费标准、缴费时限、缴费方式</w:t>
      </w:r>
      <w:r>
        <w:rPr>
          <w:spacing w:val="4"/>
        </w:rPr>
        <w:t>和待</w:t>
      </w:r>
      <w:r>
        <w:rPr>
          <w:spacing w:val="5"/>
        </w:rPr>
        <w:t>遇保障，重点讲清参保意义和权利义务，提高群众参保缴费</w:t>
      </w:r>
      <w:r>
        <w:rPr>
          <w:spacing w:val="4"/>
        </w:rPr>
        <w:t>的主</w:t>
      </w:r>
      <w:r>
        <w:rPr>
          <w:spacing w:val="7"/>
        </w:rPr>
        <w:t>动性和积极性，营造“人人参保、我要参保”的良好氛</w:t>
      </w:r>
      <w:r>
        <w:rPr>
          <w:spacing w:val="6"/>
        </w:rPr>
        <w:t>围。</w:t>
      </w:r>
    </w:p>
    <w:p w14:paraId="7E731927">
      <w:pPr>
        <w:pStyle w:val="2"/>
        <w:spacing w:before="171" w:line="317" w:lineRule="auto"/>
        <w:ind w:right="132" w:firstLine="664"/>
      </w:pPr>
      <w:r>
        <w:rPr>
          <w:rFonts w:ascii="华文楷体" w:hAnsi="华文楷体" w:eastAsia="华文楷体" w:cs="华文楷体"/>
          <w:spacing w:val="2"/>
        </w:rPr>
        <w:t>（三）优化缴费服务。</w:t>
      </w:r>
      <w:r>
        <w:rPr>
          <w:spacing w:val="2"/>
        </w:rPr>
        <w:t>税务、医保部门要密切配合，简化流</w:t>
      </w:r>
      <w:r>
        <w:rPr>
          <w:spacing w:val="5"/>
        </w:rPr>
        <w:t>程，畅通渠道，及时解决缴费过程中出现的各类问题。加强对镇（街道）、村（居）经办人员的业务培训指导。积极推广“非接</w:t>
      </w:r>
      <w:r>
        <w:rPr>
          <w:spacing w:val="6"/>
        </w:rPr>
        <w:t>触式”缴费方式，让数据多跑路、群众少跑腿。</w:t>
      </w:r>
    </w:p>
    <w:p w14:paraId="6553D124">
      <w:pPr>
        <w:pStyle w:val="2"/>
        <w:spacing w:before="169" w:line="316" w:lineRule="auto"/>
        <w:ind w:left="3" w:right="130" w:firstLine="661"/>
      </w:pPr>
      <w:r>
        <w:rPr>
          <w:rFonts w:ascii="华文楷体" w:hAnsi="华文楷体" w:eastAsia="华文楷体" w:cs="华文楷体"/>
          <w:spacing w:val="1"/>
        </w:rPr>
        <w:t>（四）严格督导考核。</w:t>
      </w:r>
      <w:r>
        <w:rPr>
          <w:spacing w:val="1"/>
        </w:rPr>
        <w:t>定期对各镇（街道）、各相关部门的</w:t>
      </w:r>
      <w:r>
        <w:rPr>
          <w:spacing w:val="5"/>
        </w:rPr>
        <w:t>征缴工作进展情况进行督导检查，对工作不力、进度滞后的单位进行通报。将居民医保参保缴费完成情况纳入各镇（街道</w:t>
      </w:r>
      <w:r>
        <w:rPr>
          <w:spacing w:val="4"/>
        </w:rPr>
        <w:t>）及相</w:t>
      </w:r>
      <w:r>
        <w:rPr>
          <w:spacing w:val="8"/>
        </w:rPr>
        <w:t>关部门年度考核范围，确保征缴工作顺利推进。</w:t>
      </w:r>
    </w:p>
    <w:p w14:paraId="179A5829">
      <w:pPr>
        <w:pStyle w:val="2"/>
        <w:spacing w:before="172" w:line="305" w:lineRule="auto"/>
        <w:ind w:left="6" w:firstLine="640"/>
      </w:pPr>
      <w:r>
        <w:rPr>
          <w:rFonts w:ascii="华文楷体" w:hAnsi="华文楷体" w:eastAsia="华文楷体" w:cs="华文楷体"/>
          <w:spacing w:val="2"/>
        </w:rPr>
        <w:t>(五）落实代办经费。</w:t>
      </w:r>
      <w:r>
        <w:rPr>
          <w:spacing w:val="2"/>
        </w:rPr>
        <w:t>为促进2026年城乡居民基本医</w:t>
      </w:r>
      <w:r>
        <w:rPr>
          <w:spacing w:val="1"/>
        </w:rPr>
        <w:t>保费筹</w:t>
      </w:r>
      <w:r>
        <w:rPr>
          <w:spacing w:val="-4"/>
        </w:rPr>
        <w:t>资工作扎实有效落实，区政府将按征缴人数每人1元补助村（居）</w:t>
      </w:r>
      <w:r>
        <w:rPr>
          <w:spacing w:val="9"/>
        </w:rPr>
        <w:t>及在池高校，作为村（居）及在池高校筹资工</w:t>
      </w:r>
      <w:r>
        <w:rPr>
          <w:spacing w:val="8"/>
        </w:rPr>
        <w:t>作代办工作经费。</w:t>
      </w:r>
    </w:p>
    <w:p w14:paraId="3299F849">
      <w:pPr>
        <w:pStyle w:val="2"/>
        <w:spacing w:before="168" w:line="284" w:lineRule="auto"/>
        <w:ind w:left="3" w:right="132" w:firstLine="661"/>
      </w:pPr>
      <w:r>
        <w:rPr>
          <w:rFonts w:ascii="华文楷体" w:hAnsi="华文楷体" w:eastAsia="华文楷体" w:cs="华文楷体"/>
          <w:spacing w:val="2"/>
        </w:rPr>
        <w:t>（六）严肃工作纪律。</w:t>
      </w:r>
      <w:r>
        <w:rPr>
          <w:spacing w:val="2"/>
        </w:rPr>
        <w:t>严格执行医保基金管理规定，任何单</w:t>
      </w:r>
      <w:r>
        <w:rPr>
          <w:spacing w:val="5"/>
        </w:rPr>
        <w:t>位和个人不得挤占、挪用、截留医保费。对征缴工作中出现的违</w:t>
      </w:r>
    </w:p>
    <w:p w14:paraId="00C80A40">
      <w:pPr>
        <w:spacing w:line="284" w:lineRule="auto"/>
        <w:sectPr>
          <w:footerReference r:id="rId13" w:type="default"/>
          <w:pgSz w:w="11906" w:h="16838"/>
          <w:pgMar w:top="1431" w:right="1397" w:bottom="1161" w:left="1550" w:header="0" w:footer="794" w:gutter="0"/>
          <w:cols w:space="720" w:num="1"/>
        </w:sectPr>
      </w:pPr>
    </w:p>
    <w:p w14:paraId="2AB1D7AC">
      <w:pPr>
        <w:spacing w:line="253" w:lineRule="auto"/>
        <w:rPr>
          <w:rFonts w:ascii="Arial"/>
          <w:sz w:val="21"/>
        </w:rPr>
      </w:pPr>
    </w:p>
    <w:p w14:paraId="2549F6BA">
      <w:pPr>
        <w:spacing w:line="254" w:lineRule="auto"/>
        <w:rPr>
          <w:rFonts w:ascii="Arial"/>
          <w:sz w:val="21"/>
        </w:rPr>
      </w:pPr>
    </w:p>
    <w:p w14:paraId="13657F4B">
      <w:pPr>
        <w:spacing w:line="254" w:lineRule="auto"/>
        <w:rPr>
          <w:rFonts w:ascii="Arial"/>
          <w:sz w:val="21"/>
        </w:rPr>
      </w:pPr>
    </w:p>
    <w:p w14:paraId="7600EFF8">
      <w:pPr>
        <w:pStyle w:val="2"/>
        <w:spacing w:before="101" w:line="226" w:lineRule="auto"/>
        <w:ind w:left="12"/>
      </w:pPr>
      <w:r>
        <w:rPr>
          <w:spacing w:val="8"/>
        </w:rPr>
        <w:t>规违纪行为，将严肃追究相关单位和人员责任。</w:t>
      </w:r>
    </w:p>
    <w:p w14:paraId="55425E20">
      <w:pPr>
        <w:spacing w:line="244" w:lineRule="auto"/>
        <w:rPr>
          <w:rFonts w:ascii="Arial"/>
          <w:sz w:val="21"/>
        </w:rPr>
      </w:pPr>
    </w:p>
    <w:p w14:paraId="6695B832">
      <w:pPr>
        <w:spacing w:line="244" w:lineRule="auto"/>
        <w:rPr>
          <w:rFonts w:ascii="Arial"/>
          <w:sz w:val="21"/>
        </w:rPr>
      </w:pPr>
    </w:p>
    <w:p w14:paraId="20C6653A">
      <w:pPr>
        <w:spacing w:line="244" w:lineRule="auto"/>
        <w:rPr>
          <w:rFonts w:ascii="Arial"/>
          <w:sz w:val="21"/>
        </w:rPr>
      </w:pPr>
    </w:p>
    <w:p w14:paraId="16BE236A">
      <w:pPr>
        <w:spacing w:line="244" w:lineRule="auto"/>
        <w:rPr>
          <w:rFonts w:ascii="Arial"/>
          <w:sz w:val="21"/>
        </w:rPr>
      </w:pPr>
    </w:p>
    <w:p w14:paraId="0A33020A">
      <w:pPr>
        <w:spacing w:line="244" w:lineRule="auto"/>
        <w:rPr>
          <w:rFonts w:ascii="Arial"/>
          <w:sz w:val="21"/>
        </w:rPr>
      </w:pPr>
    </w:p>
    <w:p w14:paraId="0E2C591D">
      <w:pPr>
        <w:spacing w:line="244" w:lineRule="auto"/>
        <w:rPr>
          <w:rFonts w:ascii="Arial"/>
          <w:sz w:val="21"/>
        </w:rPr>
      </w:pPr>
    </w:p>
    <w:p w14:paraId="0D95C723">
      <w:pPr>
        <w:spacing w:line="244" w:lineRule="auto"/>
        <w:rPr>
          <w:rFonts w:ascii="Arial"/>
          <w:sz w:val="21"/>
        </w:rPr>
      </w:pPr>
    </w:p>
    <w:p w14:paraId="1A80D10D">
      <w:pPr>
        <w:spacing w:line="244" w:lineRule="auto"/>
        <w:rPr>
          <w:rFonts w:ascii="Arial"/>
          <w:sz w:val="21"/>
        </w:rPr>
      </w:pPr>
    </w:p>
    <w:p w14:paraId="699C5722">
      <w:pPr>
        <w:spacing w:line="244" w:lineRule="auto"/>
        <w:rPr>
          <w:rFonts w:ascii="Arial"/>
          <w:sz w:val="21"/>
        </w:rPr>
      </w:pPr>
    </w:p>
    <w:p w14:paraId="5E47F862">
      <w:pPr>
        <w:spacing w:line="244" w:lineRule="auto"/>
        <w:rPr>
          <w:rFonts w:ascii="Arial"/>
          <w:sz w:val="21"/>
        </w:rPr>
      </w:pPr>
    </w:p>
    <w:p w14:paraId="5F3156D7">
      <w:pPr>
        <w:spacing w:line="244" w:lineRule="auto"/>
        <w:rPr>
          <w:rFonts w:ascii="Arial"/>
          <w:sz w:val="21"/>
        </w:rPr>
      </w:pPr>
    </w:p>
    <w:p w14:paraId="7F4AF1BB">
      <w:pPr>
        <w:spacing w:line="244" w:lineRule="auto"/>
        <w:rPr>
          <w:rFonts w:ascii="Arial"/>
          <w:sz w:val="21"/>
        </w:rPr>
      </w:pPr>
    </w:p>
    <w:p w14:paraId="3D920685">
      <w:pPr>
        <w:spacing w:line="244" w:lineRule="auto"/>
        <w:rPr>
          <w:rFonts w:ascii="Arial"/>
          <w:sz w:val="21"/>
        </w:rPr>
      </w:pPr>
    </w:p>
    <w:p w14:paraId="7C2A4D2B">
      <w:pPr>
        <w:spacing w:line="244" w:lineRule="auto"/>
        <w:rPr>
          <w:rFonts w:ascii="Arial"/>
          <w:sz w:val="21"/>
        </w:rPr>
      </w:pPr>
    </w:p>
    <w:p w14:paraId="584CA099">
      <w:pPr>
        <w:spacing w:line="244" w:lineRule="auto"/>
        <w:rPr>
          <w:rFonts w:ascii="Arial"/>
          <w:sz w:val="21"/>
        </w:rPr>
      </w:pPr>
    </w:p>
    <w:p w14:paraId="3C1BB88F">
      <w:pPr>
        <w:spacing w:line="244" w:lineRule="auto"/>
        <w:rPr>
          <w:rFonts w:ascii="Arial"/>
          <w:sz w:val="21"/>
        </w:rPr>
      </w:pPr>
    </w:p>
    <w:p w14:paraId="079CDED3">
      <w:pPr>
        <w:spacing w:line="245" w:lineRule="auto"/>
        <w:rPr>
          <w:rFonts w:ascii="Arial"/>
          <w:sz w:val="21"/>
        </w:rPr>
      </w:pPr>
    </w:p>
    <w:p w14:paraId="069868B2">
      <w:pPr>
        <w:spacing w:line="245" w:lineRule="auto"/>
        <w:rPr>
          <w:rFonts w:ascii="Arial"/>
          <w:sz w:val="21"/>
        </w:rPr>
      </w:pPr>
    </w:p>
    <w:p w14:paraId="6A979432">
      <w:pPr>
        <w:spacing w:line="245" w:lineRule="auto"/>
        <w:rPr>
          <w:rFonts w:ascii="Arial"/>
          <w:sz w:val="21"/>
        </w:rPr>
      </w:pPr>
    </w:p>
    <w:p w14:paraId="3037217F">
      <w:pPr>
        <w:spacing w:line="245" w:lineRule="auto"/>
        <w:rPr>
          <w:rFonts w:ascii="Arial"/>
          <w:sz w:val="21"/>
        </w:rPr>
      </w:pPr>
    </w:p>
    <w:p w14:paraId="601F6961">
      <w:pPr>
        <w:spacing w:line="245" w:lineRule="auto"/>
        <w:rPr>
          <w:rFonts w:ascii="Arial"/>
          <w:sz w:val="21"/>
        </w:rPr>
      </w:pPr>
    </w:p>
    <w:p w14:paraId="40B5AD64">
      <w:pPr>
        <w:spacing w:line="245" w:lineRule="auto"/>
        <w:rPr>
          <w:rFonts w:ascii="Arial"/>
          <w:sz w:val="21"/>
        </w:rPr>
      </w:pPr>
    </w:p>
    <w:p w14:paraId="296DAE52">
      <w:pPr>
        <w:spacing w:line="245" w:lineRule="auto"/>
        <w:rPr>
          <w:rFonts w:ascii="Arial"/>
          <w:sz w:val="21"/>
        </w:rPr>
      </w:pPr>
    </w:p>
    <w:p w14:paraId="3A48E0DA">
      <w:pPr>
        <w:spacing w:line="245" w:lineRule="auto"/>
        <w:rPr>
          <w:rFonts w:ascii="Arial"/>
          <w:sz w:val="21"/>
        </w:rPr>
      </w:pPr>
    </w:p>
    <w:p w14:paraId="55F5A417">
      <w:pPr>
        <w:spacing w:line="245" w:lineRule="auto"/>
        <w:rPr>
          <w:rFonts w:ascii="Arial"/>
          <w:sz w:val="21"/>
        </w:rPr>
      </w:pPr>
    </w:p>
    <w:p w14:paraId="4E0A4182">
      <w:pPr>
        <w:spacing w:line="245" w:lineRule="auto"/>
        <w:rPr>
          <w:rFonts w:ascii="Arial"/>
          <w:sz w:val="21"/>
        </w:rPr>
      </w:pPr>
    </w:p>
    <w:p w14:paraId="3D2AA9BE">
      <w:pPr>
        <w:spacing w:line="245" w:lineRule="auto"/>
        <w:rPr>
          <w:rFonts w:ascii="Arial"/>
          <w:sz w:val="21"/>
        </w:rPr>
      </w:pPr>
    </w:p>
    <w:p w14:paraId="2D081864">
      <w:pPr>
        <w:spacing w:line="245" w:lineRule="auto"/>
        <w:rPr>
          <w:rFonts w:ascii="Arial"/>
          <w:sz w:val="21"/>
        </w:rPr>
      </w:pPr>
    </w:p>
    <w:p w14:paraId="414459DA">
      <w:pPr>
        <w:spacing w:line="245" w:lineRule="auto"/>
        <w:rPr>
          <w:rFonts w:ascii="Arial"/>
          <w:sz w:val="21"/>
        </w:rPr>
      </w:pPr>
    </w:p>
    <w:p w14:paraId="079FBB51">
      <w:pPr>
        <w:spacing w:line="245" w:lineRule="auto"/>
        <w:rPr>
          <w:rFonts w:ascii="Arial"/>
          <w:sz w:val="21"/>
        </w:rPr>
      </w:pPr>
    </w:p>
    <w:p w14:paraId="03F7E64D">
      <w:pPr>
        <w:spacing w:line="245" w:lineRule="auto"/>
        <w:rPr>
          <w:rFonts w:ascii="Arial"/>
          <w:sz w:val="21"/>
        </w:rPr>
      </w:pPr>
    </w:p>
    <w:p w14:paraId="52029E3E">
      <w:pPr>
        <w:spacing w:line="245" w:lineRule="auto"/>
        <w:rPr>
          <w:rFonts w:ascii="Arial"/>
          <w:sz w:val="21"/>
        </w:rPr>
      </w:pPr>
    </w:p>
    <w:p w14:paraId="45BF78FA">
      <w:pPr>
        <w:spacing w:line="245" w:lineRule="auto"/>
        <w:rPr>
          <w:rFonts w:ascii="Arial"/>
          <w:sz w:val="21"/>
        </w:rPr>
      </w:pPr>
    </w:p>
    <w:p w14:paraId="40F4B0F0">
      <w:pPr>
        <w:spacing w:line="245" w:lineRule="auto"/>
        <w:rPr>
          <w:rFonts w:ascii="Arial"/>
          <w:sz w:val="21"/>
        </w:rPr>
      </w:pPr>
    </w:p>
    <w:p w14:paraId="495FEB97">
      <w:pPr>
        <w:spacing w:line="245" w:lineRule="auto"/>
        <w:rPr>
          <w:rFonts w:ascii="Arial"/>
          <w:sz w:val="21"/>
        </w:rPr>
      </w:pPr>
    </w:p>
    <w:p w14:paraId="53AD1562">
      <w:pPr>
        <w:spacing w:line="245" w:lineRule="auto"/>
        <w:rPr>
          <w:rFonts w:ascii="Arial"/>
          <w:sz w:val="21"/>
        </w:rPr>
      </w:pPr>
    </w:p>
    <w:p w14:paraId="3118379C">
      <w:pPr>
        <w:spacing w:line="245" w:lineRule="auto"/>
        <w:rPr>
          <w:rFonts w:ascii="Arial"/>
          <w:sz w:val="21"/>
        </w:rPr>
      </w:pPr>
    </w:p>
    <w:p w14:paraId="13D6FB29">
      <w:pPr>
        <w:spacing w:line="245" w:lineRule="auto"/>
        <w:rPr>
          <w:rFonts w:ascii="Arial"/>
          <w:sz w:val="21"/>
        </w:rPr>
      </w:pPr>
    </w:p>
    <w:p w14:paraId="182797F3">
      <w:pPr>
        <w:spacing w:line="245" w:lineRule="auto"/>
        <w:rPr>
          <w:rFonts w:ascii="Arial"/>
          <w:sz w:val="21"/>
        </w:rPr>
      </w:pPr>
    </w:p>
    <w:p w14:paraId="4721C1C9">
      <w:pPr>
        <w:spacing w:line="245" w:lineRule="auto"/>
        <w:rPr>
          <w:rFonts w:ascii="Arial"/>
          <w:sz w:val="21"/>
        </w:rPr>
      </w:pPr>
    </w:p>
    <w:p w14:paraId="0BBA246A">
      <w:pPr>
        <w:spacing w:line="245" w:lineRule="auto"/>
        <w:rPr>
          <w:rFonts w:ascii="Arial"/>
          <w:sz w:val="21"/>
        </w:rPr>
      </w:pPr>
    </w:p>
    <w:p w14:paraId="564EE992">
      <w:pPr>
        <w:spacing w:line="245" w:lineRule="auto"/>
        <w:rPr>
          <w:rFonts w:ascii="Arial"/>
          <w:sz w:val="21"/>
        </w:rPr>
      </w:pPr>
    </w:p>
    <w:p w14:paraId="6CAAC093">
      <w:pPr>
        <w:spacing w:line="245" w:lineRule="auto"/>
        <w:rPr>
          <w:rFonts w:ascii="Arial"/>
          <w:sz w:val="21"/>
        </w:rPr>
      </w:pPr>
    </w:p>
    <w:p w14:paraId="4B230EDB">
      <w:pPr>
        <w:spacing w:line="245" w:lineRule="auto"/>
        <w:rPr>
          <w:rFonts w:ascii="Arial"/>
          <w:sz w:val="21"/>
        </w:rPr>
      </w:pPr>
    </w:p>
    <w:p w14:paraId="1889A2CD">
      <w:pPr>
        <w:spacing w:line="245" w:lineRule="auto"/>
        <w:rPr>
          <w:rFonts w:ascii="Arial"/>
          <w:sz w:val="21"/>
        </w:rPr>
      </w:pPr>
    </w:p>
    <w:p w14:paraId="11031F8E">
      <w:pPr>
        <w:spacing w:line="245" w:lineRule="auto"/>
        <w:rPr>
          <w:rFonts w:ascii="Arial"/>
          <w:sz w:val="21"/>
        </w:rPr>
      </w:pPr>
    </w:p>
    <w:p w14:paraId="298BBC99">
      <w:pPr>
        <w:pStyle w:val="2"/>
        <w:spacing w:before="91" w:line="411" w:lineRule="auto"/>
        <w:ind w:left="1155" w:hanging="865"/>
        <w:rPr>
          <w:sz w:val="28"/>
          <w:szCs w:val="28"/>
        </w:rPr>
      </w:pPr>
      <w:r>
        <w:rPr>
          <w:spacing w:val="-3"/>
          <w:sz w:val="28"/>
          <w:szCs w:val="28"/>
        </w:rPr>
        <w:t>抄送：区委各部门，区人大常委会办公室，区政协办公室，区监察委，</w:t>
      </w:r>
      <w:r>
        <w:rPr>
          <w:spacing w:val="-4"/>
          <w:sz w:val="28"/>
          <w:szCs w:val="28"/>
        </w:rPr>
        <w:t>区法院，区检察院，区人武部。</w:t>
      </w:r>
    </w:p>
    <w:sectPr>
      <w:footerReference r:id="rId14" w:type="default"/>
      <w:pgSz w:w="11906" w:h="16838"/>
      <w:pgMar w:top="1431" w:right="1471" w:bottom="1161" w:left="1538" w:header="0" w:footer="79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288D3F">
    <w:pPr>
      <w:spacing w:line="80" w:lineRule="exact"/>
      <w:ind w:firstLine="70"/>
    </w:pPr>
    <w:r>
      <w:rPr>
        <w:position w:val="-1"/>
      </w:rPr>
      <w:drawing>
        <wp:inline distT="0" distB="0" distL="0" distR="0">
          <wp:extent cx="5485765" cy="50800"/>
          <wp:effectExtent l="0" t="0" r="0" b="0"/>
          <wp:docPr id="2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86311" cy="508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49FB1D">
    <w:pPr>
      <w:pStyle w:val="2"/>
      <w:spacing w:before="1" w:line="236" w:lineRule="auto"/>
      <w:rPr>
        <w:sz w:val="28"/>
        <w:szCs w:val="28"/>
      </w:rPr>
    </w:pPr>
    <w:r>
      <w:rPr>
        <w:spacing w:val="-7"/>
        <w:sz w:val="28"/>
        <w:szCs w:val="28"/>
      </w:rPr>
      <w:t>-</w:t>
    </w:r>
    <w:r>
      <w:rPr>
        <w:spacing w:val="13"/>
        <w:sz w:val="28"/>
        <w:szCs w:val="28"/>
      </w:rPr>
      <w:t xml:space="preserve"> </w:t>
    </w:r>
    <w:r>
      <w:rPr>
        <w:spacing w:val="-7"/>
        <w:sz w:val="28"/>
        <w:szCs w:val="28"/>
      </w:rPr>
      <w:t>2</w:t>
    </w:r>
    <w:r>
      <w:rPr>
        <w:spacing w:val="5"/>
        <w:sz w:val="28"/>
        <w:szCs w:val="28"/>
      </w:rPr>
      <w:t xml:space="preserve"> </w:t>
    </w:r>
    <w:r>
      <w:rPr>
        <w:spacing w:val="-7"/>
        <w:sz w:val="28"/>
        <w:szCs w:val="28"/>
      </w:rPr>
      <w:t>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DD2FD8">
    <w:pPr>
      <w:pStyle w:val="2"/>
      <w:spacing w:line="235" w:lineRule="auto"/>
      <w:ind w:left="8137"/>
      <w:rPr>
        <w:sz w:val="28"/>
        <w:szCs w:val="28"/>
      </w:rPr>
    </w:pPr>
    <w:r>
      <w:rPr>
        <w:spacing w:val="-8"/>
        <w:sz w:val="28"/>
        <w:szCs w:val="28"/>
      </w:rPr>
      <w:t>-</w:t>
    </w:r>
    <w:r>
      <w:rPr>
        <w:spacing w:val="16"/>
        <w:sz w:val="28"/>
        <w:szCs w:val="28"/>
      </w:rPr>
      <w:t xml:space="preserve"> </w:t>
    </w:r>
    <w:r>
      <w:rPr>
        <w:spacing w:val="-8"/>
        <w:sz w:val="28"/>
        <w:szCs w:val="28"/>
      </w:rPr>
      <w:t>3</w:t>
    </w:r>
    <w:r>
      <w:rPr>
        <w:spacing w:val="8"/>
        <w:sz w:val="28"/>
        <w:szCs w:val="28"/>
      </w:rPr>
      <w:t xml:space="preserve"> </w:t>
    </w:r>
    <w:r>
      <w:rPr>
        <w:spacing w:val="-8"/>
        <w:sz w:val="28"/>
        <w:szCs w:val="28"/>
      </w:rPr>
      <w:t>-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60A3C0">
    <w:pPr>
      <w:pStyle w:val="2"/>
      <w:spacing w:before="1" w:line="236" w:lineRule="auto"/>
      <w:rPr>
        <w:sz w:val="28"/>
        <w:szCs w:val="28"/>
      </w:rPr>
    </w:pPr>
    <w:r>
      <w:rPr>
        <w:spacing w:val="-6"/>
        <w:sz w:val="28"/>
        <w:szCs w:val="28"/>
      </w:rPr>
      <w:t>-</w:t>
    </w:r>
    <w:r>
      <w:rPr>
        <w:spacing w:val="10"/>
        <w:sz w:val="28"/>
        <w:szCs w:val="28"/>
      </w:rPr>
      <w:t xml:space="preserve"> </w:t>
    </w:r>
    <w:r>
      <w:rPr>
        <w:spacing w:val="-6"/>
        <w:sz w:val="28"/>
        <w:szCs w:val="28"/>
      </w:rPr>
      <w:t>4</w:t>
    </w:r>
    <w:r>
      <w:rPr>
        <w:spacing w:val="5"/>
        <w:sz w:val="28"/>
        <w:szCs w:val="28"/>
      </w:rPr>
      <w:t xml:space="preserve"> </w:t>
    </w:r>
    <w:r>
      <w:rPr>
        <w:spacing w:val="-6"/>
        <w:sz w:val="28"/>
        <w:szCs w:val="28"/>
      </w:rPr>
      <w:t>-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0D0269">
    <w:pPr>
      <w:pStyle w:val="2"/>
      <w:spacing w:line="235" w:lineRule="auto"/>
      <w:ind w:right="51"/>
      <w:jc w:val="right"/>
      <w:rPr>
        <w:sz w:val="28"/>
        <w:szCs w:val="28"/>
      </w:rPr>
    </w:pPr>
    <w:r>
      <w:rPr>
        <w:spacing w:val="-8"/>
        <w:sz w:val="28"/>
        <w:szCs w:val="28"/>
      </w:rPr>
      <w:t>-</w:t>
    </w:r>
    <w:r>
      <w:rPr>
        <w:spacing w:val="16"/>
        <w:sz w:val="28"/>
        <w:szCs w:val="28"/>
      </w:rPr>
      <w:t xml:space="preserve"> </w:t>
    </w:r>
    <w:r>
      <w:rPr>
        <w:spacing w:val="-8"/>
        <w:sz w:val="28"/>
        <w:szCs w:val="28"/>
      </w:rPr>
      <w:t>5</w:t>
    </w:r>
    <w:r>
      <w:rPr>
        <w:spacing w:val="8"/>
        <w:sz w:val="28"/>
        <w:szCs w:val="28"/>
      </w:rPr>
      <w:t xml:space="preserve"> </w:t>
    </w:r>
    <w:r>
      <w:rPr>
        <w:spacing w:val="-8"/>
        <w:sz w:val="28"/>
        <w:szCs w:val="28"/>
      </w:rPr>
      <w:t>-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17C9E6">
    <w:pPr>
      <w:pStyle w:val="2"/>
      <w:spacing w:line="235" w:lineRule="auto"/>
      <w:rPr>
        <w:sz w:val="28"/>
        <w:szCs w:val="28"/>
      </w:rPr>
    </w:pPr>
    <w:r>
      <w:rPr>
        <w:spacing w:val="-7"/>
        <w:sz w:val="28"/>
        <w:szCs w:val="28"/>
      </w:rPr>
      <w:t>-</w:t>
    </w:r>
    <w:r>
      <w:rPr>
        <w:spacing w:val="13"/>
        <w:sz w:val="28"/>
        <w:szCs w:val="28"/>
      </w:rPr>
      <w:t xml:space="preserve"> </w:t>
    </w:r>
    <w:r>
      <w:rPr>
        <w:spacing w:val="-7"/>
        <w:sz w:val="28"/>
        <w:szCs w:val="28"/>
      </w:rPr>
      <w:t>6</w:t>
    </w:r>
    <w:r>
      <w:rPr>
        <w:spacing w:val="5"/>
        <w:sz w:val="28"/>
        <w:szCs w:val="28"/>
      </w:rPr>
      <w:t xml:space="preserve"> </w:t>
    </w:r>
    <w:r>
      <w:rPr>
        <w:spacing w:val="-7"/>
        <w:sz w:val="28"/>
        <w:szCs w:val="28"/>
      </w:rPr>
      <w:t>-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181C5A">
    <w:pPr>
      <w:pStyle w:val="2"/>
      <w:spacing w:line="235" w:lineRule="auto"/>
      <w:ind w:left="8129"/>
      <w:rPr>
        <w:sz w:val="28"/>
        <w:szCs w:val="28"/>
      </w:rPr>
    </w:pPr>
    <w:r>
      <w:rPr>
        <w:spacing w:val="-8"/>
        <w:sz w:val="28"/>
        <w:szCs w:val="28"/>
      </w:rPr>
      <w:t>-</w:t>
    </w:r>
    <w:r>
      <w:rPr>
        <w:spacing w:val="16"/>
        <w:sz w:val="28"/>
        <w:szCs w:val="28"/>
      </w:rPr>
      <w:t xml:space="preserve"> </w:t>
    </w:r>
    <w:r>
      <w:rPr>
        <w:spacing w:val="-8"/>
        <w:sz w:val="28"/>
        <w:szCs w:val="28"/>
      </w:rPr>
      <w:t>7</w:t>
    </w:r>
    <w:r>
      <w:rPr>
        <w:spacing w:val="8"/>
        <w:sz w:val="28"/>
        <w:szCs w:val="28"/>
      </w:rPr>
      <w:t xml:space="preserve"> </w:t>
    </w:r>
    <w:r>
      <w:rPr>
        <w:spacing w:val="-8"/>
        <w:sz w:val="28"/>
        <w:szCs w:val="28"/>
      </w:rPr>
      <w:t>-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627DC3">
    <w:pPr>
      <w:pStyle w:val="2"/>
      <w:spacing w:line="235" w:lineRule="auto"/>
      <w:rPr>
        <w:sz w:val="28"/>
        <w:szCs w:val="28"/>
      </w:rPr>
    </w:pPr>
    <w:r>
      <w:rPr>
        <w:spacing w:val="-6"/>
        <w:sz w:val="28"/>
        <w:szCs w:val="28"/>
      </w:rPr>
      <w:t>-</w:t>
    </w:r>
    <w:r>
      <w:rPr>
        <w:spacing w:val="10"/>
        <w:sz w:val="28"/>
        <w:szCs w:val="28"/>
      </w:rPr>
      <w:t xml:space="preserve"> </w:t>
    </w:r>
    <w:r>
      <w:rPr>
        <w:spacing w:val="-6"/>
        <w:sz w:val="28"/>
        <w:szCs w:val="28"/>
      </w:rPr>
      <w:t>8</w:t>
    </w:r>
    <w:r>
      <w:rPr>
        <w:spacing w:val="5"/>
        <w:sz w:val="28"/>
        <w:szCs w:val="28"/>
      </w:rPr>
      <w:t xml:space="preserve"> </w:t>
    </w:r>
    <w:r>
      <w:rPr>
        <w:spacing w:val="-6"/>
        <w:sz w:val="28"/>
        <w:szCs w:val="28"/>
      </w:rPr>
      <w:t>-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CC7627">
    <w:pPr>
      <w:pStyle w:val="2"/>
      <w:spacing w:line="235" w:lineRule="auto"/>
      <w:ind w:left="8132"/>
      <w:rPr>
        <w:sz w:val="28"/>
        <w:szCs w:val="28"/>
      </w:rPr>
    </w:pPr>
    <w:r>
      <w:rPr>
        <w:spacing w:val="-6"/>
        <w:sz w:val="28"/>
        <w:szCs w:val="28"/>
      </w:rPr>
      <w:t>-</w:t>
    </w:r>
    <w:r>
      <w:rPr>
        <w:spacing w:val="10"/>
        <w:sz w:val="28"/>
        <w:szCs w:val="28"/>
      </w:rPr>
      <w:t xml:space="preserve"> </w:t>
    </w:r>
    <w:r>
      <w:rPr>
        <w:spacing w:val="-6"/>
        <w:sz w:val="28"/>
        <w:szCs w:val="28"/>
      </w:rPr>
      <w:t>9</w:t>
    </w:r>
    <w:r>
      <w:rPr>
        <w:spacing w:val="8"/>
        <w:sz w:val="28"/>
        <w:szCs w:val="28"/>
      </w:rPr>
      <w:t xml:space="preserve"> </w:t>
    </w:r>
    <w:r>
      <w:rPr>
        <w:spacing w:val="-6"/>
        <w:sz w:val="28"/>
        <w:szCs w:val="28"/>
      </w:rPr>
      <w:t>-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042DA0">
    <w:pPr>
      <w:pStyle w:val="2"/>
      <w:spacing w:line="235" w:lineRule="auto"/>
      <w:rPr>
        <w:sz w:val="28"/>
        <w:szCs w:val="28"/>
      </w:rPr>
    </w:pPr>
    <w:r>
      <w:rPr>
        <w:spacing w:val="-10"/>
        <w:sz w:val="28"/>
        <w:szCs w:val="28"/>
      </w:rPr>
      <w:t>-</w:t>
    </w:r>
    <w:r>
      <w:rPr>
        <w:spacing w:val="32"/>
        <w:sz w:val="28"/>
        <w:szCs w:val="28"/>
      </w:rPr>
      <w:t xml:space="preserve"> </w:t>
    </w:r>
    <w:r>
      <w:rPr>
        <w:spacing w:val="-10"/>
        <w:sz w:val="28"/>
        <w:szCs w:val="28"/>
      </w:rPr>
      <w:t>10</w:t>
    </w:r>
    <w:r>
      <w:rPr>
        <w:spacing w:val="7"/>
        <w:sz w:val="28"/>
        <w:szCs w:val="28"/>
      </w:rPr>
      <w:t xml:space="preserve"> </w:t>
    </w:r>
    <w:r>
      <w:rPr>
        <w:spacing w:val="-10"/>
        <w:sz w:val="28"/>
        <w:szCs w:val="28"/>
      </w:rPr>
      <w:t>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58D7145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theme" Target="theme/theme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10</Pages>
  <Words>4303</Words>
  <Characters>4440</Characters>
  <TotalTime>0</TotalTime>
  <ScaleCrop>false</ScaleCrop>
  <LinksUpToDate>false</LinksUpToDate>
  <CharactersWithSpaces>4624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2025-11-19T09:24:00Z</dcterms:created>
  <dc:creator>汪奇峰</dc:creator>
  <cp:lastModifiedBy>KevinWang</cp:lastModifiedBy>
  <dcterms:modified xsi:type="dcterms:W3CDTF">2025-11-19T02:27:12Z</dcterms:modified>
  <dc:title>池州市贵池区人民政府办公室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2025-11-19T09:25:58Z</vt:filetime>
  </property>
  <property fmtid="{D5CDD505-2E9C-101B-9397-08002B2CF9AE}" pid="4" name="KSOTemplateDocerSaveRecord">
    <vt:lpwstr>eyJoZGlkIjoiODA3NjI2MGJiYjM3OGNiMGY2ZDA3ZGZlMDZkNmIzODkiLCJ1c2VySWQiOiIxMDYzNTUxMjk3In0=</vt:lpwstr>
  </property>
  <property fmtid="{D5CDD505-2E9C-101B-9397-08002B2CF9AE}" pid="5" name="KSOProductBuildVer">
    <vt:lpwstr>2052-12.1.0.23542</vt:lpwstr>
  </property>
  <property fmtid="{D5CDD505-2E9C-101B-9397-08002B2CF9AE}" pid="6" name="ICV">
    <vt:lpwstr>6C60D2BAFAD54D57974757630393D29C_12</vt:lpwstr>
  </property>
</Properties>
</file>