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7D88D">
      <w:pPr>
        <w:spacing w:line="560" w:lineRule="exact"/>
        <w:jc w:val="center"/>
        <w:rPr>
          <w:rFonts w:hint="eastAsia" w:ascii="方正小标宋简体" w:eastAsia="方正小标宋简体"/>
          <w:b/>
          <w:sz w:val="36"/>
          <w:szCs w:val="36"/>
        </w:rPr>
      </w:pPr>
      <w:bookmarkStart w:id="0" w:name="_GoBack"/>
      <w:bookmarkEnd w:id="0"/>
    </w:p>
    <w:p w14:paraId="0EAA3F47">
      <w:pPr>
        <w:spacing w:line="560" w:lineRule="exact"/>
        <w:jc w:val="center"/>
        <w:rPr>
          <w:rFonts w:hint="eastAsia" w:ascii="方正小标宋简体" w:eastAsia="方正小标宋简体"/>
          <w:b/>
          <w:sz w:val="36"/>
          <w:szCs w:val="36"/>
        </w:rPr>
      </w:pPr>
    </w:p>
    <w:p w14:paraId="68F95F6F">
      <w:pPr>
        <w:spacing w:line="560" w:lineRule="exact"/>
        <w:jc w:val="center"/>
        <w:rPr>
          <w:rFonts w:hint="eastAsia" w:ascii="方正小标宋简体" w:eastAsia="方正小标宋简体"/>
          <w:b/>
          <w:sz w:val="36"/>
          <w:szCs w:val="36"/>
        </w:rPr>
      </w:pPr>
    </w:p>
    <w:p w14:paraId="4644A617">
      <w:pPr>
        <w:spacing w:line="560" w:lineRule="exact"/>
        <w:jc w:val="center"/>
        <w:rPr>
          <w:rFonts w:hint="eastAsia" w:ascii="方正小标宋简体" w:eastAsia="方正小标宋简体"/>
          <w:b/>
          <w:sz w:val="36"/>
          <w:szCs w:val="36"/>
        </w:rPr>
      </w:pPr>
    </w:p>
    <w:p w14:paraId="07A59E3F">
      <w:pPr>
        <w:spacing w:line="560" w:lineRule="exact"/>
        <w:jc w:val="center"/>
        <w:rPr>
          <w:rFonts w:hint="eastAsia" w:ascii="方正小标宋简体" w:eastAsia="方正小标宋简体"/>
          <w:b/>
          <w:sz w:val="36"/>
          <w:szCs w:val="36"/>
        </w:rPr>
      </w:pPr>
    </w:p>
    <w:p w14:paraId="4D81517C">
      <w:pPr>
        <w:spacing w:line="560" w:lineRule="exact"/>
        <w:jc w:val="center"/>
        <w:rPr>
          <w:rFonts w:hint="eastAsia" w:ascii="方正小标宋简体" w:eastAsia="方正小标宋简体"/>
          <w:b/>
          <w:sz w:val="36"/>
          <w:szCs w:val="36"/>
        </w:rPr>
      </w:pPr>
    </w:p>
    <w:p w14:paraId="5C96B78D">
      <w:pPr>
        <w:spacing w:line="560" w:lineRule="exact"/>
        <w:jc w:val="center"/>
        <w:rPr>
          <w:rFonts w:hint="eastAsia" w:ascii="楷体" w:hAnsi="楷体" w:eastAsia="楷体" w:cs="楷体"/>
          <w:b/>
          <w:sz w:val="32"/>
          <w:szCs w:val="32"/>
        </w:rPr>
      </w:pPr>
      <w:r>
        <w:rPr>
          <w:rFonts w:hint="eastAsia" w:ascii="楷体" w:hAnsi="楷体" w:eastAsia="楷体" w:cs="楷体"/>
          <w:b/>
          <w:sz w:val="32"/>
          <w:szCs w:val="32"/>
        </w:rPr>
        <w:t>清街秘〔202</w:t>
      </w:r>
      <w:r>
        <w:rPr>
          <w:rFonts w:hint="eastAsia" w:ascii="楷体" w:hAnsi="楷体" w:eastAsia="楷体" w:cs="楷体"/>
          <w:b/>
          <w:sz w:val="32"/>
          <w:szCs w:val="32"/>
          <w:lang w:val="en-US" w:eastAsia="zh-CN"/>
        </w:rPr>
        <w:t>4</w:t>
      </w:r>
      <w:r>
        <w:rPr>
          <w:rFonts w:hint="eastAsia" w:ascii="楷体" w:hAnsi="楷体" w:eastAsia="楷体" w:cs="楷体"/>
          <w:b/>
          <w:sz w:val="32"/>
          <w:szCs w:val="32"/>
        </w:rPr>
        <w:t>〕</w:t>
      </w:r>
      <w:r>
        <w:rPr>
          <w:rFonts w:hint="eastAsia" w:ascii="楷体" w:hAnsi="楷体" w:eastAsia="楷体" w:cs="楷体"/>
          <w:b/>
          <w:sz w:val="32"/>
          <w:szCs w:val="32"/>
          <w:lang w:val="en-US" w:eastAsia="zh-CN"/>
        </w:rPr>
        <w:t>45</w:t>
      </w:r>
      <w:r>
        <w:rPr>
          <w:rFonts w:hint="eastAsia" w:ascii="楷体" w:hAnsi="楷体" w:eastAsia="楷体" w:cs="楷体"/>
          <w:b/>
          <w:sz w:val="32"/>
          <w:szCs w:val="32"/>
        </w:rPr>
        <w:t>号</w:t>
      </w:r>
    </w:p>
    <w:p w14:paraId="4457498F">
      <w:pPr>
        <w:spacing w:line="640" w:lineRule="exact"/>
        <w:jc w:val="center"/>
        <w:rPr>
          <w:rFonts w:hint="eastAsia" w:ascii="方正小标宋简体" w:eastAsia="方正小标宋简体"/>
          <w:b/>
          <w:sz w:val="44"/>
          <w:szCs w:val="44"/>
        </w:rPr>
      </w:pPr>
    </w:p>
    <w:p w14:paraId="1D97E92D">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Times New Roman" w:eastAsia="方正小标宋简体" w:cs="Times New Roman"/>
          <w:b/>
          <w:snapToGrid/>
          <w:color w:val="000000"/>
          <w:kern w:val="2"/>
          <w:sz w:val="44"/>
          <w:szCs w:val="32"/>
          <w:lang w:val="en-US" w:eastAsia="zh-CN"/>
          <w14:ligatures w14:val="none"/>
        </w:rPr>
      </w:pPr>
      <w:r>
        <w:rPr>
          <w:rFonts w:hint="eastAsia" w:ascii="方正小标宋简体" w:hAnsi="Times New Roman" w:eastAsia="方正小标宋简体" w:cs="Times New Roman"/>
          <w:b/>
          <w:snapToGrid/>
          <w:color w:val="000000"/>
          <w:kern w:val="2"/>
          <w:sz w:val="44"/>
          <w:szCs w:val="32"/>
          <w:lang w:val="en-US" w:eastAsia="zh-CN"/>
          <w14:ligatures w14:val="none"/>
        </w:rPr>
        <w:t>关于印发清风街道秋冬季消防和自建房风险隐患综合整治和重大火灾隐患清零行动、</w:t>
      </w:r>
    </w:p>
    <w:p w14:paraId="59F0281F">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Times New Roman" w:eastAsia="方正小标宋简体" w:cs="Times New Roman"/>
          <w:b/>
          <w:snapToGrid/>
          <w:color w:val="000000"/>
          <w:kern w:val="2"/>
          <w:sz w:val="44"/>
          <w:szCs w:val="32"/>
          <w:lang w:val="en-US" w:eastAsia="zh-CN"/>
          <w14:ligatures w14:val="none"/>
        </w:rPr>
      </w:pPr>
      <w:r>
        <w:rPr>
          <w:rFonts w:hint="eastAsia" w:ascii="方正小标宋简体" w:hAnsi="Times New Roman" w:eastAsia="方正小标宋简体" w:cs="Times New Roman"/>
          <w:b/>
          <w:snapToGrid/>
          <w:color w:val="000000"/>
          <w:kern w:val="2"/>
          <w:sz w:val="44"/>
          <w:szCs w:val="32"/>
          <w:lang w:val="en-US" w:eastAsia="zh-CN"/>
          <w14:ligatures w14:val="none"/>
        </w:rPr>
        <w:t>长期未整改安全隐患清零行动工作方案</w:t>
      </w:r>
    </w:p>
    <w:p w14:paraId="3EF14A4D">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Times New Roman" w:eastAsia="方正小标宋简体" w:cs="Times New Roman"/>
          <w:b/>
          <w:snapToGrid/>
          <w:color w:val="000000"/>
          <w:kern w:val="2"/>
          <w:sz w:val="44"/>
          <w:szCs w:val="32"/>
          <w:lang w:val="en-US" w:eastAsia="zh-CN"/>
          <w14:ligatures w14:val="none"/>
        </w:rPr>
      </w:pPr>
      <w:r>
        <w:rPr>
          <w:rFonts w:hint="eastAsia" w:ascii="方正小标宋简体" w:hAnsi="Times New Roman" w:eastAsia="方正小标宋简体" w:cs="Times New Roman"/>
          <w:b/>
          <w:snapToGrid/>
          <w:color w:val="000000"/>
          <w:kern w:val="2"/>
          <w:sz w:val="44"/>
          <w:szCs w:val="32"/>
          <w:lang w:val="en-US" w:eastAsia="zh-CN"/>
          <w14:ligatures w14:val="none"/>
        </w:rPr>
        <w:t>的通知</w:t>
      </w:r>
    </w:p>
    <w:p w14:paraId="0D5E7587">
      <w:pPr>
        <w:spacing w:line="319" w:lineRule="auto"/>
        <w:rPr>
          <w:rFonts w:ascii="Arial"/>
          <w:sz w:val="21"/>
        </w:rPr>
      </w:pPr>
    </w:p>
    <w:p w14:paraId="487CA673">
      <w:pPr>
        <w:keepNext w:val="0"/>
        <w:keepLines w:val="0"/>
        <w:pageBreakBefore w:val="0"/>
        <w:widowControl/>
        <w:kinsoku w:val="0"/>
        <w:wordWrap/>
        <w:overflowPunct/>
        <w:topLinePunct w:val="0"/>
        <w:autoSpaceDE w:val="0"/>
        <w:autoSpaceDN w:val="0"/>
        <w:bidi w:val="0"/>
        <w:adjustRightInd w:val="0"/>
        <w:snapToGrid w:val="0"/>
        <w:spacing w:line="480" w:lineRule="exact"/>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各社区：</w:t>
      </w:r>
    </w:p>
    <w:p w14:paraId="4FF14CD7">
      <w:pPr>
        <w:keepNext w:val="0"/>
        <w:keepLines w:val="0"/>
        <w:pageBreakBefore w:val="0"/>
        <w:widowControl/>
        <w:kinsoku w:val="0"/>
        <w:wordWrap/>
        <w:overflowPunct/>
        <w:topLinePunct w:val="0"/>
        <w:autoSpaceDE w:val="0"/>
        <w:autoSpaceDN w:val="0"/>
        <w:bidi w:val="0"/>
        <w:adjustRightInd w:val="0"/>
        <w:snapToGrid w:val="0"/>
        <w:spacing w:line="480" w:lineRule="exact"/>
        <w:ind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深刻吸取淮南市潘集区自建房10.19较大火灾事故教训，贯彻落实全省安全生产电视电话会议精神及全市、全区续会精神。街道决定在全街范围内开展秋冬季消防和自建房风险隐患综合整治和重大火灾隐患清零行动、长期未整改安全隐患清零行动（以下简称“一整治两清零”行动）。现将工作方案印发给你们，请结合实际认真贯彻落实。</w:t>
      </w:r>
    </w:p>
    <w:p w14:paraId="064A635F">
      <w:pPr>
        <w:keepNext w:val="0"/>
        <w:keepLines w:val="0"/>
        <w:pageBreakBefore w:val="0"/>
        <w:widowControl/>
        <w:kinsoku w:val="0"/>
        <w:wordWrap/>
        <w:overflowPunct/>
        <w:topLinePunct w:val="0"/>
        <w:autoSpaceDE w:val="0"/>
        <w:autoSpaceDN w:val="0"/>
        <w:bidi w:val="0"/>
        <w:adjustRightInd w:val="0"/>
        <w:snapToGrid w:val="0"/>
        <w:spacing w:line="480" w:lineRule="exact"/>
        <w:ind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附件：1.全街秋冬季消防和自建房风险隐患综合整治工作方案；</w:t>
      </w:r>
    </w:p>
    <w:p w14:paraId="616806C5">
      <w:pPr>
        <w:keepNext w:val="0"/>
        <w:keepLines w:val="0"/>
        <w:pageBreakBefore w:val="0"/>
        <w:widowControl/>
        <w:kinsoku w:val="0"/>
        <w:wordWrap/>
        <w:overflowPunct/>
        <w:topLinePunct w:val="0"/>
        <w:autoSpaceDE w:val="0"/>
        <w:autoSpaceDN w:val="0"/>
        <w:bidi w:val="0"/>
        <w:adjustRightInd w:val="0"/>
        <w:snapToGrid w:val="0"/>
        <w:spacing w:line="480" w:lineRule="exact"/>
        <w:ind w:firstLine="1600" w:firstLineChars="5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2.重大火灾隐患清零行动工作方案；</w:t>
      </w:r>
    </w:p>
    <w:p w14:paraId="0A43D1BA">
      <w:pPr>
        <w:keepNext w:val="0"/>
        <w:keepLines w:val="0"/>
        <w:pageBreakBefore w:val="0"/>
        <w:widowControl/>
        <w:kinsoku w:val="0"/>
        <w:wordWrap/>
        <w:overflowPunct/>
        <w:topLinePunct w:val="0"/>
        <w:autoSpaceDE w:val="0"/>
        <w:autoSpaceDN w:val="0"/>
        <w:bidi w:val="0"/>
        <w:adjustRightInd w:val="0"/>
        <w:snapToGrid w:val="0"/>
        <w:spacing w:line="480" w:lineRule="exact"/>
        <w:ind w:firstLine="1600" w:firstLineChars="500"/>
        <w:jc w:val="both"/>
        <w:textAlignment w:val="baseline"/>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3.长期未整改安全隐患清零行动工作方案。</w:t>
      </w:r>
    </w:p>
    <w:p w14:paraId="09D975C2">
      <w:pPr>
        <w:keepNext w:val="0"/>
        <w:keepLines w:val="0"/>
        <w:pageBreakBefore w:val="0"/>
        <w:widowControl/>
        <w:kinsoku w:val="0"/>
        <w:wordWrap/>
        <w:overflowPunct/>
        <w:topLinePunct w:val="0"/>
        <w:autoSpaceDE w:val="0"/>
        <w:autoSpaceDN w:val="0"/>
        <w:bidi w:val="0"/>
        <w:adjustRightInd w:val="0"/>
        <w:snapToGrid w:val="0"/>
        <w:spacing w:line="480" w:lineRule="exact"/>
        <w:ind w:firstLine="640" w:firstLineChars="200"/>
        <w:jc w:val="both"/>
        <w:textAlignment w:val="baseline"/>
        <w:rPr>
          <w:rFonts w:hint="eastAsia" w:ascii="仿宋_GB2312" w:hAnsi="仿宋_GB2312" w:eastAsia="仿宋_GB2312" w:cs="仿宋_GB2312"/>
          <w:b w:val="0"/>
          <w:bCs w:val="0"/>
          <w:sz w:val="32"/>
          <w:szCs w:val="32"/>
          <w:lang w:val="en-US" w:eastAsia="zh-CN"/>
        </w:rPr>
      </w:pPr>
    </w:p>
    <w:p w14:paraId="2CFBCCB1">
      <w:pPr>
        <w:keepNext w:val="0"/>
        <w:keepLines w:val="0"/>
        <w:pageBreakBefore w:val="0"/>
        <w:widowControl/>
        <w:kinsoku w:val="0"/>
        <w:wordWrap/>
        <w:overflowPunct/>
        <w:topLinePunct w:val="0"/>
        <w:autoSpaceDE w:val="0"/>
        <w:autoSpaceDN w:val="0"/>
        <w:bidi w:val="0"/>
        <w:adjustRightInd w:val="0"/>
        <w:snapToGrid w:val="0"/>
        <w:spacing w:line="480" w:lineRule="exact"/>
        <w:ind w:firstLine="2880" w:firstLineChars="9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池州市贵池区清风街道党政办公室</w:t>
      </w:r>
    </w:p>
    <w:p w14:paraId="505B0E0F">
      <w:pPr>
        <w:keepNext w:val="0"/>
        <w:keepLines w:val="0"/>
        <w:pageBreakBefore w:val="0"/>
        <w:widowControl/>
        <w:kinsoku w:val="0"/>
        <w:wordWrap/>
        <w:overflowPunct/>
        <w:topLinePunct w:val="0"/>
        <w:autoSpaceDE w:val="0"/>
        <w:autoSpaceDN w:val="0"/>
        <w:bidi w:val="0"/>
        <w:adjustRightInd w:val="0"/>
        <w:snapToGrid w:val="0"/>
        <w:spacing w:line="480" w:lineRule="exact"/>
        <w:ind w:firstLine="4160" w:firstLineChars="1300"/>
        <w:jc w:val="both"/>
        <w:textAlignment w:val="baseline"/>
        <w:rPr>
          <w:rFonts w:hint="default"/>
          <w:spacing w:val="3"/>
          <w:lang w:val="en-US" w:eastAsia="zh-CN"/>
        </w:rPr>
        <w:sectPr>
          <w:pgSz w:w="11906" w:h="16839"/>
          <w:pgMar w:top="1440" w:right="1746" w:bottom="1440" w:left="1746" w:header="0" w:footer="0" w:gutter="0"/>
          <w:cols w:space="720" w:num="1"/>
        </w:sectPr>
      </w:pPr>
      <w:r>
        <w:rPr>
          <w:rFonts w:hint="eastAsia" w:ascii="仿宋_GB2312" w:hAnsi="仿宋_GB2312" w:eastAsia="仿宋_GB2312" w:cs="仿宋_GB2312"/>
          <w:b w:val="0"/>
          <w:bCs w:val="0"/>
          <w:sz w:val="32"/>
          <w:szCs w:val="32"/>
          <w:lang w:val="en-US" w:eastAsia="zh-CN"/>
        </w:rPr>
        <w:t>2024年10月28日</w:t>
      </w:r>
    </w:p>
    <w:p w14:paraId="1E1CC452">
      <w:pPr>
        <w:spacing w:line="267" w:lineRule="auto"/>
        <w:rPr>
          <w:rFonts w:ascii="Arial"/>
          <w:sz w:val="21"/>
        </w:rPr>
      </w:pPr>
    </w:p>
    <w:p w14:paraId="628FFD87">
      <w:pPr>
        <w:pStyle w:val="2"/>
        <w:spacing w:before="101" w:line="219" w:lineRule="auto"/>
        <w:rPr>
          <w:rFonts w:hint="eastAsia" w:ascii="仿宋_GB2312" w:hAnsi="仿宋_GB2312" w:eastAsia="仿宋_GB2312" w:cs="仿宋_GB2312"/>
          <w:spacing w:val="-6"/>
          <w:sz w:val="32"/>
          <w:szCs w:val="32"/>
          <w:lang w:val="en-US" w:eastAsia="zh-CN"/>
        </w:rPr>
      </w:pPr>
      <w:r>
        <w:rPr>
          <w:rFonts w:hint="eastAsia" w:ascii="仿宋_GB2312" w:hAnsi="仿宋_GB2312" w:eastAsia="仿宋_GB2312" w:cs="仿宋_GB2312"/>
          <w:spacing w:val="-6"/>
          <w:sz w:val="32"/>
          <w:szCs w:val="32"/>
        </w:rPr>
        <w:t>附件</w:t>
      </w:r>
      <w:r>
        <w:rPr>
          <w:rFonts w:hint="eastAsia" w:ascii="仿宋_GB2312" w:hAnsi="仿宋_GB2312" w:eastAsia="仿宋_GB2312" w:cs="仿宋_GB2312"/>
          <w:spacing w:val="-6"/>
          <w:sz w:val="32"/>
          <w:szCs w:val="32"/>
          <w:lang w:val="en-US" w:eastAsia="zh-CN"/>
        </w:rPr>
        <w:t>1：</w:t>
      </w:r>
    </w:p>
    <w:p w14:paraId="4F51ABF9">
      <w:pPr>
        <w:pStyle w:val="2"/>
        <w:spacing w:before="101" w:line="219" w:lineRule="auto"/>
        <w:rPr>
          <w:rFonts w:hint="eastAsia" w:ascii="仿宋_GB2312" w:hAnsi="仿宋_GB2312" w:eastAsia="仿宋_GB2312" w:cs="仿宋_GB2312"/>
          <w:spacing w:val="-6"/>
          <w:sz w:val="32"/>
          <w:szCs w:val="32"/>
          <w:lang w:val="en-US" w:eastAsia="zh-CN"/>
        </w:rPr>
      </w:pPr>
    </w:p>
    <w:p w14:paraId="694DAD8B">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Times New Roman" w:eastAsia="方正小标宋简体" w:cs="Times New Roman"/>
          <w:b w:val="0"/>
          <w:bCs w:val="0"/>
          <w:snapToGrid/>
          <w:color w:val="000000"/>
          <w:kern w:val="2"/>
          <w:sz w:val="44"/>
          <w:szCs w:val="32"/>
          <w:lang w:val="en-US" w:eastAsia="zh-CN"/>
          <w14:ligatures w14:val="none"/>
        </w:rPr>
      </w:pPr>
      <w:r>
        <w:rPr>
          <w:rFonts w:hint="eastAsia" w:ascii="方正小标宋简体" w:hAnsi="Times New Roman" w:eastAsia="方正小标宋简体" w:cs="Times New Roman"/>
          <w:b w:val="0"/>
          <w:bCs w:val="0"/>
          <w:snapToGrid/>
          <w:color w:val="000000"/>
          <w:kern w:val="2"/>
          <w:sz w:val="44"/>
          <w:szCs w:val="32"/>
          <w:lang w:val="en-US" w:eastAsia="zh-CN"/>
          <w14:ligatures w14:val="none"/>
        </w:rPr>
        <w:t>清风街道秋冬季消防和自建房风险隐患</w:t>
      </w:r>
    </w:p>
    <w:p w14:paraId="08F01CD9">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Times New Roman" w:eastAsia="方正小标宋简体" w:cs="Times New Roman"/>
          <w:b w:val="0"/>
          <w:bCs w:val="0"/>
          <w:snapToGrid/>
          <w:color w:val="000000"/>
          <w:kern w:val="2"/>
          <w:sz w:val="44"/>
          <w:szCs w:val="32"/>
          <w:lang w:val="en-US" w:eastAsia="zh-CN"/>
          <w14:ligatures w14:val="none"/>
        </w:rPr>
      </w:pPr>
      <w:r>
        <w:rPr>
          <w:rFonts w:hint="eastAsia" w:ascii="方正小标宋简体" w:hAnsi="Times New Roman" w:eastAsia="方正小标宋简体" w:cs="Times New Roman"/>
          <w:b w:val="0"/>
          <w:bCs w:val="0"/>
          <w:snapToGrid/>
          <w:color w:val="000000"/>
          <w:kern w:val="2"/>
          <w:sz w:val="44"/>
          <w:szCs w:val="32"/>
          <w:lang w:val="en-US" w:eastAsia="zh-CN"/>
          <w14:ligatures w14:val="none"/>
        </w:rPr>
        <w:t>综合整治工作方案</w:t>
      </w:r>
    </w:p>
    <w:p w14:paraId="002CD19D">
      <w:pPr>
        <w:spacing w:line="315" w:lineRule="auto"/>
        <w:rPr>
          <w:rFonts w:ascii="Arial"/>
          <w:sz w:val="21"/>
        </w:rPr>
      </w:pPr>
    </w:p>
    <w:p w14:paraId="6ABB85E5">
      <w:pPr>
        <w:spacing w:line="316" w:lineRule="auto"/>
        <w:rPr>
          <w:rFonts w:ascii="Arial"/>
          <w:sz w:val="21"/>
        </w:rPr>
      </w:pPr>
    </w:p>
    <w:p w14:paraId="21069C2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11" w:right="96" w:firstLine="646"/>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3"/>
          <w:sz w:val="32"/>
          <w:szCs w:val="32"/>
        </w:rPr>
        <w:t>为有效降低和防范重大火灾风险，坚决遏制群死群伤火灾事</w:t>
      </w:r>
      <w:r>
        <w:rPr>
          <w:rFonts w:hint="eastAsia" w:ascii="仿宋_GB2312" w:hAnsi="仿宋_GB2312" w:eastAsia="仿宋_GB2312" w:cs="仿宋_GB2312"/>
          <w:spacing w:val="11"/>
          <w:sz w:val="32"/>
          <w:szCs w:val="32"/>
        </w:rPr>
        <w:t>故，减少一般事故，确保人民群众生命财产安全</w:t>
      </w:r>
      <w:r>
        <w:rPr>
          <w:rFonts w:hint="eastAsia" w:ascii="仿宋_GB2312" w:hAnsi="仿宋_GB2312" w:eastAsia="仿宋_GB2312" w:cs="仿宋_GB2312"/>
          <w:spacing w:val="10"/>
          <w:sz w:val="32"/>
          <w:szCs w:val="32"/>
        </w:rPr>
        <w:t>，</w:t>
      </w:r>
      <w:r>
        <w:rPr>
          <w:rFonts w:hint="eastAsia" w:ascii="仿宋_GB2312" w:hAnsi="仿宋_GB2312" w:eastAsia="仿宋_GB2312" w:cs="仿宋_GB2312"/>
          <w:spacing w:val="11"/>
          <w:sz w:val="32"/>
          <w:szCs w:val="32"/>
          <w:lang w:val="en-US" w:eastAsia="zh-CN"/>
        </w:rPr>
        <w:t>街道将在全街</w:t>
      </w:r>
      <w:r>
        <w:rPr>
          <w:rFonts w:hint="eastAsia" w:ascii="仿宋_GB2312" w:hAnsi="仿宋_GB2312" w:eastAsia="仿宋_GB2312" w:cs="仿宋_GB2312"/>
          <w:spacing w:val="11"/>
          <w:sz w:val="32"/>
          <w:szCs w:val="32"/>
        </w:rPr>
        <w:t>范</w:t>
      </w:r>
      <w:r>
        <w:rPr>
          <w:rFonts w:hint="eastAsia" w:ascii="仿宋_GB2312" w:hAnsi="仿宋_GB2312" w:eastAsia="仿宋_GB2312" w:cs="仿宋_GB2312"/>
          <w:spacing w:val="13"/>
          <w:sz w:val="32"/>
          <w:szCs w:val="32"/>
        </w:rPr>
        <w:t>围内开展秋冬季消防和自建房风险隐患综合整治。工作</w:t>
      </w:r>
      <w:r>
        <w:rPr>
          <w:rFonts w:hint="eastAsia" w:ascii="仿宋_GB2312" w:hAnsi="仿宋_GB2312" w:eastAsia="仿宋_GB2312" w:cs="仿宋_GB2312"/>
          <w:spacing w:val="4"/>
          <w:sz w:val="32"/>
          <w:szCs w:val="32"/>
        </w:rPr>
        <w:t>方案如下：</w:t>
      </w:r>
    </w:p>
    <w:p w14:paraId="3248EF79">
      <w:pPr>
        <w:keepNext w:val="0"/>
        <w:keepLines w:val="0"/>
        <w:pageBreakBefore w:val="0"/>
        <w:widowControl/>
        <w:kinsoku w:val="0"/>
        <w:wordWrap/>
        <w:overflowPunct/>
        <w:topLinePunct w:val="0"/>
        <w:autoSpaceDE w:val="0"/>
        <w:autoSpaceDN w:val="0"/>
        <w:bidi w:val="0"/>
        <w:adjustRightInd w:val="0"/>
        <w:snapToGrid w:val="0"/>
        <w:spacing w:line="560" w:lineRule="exact"/>
        <w:ind w:left="648"/>
        <w:textAlignment w:val="baseline"/>
        <w:rPr>
          <w:rFonts w:ascii="黑体" w:hAnsi="黑体" w:eastAsia="黑体" w:cs="黑体"/>
          <w:sz w:val="32"/>
          <w:szCs w:val="32"/>
        </w:rPr>
      </w:pPr>
      <w:r>
        <w:rPr>
          <w:rFonts w:ascii="黑体" w:hAnsi="黑体" w:eastAsia="黑体" w:cs="黑体"/>
          <w:spacing w:val="7"/>
          <w:sz w:val="32"/>
          <w:szCs w:val="32"/>
        </w:rPr>
        <w:t>一、工作目标</w:t>
      </w:r>
    </w:p>
    <w:p w14:paraId="4990175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11" w:right="96" w:firstLine="646"/>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spacing w:val="13"/>
          <w:sz w:val="32"/>
          <w:szCs w:val="32"/>
        </w:rPr>
        <w:t>深入学习宣传贯彻党的二十届三中全会精神，坚决贯彻落实习近平总书记关于安全生产重要指示精神，迅速组织起来，压实压紧责任，敢于动真碰硬，抓实抓细工作，坚持人民至上、生命至上，举一反三在全</w:t>
      </w:r>
      <w:r>
        <w:rPr>
          <w:rFonts w:hint="eastAsia" w:ascii="仿宋_GB2312" w:hAnsi="仿宋_GB2312" w:eastAsia="仿宋_GB2312" w:cs="仿宋_GB2312"/>
          <w:spacing w:val="13"/>
          <w:sz w:val="32"/>
          <w:szCs w:val="32"/>
          <w:lang w:val="en-US" w:eastAsia="zh-CN"/>
        </w:rPr>
        <w:t>街</w:t>
      </w:r>
      <w:r>
        <w:rPr>
          <w:rFonts w:hint="eastAsia" w:ascii="仿宋_GB2312" w:hAnsi="仿宋_GB2312" w:eastAsia="仿宋_GB2312" w:cs="仿宋_GB2312"/>
          <w:spacing w:val="13"/>
          <w:sz w:val="32"/>
          <w:szCs w:val="32"/>
        </w:rPr>
        <w:t>组织开展秋冬季消防和自建房风险隐患综合整治工作，有力有效全面化解各类风险隐患，以安全稳定的社会环境助力全</w:t>
      </w:r>
      <w:r>
        <w:rPr>
          <w:rFonts w:hint="eastAsia" w:ascii="仿宋_GB2312" w:hAnsi="仿宋_GB2312" w:eastAsia="仿宋_GB2312" w:cs="仿宋_GB2312"/>
          <w:spacing w:val="13"/>
          <w:sz w:val="32"/>
          <w:szCs w:val="32"/>
          <w:lang w:val="en-US" w:eastAsia="zh-CN"/>
        </w:rPr>
        <w:t>街</w:t>
      </w:r>
      <w:r>
        <w:rPr>
          <w:rFonts w:hint="eastAsia" w:ascii="仿宋_GB2312" w:hAnsi="仿宋_GB2312" w:eastAsia="仿宋_GB2312" w:cs="仿宋_GB2312"/>
          <w:spacing w:val="13"/>
          <w:sz w:val="32"/>
          <w:szCs w:val="32"/>
        </w:rPr>
        <w:t>经济社会高质量发展。</w:t>
      </w:r>
    </w:p>
    <w:p w14:paraId="09AEE05B">
      <w:pPr>
        <w:keepNext w:val="0"/>
        <w:keepLines w:val="0"/>
        <w:pageBreakBefore w:val="0"/>
        <w:widowControl/>
        <w:kinsoku w:val="0"/>
        <w:wordWrap/>
        <w:overflowPunct/>
        <w:topLinePunct w:val="0"/>
        <w:autoSpaceDE w:val="0"/>
        <w:autoSpaceDN w:val="0"/>
        <w:bidi w:val="0"/>
        <w:adjustRightInd w:val="0"/>
        <w:snapToGrid w:val="0"/>
        <w:spacing w:line="560" w:lineRule="exact"/>
        <w:ind w:left="648"/>
        <w:textAlignment w:val="baseline"/>
        <w:outlineLvl w:val="1"/>
        <w:rPr>
          <w:rFonts w:ascii="黑体" w:hAnsi="黑体" w:eastAsia="黑体" w:cs="黑体"/>
          <w:sz w:val="31"/>
          <w:szCs w:val="31"/>
        </w:rPr>
      </w:pPr>
      <w:r>
        <w:rPr>
          <w:rFonts w:ascii="黑体" w:hAnsi="黑体" w:eastAsia="黑体" w:cs="黑体"/>
          <w:spacing w:val="8"/>
          <w:sz w:val="31"/>
          <w:szCs w:val="31"/>
        </w:rPr>
        <w:t>二、整治范围及重点内容</w:t>
      </w:r>
    </w:p>
    <w:p w14:paraId="5CB4FC5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4" w:firstLine="631"/>
        <w:textAlignment w:val="baseline"/>
        <w:rPr>
          <w:rFonts w:hint="eastAsia" w:ascii="仿宋_GB2312" w:hAnsi="仿宋_GB2312" w:eastAsia="仿宋_GB2312" w:cs="仿宋_GB2312"/>
          <w:spacing w:val="13"/>
          <w:sz w:val="32"/>
          <w:szCs w:val="32"/>
        </w:rPr>
      </w:pPr>
      <w:r>
        <w:rPr>
          <w:rFonts w:hint="eastAsia" w:ascii="楷体" w:hAnsi="楷体" w:eastAsia="楷体" w:cs="楷体"/>
          <w:b/>
          <w:bCs/>
          <w:spacing w:val="4"/>
          <w:sz w:val="32"/>
          <w:szCs w:val="32"/>
        </w:rPr>
        <w:t>（一）整治范围：</w:t>
      </w:r>
      <w:r>
        <w:rPr>
          <w:rFonts w:hint="eastAsia" w:ascii="仿宋_GB2312" w:hAnsi="仿宋_GB2312" w:eastAsia="仿宋_GB2312" w:cs="仿宋_GB2312"/>
          <w:spacing w:val="13"/>
          <w:sz w:val="32"/>
          <w:szCs w:val="32"/>
        </w:rPr>
        <w:t>包括但不限于自建房、群租房，商场市场、住宅无水小区、“多合一”场所、“九小场所”、劳动密集型企业、公共娱乐场所、宾馆饭店、高层建筑、养老</w:t>
      </w:r>
      <w:r>
        <w:rPr>
          <w:rFonts w:hint="eastAsia" w:ascii="仿宋_GB2312" w:hAnsi="仿宋_GB2312" w:eastAsia="仿宋_GB2312" w:cs="仿宋_GB2312"/>
          <w:spacing w:val="13"/>
          <w:sz w:val="32"/>
          <w:szCs w:val="32"/>
          <w:lang w:val="en-US" w:eastAsia="zh-CN"/>
        </w:rPr>
        <w:t>中心</w:t>
      </w:r>
      <w:r>
        <w:rPr>
          <w:rFonts w:hint="eastAsia" w:ascii="仿宋_GB2312" w:hAnsi="仿宋_GB2312" w:eastAsia="仿宋_GB2312" w:cs="仿宋_GB2312"/>
          <w:spacing w:val="13"/>
          <w:sz w:val="32"/>
          <w:szCs w:val="32"/>
        </w:rPr>
        <w:t>、施工工地、中小学校（幼儿园）、校外培训机构、宗教及文博单位、交通运输企业等各行业领域生产经营场所。</w:t>
      </w:r>
    </w:p>
    <w:p w14:paraId="5885FF2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4" w:firstLine="631"/>
        <w:textAlignment w:val="baseline"/>
        <w:rPr>
          <w:rFonts w:hint="eastAsia" w:ascii="仿宋_GB2312" w:hAnsi="仿宋_GB2312" w:eastAsia="仿宋_GB2312" w:cs="仿宋_GB2312"/>
          <w:spacing w:val="13"/>
          <w:sz w:val="32"/>
          <w:szCs w:val="32"/>
        </w:rPr>
      </w:pPr>
      <w:r>
        <w:rPr>
          <w:rFonts w:hint="eastAsia" w:ascii="楷体" w:hAnsi="楷体" w:eastAsia="楷体" w:cs="楷体"/>
          <w:b/>
          <w:bCs/>
          <w:spacing w:val="4"/>
          <w:sz w:val="32"/>
          <w:szCs w:val="32"/>
        </w:rPr>
        <w:t>（二）重点内容：</w:t>
      </w:r>
      <w:r>
        <w:rPr>
          <w:rFonts w:hint="eastAsia" w:ascii="仿宋_GB2312" w:hAnsi="仿宋_GB2312" w:eastAsia="仿宋_GB2312" w:cs="仿宋_GB2312"/>
          <w:spacing w:val="13"/>
          <w:sz w:val="32"/>
          <w:szCs w:val="32"/>
        </w:rPr>
        <w:t>重点整治违规使用易燃可燃材料装修装饰、建筑防火分隔不到位、疏散通道不畅通、违规存放易燃易爆危险品、违规动火作业、消防设施损坏停用、电动自行车违规停放充电、超标准违规住人、重点岗位人员责任不落实、日常消防安全管理机制不健全、宣传教育不到位等方面的突出问题。</w:t>
      </w:r>
    </w:p>
    <w:p w14:paraId="4143F691">
      <w:pPr>
        <w:keepNext w:val="0"/>
        <w:keepLines w:val="0"/>
        <w:pageBreakBefore w:val="0"/>
        <w:widowControl/>
        <w:kinsoku w:val="0"/>
        <w:wordWrap/>
        <w:overflowPunct/>
        <w:topLinePunct w:val="0"/>
        <w:autoSpaceDE w:val="0"/>
        <w:autoSpaceDN w:val="0"/>
        <w:bidi w:val="0"/>
        <w:adjustRightInd w:val="0"/>
        <w:snapToGrid w:val="0"/>
        <w:spacing w:line="560" w:lineRule="exact"/>
        <w:ind w:left="653"/>
        <w:textAlignment w:val="baseline"/>
        <w:rPr>
          <w:rFonts w:ascii="黑体" w:hAnsi="黑体" w:eastAsia="黑体" w:cs="黑体"/>
          <w:sz w:val="32"/>
          <w:szCs w:val="32"/>
        </w:rPr>
      </w:pPr>
      <w:r>
        <w:rPr>
          <w:rFonts w:ascii="黑体" w:hAnsi="黑体" w:eastAsia="黑体" w:cs="黑体"/>
          <w:spacing w:val="8"/>
          <w:sz w:val="32"/>
          <w:szCs w:val="32"/>
        </w:rPr>
        <w:t>三、时间安排及任务分工</w:t>
      </w:r>
    </w:p>
    <w:p w14:paraId="58CA991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4" w:firstLine="631"/>
        <w:textAlignment w:val="baseline"/>
        <w:rPr>
          <w:rFonts w:hint="eastAsia" w:ascii="楷体" w:hAnsi="楷体" w:eastAsia="楷体" w:cs="楷体"/>
          <w:b/>
          <w:bCs/>
          <w:spacing w:val="4"/>
          <w:sz w:val="32"/>
          <w:szCs w:val="32"/>
        </w:rPr>
      </w:pPr>
      <w:r>
        <w:rPr>
          <w:rFonts w:hint="eastAsia" w:ascii="楷体" w:hAnsi="楷体" w:eastAsia="楷体" w:cs="楷体"/>
          <w:b/>
          <w:bCs/>
          <w:spacing w:val="4"/>
          <w:sz w:val="32"/>
          <w:szCs w:val="32"/>
        </w:rPr>
        <w:t>（一）整治时间及步骤</w:t>
      </w:r>
    </w:p>
    <w:p w14:paraId="50B4664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4" w:firstLine="631"/>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spacing w:val="13"/>
          <w:sz w:val="32"/>
          <w:szCs w:val="32"/>
        </w:rPr>
        <w:t>自即日起开始至12月31日，分3个阶段进行：</w:t>
      </w:r>
    </w:p>
    <w:p w14:paraId="7779973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4" w:firstLine="631"/>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1.即日起至10月31日为集中排查整治阶段。</w:t>
      </w:r>
      <w:r>
        <w:rPr>
          <w:rFonts w:hint="eastAsia" w:ascii="仿宋_GB2312" w:hAnsi="仿宋_GB2312" w:eastAsia="仿宋_GB2312" w:cs="仿宋_GB2312"/>
          <w:spacing w:val="13"/>
          <w:sz w:val="32"/>
          <w:szCs w:val="32"/>
          <w:lang w:val="en-US" w:eastAsia="zh-CN"/>
        </w:rPr>
        <w:t>各社区要</w:t>
      </w:r>
      <w:r>
        <w:rPr>
          <w:rFonts w:hint="eastAsia" w:ascii="仿宋_GB2312" w:hAnsi="仿宋_GB2312" w:eastAsia="仿宋_GB2312" w:cs="仿宋_GB2312"/>
          <w:spacing w:val="13"/>
          <w:sz w:val="32"/>
          <w:szCs w:val="32"/>
        </w:rPr>
        <w:t>按照属地管理、分级负责和“管行业必须管安全，管业务必须管安全，管生产经营必须管安全”要求，立即组织人员对本</w:t>
      </w:r>
      <w:r>
        <w:rPr>
          <w:rFonts w:hint="eastAsia" w:ascii="仿宋_GB2312" w:hAnsi="仿宋_GB2312" w:eastAsia="仿宋_GB2312" w:cs="仿宋_GB2312"/>
          <w:spacing w:val="13"/>
          <w:sz w:val="32"/>
          <w:szCs w:val="32"/>
          <w:lang w:val="en-US" w:eastAsia="zh-CN"/>
        </w:rPr>
        <w:t>辖区</w:t>
      </w:r>
      <w:r>
        <w:rPr>
          <w:rFonts w:hint="eastAsia" w:ascii="仿宋_GB2312" w:hAnsi="仿宋_GB2312" w:eastAsia="仿宋_GB2312" w:cs="仿宋_GB2312"/>
          <w:spacing w:val="13"/>
          <w:sz w:val="32"/>
          <w:szCs w:val="32"/>
        </w:rPr>
        <w:t>本行业本领域各类人员密集场所开展“全覆盖”排查，建立火灾隐患清单（见附表1），强化立行立改。对前期排查发现且一时难以整改到位的隐患，逐个制定整改计划和措施，逐个落实整改方案、确保火灾隐患整改消除。</w:t>
      </w:r>
    </w:p>
    <w:p w14:paraId="7D6CF00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4" w:firstLine="631"/>
        <w:textAlignment w:val="baseline"/>
        <w:rPr>
          <w:rFonts w:hint="default" w:ascii="仿宋_GB2312" w:hAnsi="仿宋_GB2312" w:eastAsia="仿宋_GB2312" w:cs="仿宋_GB2312"/>
          <w:spacing w:val="13"/>
          <w:sz w:val="32"/>
          <w:szCs w:val="32"/>
          <w:lang w:val="en-US" w:eastAsia="zh-CN"/>
        </w:rPr>
      </w:pPr>
      <w:r>
        <w:rPr>
          <w:rFonts w:hint="eastAsia" w:ascii="仿宋_GB2312" w:hAnsi="仿宋_GB2312" w:eastAsia="仿宋_GB2312" w:cs="仿宋_GB2312"/>
          <w:b/>
          <w:bCs/>
          <w:spacing w:val="13"/>
          <w:sz w:val="32"/>
          <w:szCs w:val="32"/>
        </w:rPr>
        <w:t>2.10月23日至10月31日为</w:t>
      </w:r>
      <w:r>
        <w:rPr>
          <w:rFonts w:hint="eastAsia" w:ascii="仿宋_GB2312" w:hAnsi="仿宋_GB2312" w:eastAsia="仿宋_GB2312" w:cs="仿宋_GB2312"/>
          <w:b/>
          <w:bCs/>
          <w:spacing w:val="13"/>
          <w:sz w:val="32"/>
          <w:szCs w:val="32"/>
          <w:lang w:val="en-US" w:eastAsia="zh-CN"/>
        </w:rPr>
        <w:t>街道排查整治</w:t>
      </w:r>
      <w:r>
        <w:rPr>
          <w:rFonts w:hint="eastAsia" w:ascii="仿宋_GB2312" w:hAnsi="仿宋_GB2312" w:eastAsia="仿宋_GB2312" w:cs="仿宋_GB2312"/>
          <w:b/>
          <w:bCs/>
          <w:spacing w:val="13"/>
          <w:sz w:val="32"/>
          <w:szCs w:val="32"/>
        </w:rPr>
        <w:t>阶段。</w:t>
      </w:r>
      <w:r>
        <w:rPr>
          <w:rFonts w:hint="eastAsia" w:ascii="仿宋_GB2312" w:hAnsi="仿宋_GB2312" w:eastAsia="仿宋_GB2312" w:cs="仿宋_GB2312"/>
          <w:spacing w:val="13"/>
          <w:sz w:val="32"/>
          <w:szCs w:val="32"/>
          <w:lang w:val="en-US" w:eastAsia="zh-CN"/>
        </w:rPr>
        <w:t>各社区要迅速开展隐患排查，将排查情况及时上报。</w:t>
      </w:r>
    </w:p>
    <w:p w14:paraId="76BDA84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4" w:firstLine="631"/>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3.11月10日-12月31日为巩固提升阶段。</w:t>
      </w:r>
      <w:r>
        <w:rPr>
          <w:rFonts w:hint="eastAsia" w:ascii="仿宋_GB2312" w:hAnsi="仿宋_GB2312" w:eastAsia="仿宋_GB2312" w:cs="仿宋_GB2312"/>
          <w:spacing w:val="13"/>
          <w:sz w:val="32"/>
          <w:szCs w:val="32"/>
        </w:rPr>
        <w:t>总结经验做法，形成制度措施，确保存量隐患清零</w:t>
      </w:r>
      <w:r>
        <w:rPr>
          <w:rFonts w:hint="eastAsia" w:ascii="仿宋_GB2312" w:hAnsi="仿宋_GB2312" w:eastAsia="仿宋_GB2312" w:cs="仿宋_GB2312"/>
          <w:spacing w:val="13"/>
          <w:sz w:val="32"/>
          <w:szCs w:val="32"/>
          <w:lang w:eastAsia="zh-CN"/>
        </w:rPr>
        <w:t>，</w:t>
      </w:r>
      <w:r>
        <w:rPr>
          <w:rFonts w:hint="eastAsia" w:ascii="仿宋_GB2312" w:hAnsi="仿宋_GB2312" w:eastAsia="仿宋_GB2312" w:cs="仿宋_GB2312"/>
          <w:spacing w:val="13"/>
          <w:sz w:val="32"/>
          <w:szCs w:val="32"/>
        </w:rPr>
        <w:t>增量隐患动态清零。</w:t>
      </w:r>
    </w:p>
    <w:p w14:paraId="704F418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4" w:firstLine="631"/>
        <w:textAlignment w:val="baseline"/>
        <w:rPr>
          <w:rFonts w:hint="eastAsia" w:ascii="楷体" w:hAnsi="楷体" w:eastAsia="楷体" w:cs="楷体"/>
          <w:b/>
          <w:bCs/>
          <w:spacing w:val="4"/>
          <w:sz w:val="32"/>
          <w:szCs w:val="32"/>
        </w:rPr>
      </w:pPr>
      <w:r>
        <w:rPr>
          <w:rFonts w:hint="eastAsia" w:ascii="楷体" w:hAnsi="楷体" w:eastAsia="楷体" w:cs="楷体"/>
          <w:b/>
          <w:bCs/>
          <w:spacing w:val="4"/>
          <w:sz w:val="32"/>
          <w:szCs w:val="32"/>
        </w:rPr>
        <w:t>（二）整治任务分工</w:t>
      </w:r>
    </w:p>
    <w:p w14:paraId="7608EC0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7" w:right="81" w:firstLine="659"/>
        <w:jc w:val="both"/>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1.</w:t>
      </w:r>
      <w:r>
        <w:rPr>
          <w:rFonts w:hint="eastAsia" w:ascii="仿宋_GB2312" w:hAnsi="仿宋_GB2312" w:eastAsia="仿宋_GB2312" w:cs="仿宋_GB2312"/>
          <w:b/>
          <w:bCs/>
          <w:spacing w:val="13"/>
          <w:sz w:val="32"/>
          <w:szCs w:val="32"/>
          <w:lang w:val="en-US" w:eastAsia="zh-CN"/>
        </w:rPr>
        <w:t>物管办</w:t>
      </w:r>
      <w:r>
        <w:rPr>
          <w:rFonts w:hint="eastAsia" w:ascii="仿宋_GB2312" w:hAnsi="仿宋_GB2312" w:eastAsia="仿宋_GB2312" w:cs="仿宋_GB2312"/>
          <w:b/>
          <w:bCs/>
          <w:spacing w:val="13"/>
          <w:sz w:val="32"/>
          <w:szCs w:val="32"/>
        </w:rPr>
        <w:t>：</w:t>
      </w:r>
      <w:r>
        <w:rPr>
          <w:rFonts w:hint="eastAsia" w:ascii="仿宋_GB2312" w:hAnsi="仿宋_GB2312" w:eastAsia="仿宋_GB2312" w:cs="仿宋_GB2312"/>
          <w:spacing w:val="13"/>
          <w:sz w:val="32"/>
          <w:szCs w:val="32"/>
        </w:rPr>
        <w:t>重点排查生产经营租住自建房、群租房、“九小场所”结构安全、消防安全、电气安全等；建筑施工工地，集中整治临时办公场所、员工住宿场所结构安全、消防安全、电气安全等；督促物业服务企业加强住宅小区管理，集中整治住宅小区电动自行车飞线充电、进梯入户、高层住宅无水小区和消防通道违规堵、占问题等突出风险。</w:t>
      </w:r>
    </w:p>
    <w:p w14:paraId="1B643AB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7" w:right="81" w:firstLine="659"/>
        <w:jc w:val="both"/>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2.</w:t>
      </w:r>
      <w:r>
        <w:rPr>
          <w:rFonts w:hint="eastAsia" w:ascii="仿宋_GB2312" w:hAnsi="仿宋_GB2312" w:eastAsia="仿宋_GB2312" w:cs="仿宋_GB2312"/>
          <w:b/>
          <w:bCs/>
          <w:spacing w:val="13"/>
          <w:sz w:val="32"/>
          <w:szCs w:val="32"/>
          <w:lang w:val="en-US" w:eastAsia="zh-CN"/>
        </w:rPr>
        <w:t>安委办</w:t>
      </w:r>
      <w:r>
        <w:rPr>
          <w:rFonts w:hint="eastAsia" w:ascii="仿宋_GB2312" w:hAnsi="仿宋_GB2312" w:eastAsia="仿宋_GB2312" w:cs="仿宋_GB2312"/>
          <w:b/>
          <w:bCs/>
          <w:spacing w:val="13"/>
          <w:sz w:val="32"/>
          <w:szCs w:val="32"/>
        </w:rPr>
        <w:t>：</w:t>
      </w:r>
      <w:r>
        <w:rPr>
          <w:rFonts w:hint="eastAsia" w:ascii="仿宋_GB2312" w:hAnsi="仿宋_GB2312" w:eastAsia="仿宋_GB2312" w:cs="仿宋_GB2312"/>
          <w:spacing w:val="13"/>
          <w:sz w:val="32"/>
          <w:szCs w:val="32"/>
        </w:rPr>
        <w:t>加强消防重点单位隐患排查治理；组织协调，开展宣贯培训，发动</w:t>
      </w:r>
      <w:r>
        <w:rPr>
          <w:rFonts w:hint="eastAsia" w:ascii="仿宋_GB2312" w:hAnsi="仿宋_GB2312" w:eastAsia="仿宋_GB2312" w:cs="仿宋_GB2312"/>
          <w:spacing w:val="13"/>
          <w:sz w:val="32"/>
          <w:szCs w:val="32"/>
          <w:lang w:val="en-US" w:eastAsia="zh-CN"/>
        </w:rPr>
        <w:t>各部门</w:t>
      </w:r>
      <w:r>
        <w:rPr>
          <w:rFonts w:hint="eastAsia" w:ascii="仿宋_GB2312" w:hAnsi="仿宋_GB2312" w:eastAsia="仿宋_GB2312" w:cs="仿宋_GB2312"/>
          <w:spacing w:val="13"/>
          <w:sz w:val="32"/>
          <w:szCs w:val="32"/>
        </w:rPr>
        <w:t>开展自查自改，营造浓厚的消防安全排查整治氛围。</w:t>
      </w:r>
    </w:p>
    <w:p w14:paraId="36EB054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7" w:right="81" w:firstLine="659"/>
        <w:jc w:val="both"/>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3.</w:t>
      </w:r>
      <w:r>
        <w:rPr>
          <w:rFonts w:hint="eastAsia" w:ascii="仿宋_GB2312" w:hAnsi="仿宋_GB2312" w:eastAsia="仿宋_GB2312" w:cs="仿宋_GB2312"/>
          <w:b/>
          <w:bCs/>
          <w:spacing w:val="13"/>
          <w:sz w:val="32"/>
          <w:szCs w:val="32"/>
          <w:lang w:val="en-US" w:eastAsia="zh-CN"/>
        </w:rPr>
        <w:t>安委办</w:t>
      </w:r>
      <w:r>
        <w:rPr>
          <w:rFonts w:hint="eastAsia" w:ascii="仿宋_GB2312" w:hAnsi="仿宋_GB2312" w:eastAsia="仿宋_GB2312" w:cs="仿宋_GB2312"/>
          <w:b/>
          <w:bCs/>
          <w:spacing w:val="13"/>
          <w:sz w:val="32"/>
          <w:szCs w:val="32"/>
        </w:rPr>
        <w:t>：</w:t>
      </w:r>
      <w:r>
        <w:rPr>
          <w:rFonts w:hint="eastAsia" w:ascii="仿宋_GB2312" w:hAnsi="仿宋_GB2312" w:eastAsia="仿宋_GB2312" w:cs="仿宋_GB2312"/>
          <w:spacing w:val="13"/>
          <w:sz w:val="32"/>
          <w:szCs w:val="32"/>
        </w:rPr>
        <w:t>重点排查危险化学品、烟花爆竹、工贸企业消防安全管理情况。</w:t>
      </w:r>
    </w:p>
    <w:p w14:paraId="0C923FF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7" w:right="81" w:firstLine="659"/>
        <w:jc w:val="both"/>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4.</w:t>
      </w:r>
      <w:r>
        <w:rPr>
          <w:rFonts w:hint="eastAsia" w:ascii="仿宋_GB2312" w:hAnsi="仿宋_GB2312" w:eastAsia="仿宋_GB2312" w:cs="仿宋_GB2312"/>
          <w:b/>
          <w:bCs/>
          <w:spacing w:val="13"/>
          <w:sz w:val="32"/>
          <w:szCs w:val="32"/>
          <w:lang w:val="en-US" w:eastAsia="zh-CN"/>
        </w:rPr>
        <w:t>卫教办、民政</w:t>
      </w:r>
      <w:r>
        <w:rPr>
          <w:rFonts w:hint="eastAsia" w:ascii="仿宋_GB2312" w:hAnsi="仿宋_GB2312" w:eastAsia="仿宋_GB2312" w:cs="仿宋_GB2312"/>
          <w:b/>
          <w:bCs/>
          <w:spacing w:val="13"/>
          <w:sz w:val="32"/>
          <w:szCs w:val="32"/>
        </w:rPr>
        <w:t>：</w:t>
      </w:r>
      <w:r>
        <w:rPr>
          <w:rFonts w:hint="eastAsia" w:ascii="仿宋_GB2312" w:hAnsi="仿宋_GB2312" w:eastAsia="仿宋_GB2312" w:cs="仿宋_GB2312"/>
          <w:spacing w:val="13"/>
          <w:sz w:val="32"/>
          <w:szCs w:val="32"/>
        </w:rPr>
        <w:t>重点排查学校（学生宿舍）、幼儿园（含接送点）、校外培训机构、养老</w:t>
      </w:r>
      <w:r>
        <w:rPr>
          <w:rFonts w:hint="eastAsia" w:ascii="仿宋_GB2312" w:hAnsi="仿宋_GB2312" w:eastAsia="仿宋_GB2312" w:cs="仿宋_GB2312"/>
          <w:spacing w:val="13"/>
          <w:sz w:val="32"/>
          <w:szCs w:val="32"/>
          <w:lang w:val="en-US" w:eastAsia="zh-CN"/>
        </w:rPr>
        <w:t>中心</w:t>
      </w:r>
      <w:r>
        <w:rPr>
          <w:rFonts w:hint="eastAsia" w:ascii="仿宋_GB2312" w:hAnsi="仿宋_GB2312" w:eastAsia="仿宋_GB2312" w:cs="仿宋_GB2312"/>
          <w:spacing w:val="13"/>
          <w:sz w:val="32"/>
          <w:szCs w:val="32"/>
        </w:rPr>
        <w:t>、医院（住院部）占用、堵塞疏散通道、安全出口等突出风险；排查消防设施是否定期检测、维保，是否完好可用。</w:t>
      </w:r>
    </w:p>
    <w:p w14:paraId="537D92E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7" w:right="81" w:firstLine="659"/>
        <w:jc w:val="both"/>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5.</w:t>
      </w:r>
      <w:r>
        <w:rPr>
          <w:rFonts w:hint="eastAsia" w:ascii="仿宋_GB2312" w:hAnsi="仿宋_GB2312" w:eastAsia="仿宋_GB2312" w:cs="仿宋_GB2312"/>
          <w:b/>
          <w:bCs/>
          <w:spacing w:val="13"/>
          <w:sz w:val="32"/>
          <w:szCs w:val="32"/>
          <w:lang w:val="en-US" w:eastAsia="zh-CN"/>
        </w:rPr>
        <w:t>综治办</w:t>
      </w:r>
      <w:r>
        <w:rPr>
          <w:rFonts w:hint="eastAsia" w:ascii="仿宋_GB2312" w:hAnsi="仿宋_GB2312" w:eastAsia="仿宋_GB2312" w:cs="仿宋_GB2312"/>
          <w:b/>
          <w:bCs/>
          <w:spacing w:val="13"/>
          <w:sz w:val="32"/>
          <w:szCs w:val="32"/>
        </w:rPr>
        <w:t>：</w:t>
      </w:r>
      <w:r>
        <w:rPr>
          <w:rFonts w:hint="eastAsia" w:ascii="仿宋_GB2312" w:hAnsi="仿宋_GB2312" w:eastAsia="仿宋_GB2312" w:cs="仿宋_GB2312"/>
          <w:spacing w:val="13"/>
          <w:sz w:val="32"/>
          <w:szCs w:val="32"/>
        </w:rPr>
        <w:t>指导基层公安派出所重点排查“多合一”场所、“九小场所”、群租房等小单位小场所，劳动密集型企业等场所，集中整治违规用火用电、锁闭安全出口等突出风险。</w:t>
      </w:r>
    </w:p>
    <w:p w14:paraId="268A148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7" w:right="81" w:firstLine="659"/>
        <w:jc w:val="both"/>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6.</w:t>
      </w:r>
      <w:r>
        <w:rPr>
          <w:rFonts w:hint="eastAsia" w:ascii="仿宋_GB2312" w:hAnsi="仿宋_GB2312" w:eastAsia="仿宋_GB2312" w:cs="仿宋_GB2312"/>
          <w:b/>
          <w:bCs/>
          <w:spacing w:val="13"/>
          <w:sz w:val="32"/>
          <w:szCs w:val="32"/>
          <w:lang w:val="en-US" w:eastAsia="zh-CN"/>
        </w:rPr>
        <w:t>安委办：</w:t>
      </w:r>
      <w:r>
        <w:rPr>
          <w:rFonts w:hint="eastAsia" w:ascii="仿宋_GB2312" w:hAnsi="仿宋_GB2312" w:eastAsia="仿宋_GB2312" w:cs="仿宋_GB2312"/>
          <w:spacing w:val="13"/>
          <w:sz w:val="32"/>
          <w:szCs w:val="32"/>
        </w:rPr>
        <w:t>负责督导检查商场、超市、餐饮服务场所和有关集贸市场、批发市场，对防火分隔不到位、设施设备损坏、违规住人和餐饮场所燃气消防安全等突出风险进行检查，严厉打击边营业边动火施工作业等行为。排查消防设施是否定期检测、维保，是否完好可用。</w:t>
      </w:r>
    </w:p>
    <w:p w14:paraId="3C393DB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7" w:right="81" w:firstLine="659"/>
        <w:jc w:val="both"/>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7.</w:t>
      </w:r>
      <w:r>
        <w:rPr>
          <w:rFonts w:hint="eastAsia" w:ascii="仿宋_GB2312" w:hAnsi="仿宋_GB2312" w:eastAsia="仿宋_GB2312" w:cs="仿宋_GB2312"/>
          <w:b/>
          <w:bCs/>
          <w:spacing w:val="13"/>
          <w:sz w:val="32"/>
          <w:szCs w:val="32"/>
          <w:lang w:val="en-US" w:eastAsia="zh-CN"/>
        </w:rPr>
        <w:t>安委办</w:t>
      </w:r>
      <w:r>
        <w:rPr>
          <w:rFonts w:hint="eastAsia" w:ascii="仿宋_GB2312" w:hAnsi="仿宋_GB2312" w:eastAsia="仿宋_GB2312" w:cs="仿宋_GB2312"/>
          <w:b/>
          <w:bCs/>
          <w:spacing w:val="13"/>
          <w:sz w:val="32"/>
          <w:szCs w:val="32"/>
        </w:rPr>
        <w:t>：</w:t>
      </w:r>
      <w:r>
        <w:rPr>
          <w:rFonts w:hint="eastAsia" w:ascii="仿宋_GB2312" w:hAnsi="仿宋_GB2312" w:eastAsia="仿宋_GB2312" w:cs="仿宋_GB2312"/>
          <w:spacing w:val="13"/>
          <w:sz w:val="32"/>
          <w:szCs w:val="32"/>
        </w:rPr>
        <w:t>重点排查交通营业企业（公路、水运等）消防安全措施落实情况。</w:t>
      </w:r>
    </w:p>
    <w:p w14:paraId="590E263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7" w:right="81" w:firstLine="659"/>
        <w:jc w:val="both"/>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b/>
          <w:bCs/>
          <w:spacing w:val="13"/>
          <w:sz w:val="32"/>
          <w:szCs w:val="32"/>
        </w:rPr>
        <w:t>8.文旅：</w:t>
      </w:r>
      <w:r>
        <w:rPr>
          <w:rFonts w:hint="eastAsia" w:ascii="仿宋_GB2312" w:hAnsi="仿宋_GB2312" w:eastAsia="仿宋_GB2312" w:cs="仿宋_GB2312"/>
          <w:spacing w:val="13"/>
          <w:sz w:val="32"/>
          <w:szCs w:val="32"/>
        </w:rPr>
        <w:t>重点排查公共娱乐、宾馆饭店、文博单位等场所，集中整治易燃可燃装饰装修、锁闭安全出口、私拉乱接电线等突出风险。排查消防设施是否定期检测、维保，是否完好可用。</w:t>
      </w:r>
    </w:p>
    <w:p w14:paraId="2204E6C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right="95" w:firstLine="695" w:firstLineChars="200"/>
        <w:jc w:val="both"/>
        <w:textAlignment w:val="baseline"/>
      </w:pPr>
      <w:r>
        <w:rPr>
          <w:rFonts w:hint="eastAsia" w:ascii="仿宋_GB2312" w:hAnsi="仿宋_GB2312" w:eastAsia="仿宋_GB2312" w:cs="仿宋_GB2312"/>
          <w:b/>
          <w:bCs/>
          <w:spacing w:val="13"/>
          <w:sz w:val="32"/>
          <w:szCs w:val="32"/>
        </w:rPr>
        <w:t>其他各行业部门</w:t>
      </w:r>
      <w:r>
        <w:rPr>
          <w:rFonts w:hint="eastAsia" w:ascii="仿宋_GB2312" w:hAnsi="仿宋_GB2312" w:eastAsia="仿宋_GB2312" w:cs="仿宋_GB2312"/>
          <w:spacing w:val="13"/>
          <w:sz w:val="32"/>
          <w:szCs w:val="32"/>
        </w:rPr>
        <w:t>按照各自行业管理职责，有针对性地开展消防安全检查，负责做好本行业领域内消防安全综合治理工作。</w:t>
      </w:r>
    </w:p>
    <w:p w14:paraId="3D31FDEB">
      <w:pPr>
        <w:keepNext w:val="0"/>
        <w:keepLines w:val="0"/>
        <w:pageBreakBefore w:val="0"/>
        <w:widowControl/>
        <w:kinsoku w:val="0"/>
        <w:wordWrap/>
        <w:overflowPunct/>
        <w:topLinePunct w:val="0"/>
        <w:autoSpaceDE w:val="0"/>
        <w:autoSpaceDN w:val="0"/>
        <w:bidi w:val="0"/>
        <w:adjustRightInd w:val="0"/>
        <w:snapToGrid w:val="0"/>
        <w:spacing w:line="560" w:lineRule="exact"/>
        <w:ind w:left="662"/>
        <w:textAlignment w:val="baseline"/>
        <w:rPr>
          <w:rFonts w:ascii="黑体" w:hAnsi="黑体" w:eastAsia="黑体" w:cs="黑体"/>
          <w:sz w:val="32"/>
          <w:szCs w:val="32"/>
        </w:rPr>
      </w:pPr>
      <w:r>
        <w:rPr>
          <w:rFonts w:ascii="黑体" w:hAnsi="黑体" w:eastAsia="黑体" w:cs="黑体"/>
          <w:spacing w:val="5"/>
          <w:sz w:val="32"/>
          <w:szCs w:val="32"/>
        </w:rPr>
        <w:t>四、相关工作要求</w:t>
      </w:r>
    </w:p>
    <w:p w14:paraId="044D150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8" w:right="97" w:firstLine="626"/>
        <w:textAlignment w:val="baseline"/>
        <w:rPr>
          <w:rFonts w:hint="eastAsia" w:ascii="仿宋_GB2312" w:hAnsi="仿宋_GB2312" w:eastAsia="仿宋_GB2312" w:cs="仿宋_GB2312"/>
          <w:spacing w:val="13"/>
          <w:sz w:val="32"/>
          <w:szCs w:val="32"/>
        </w:rPr>
      </w:pPr>
      <w:r>
        <w:rPr>
          <w:rFonts w:hint="eastAsia" w:ascii="楷体" w:hAnsi="楷体" w:eastAsia="楷体" w:cs="楷体"/>
          <w:b/>
          <w:bCs/>
          <w:spacing w:val="4"/>
          <w:sz w:val="32"/>
          <w:szCs w:val="32"/>
        </w:rPr>
        <w:t>（一）提高政治站位。</w:t>
      </w:r>
      <w:r>
        <w:rPr>
          <w:rFonts w:hint="eastAsia" w:ascii="仿宋_GB2312" w:hAnsi="仿宋_GB2312" w:eastAsia="仿宋_GB2312" w:cs="仿宋_GB2312"/>
          <w:spacing w:val="13"/>
          <w:sz w:val="32"/>
          <w:szCs w:val="32"/>
        </w:rPr>
        <w:t>各</w:t>
      </w:r>
      <w:r>
        <w:rPr>
          <w:rFonts w:hint="eastAsia" w:ascii="仿宋_GB2312" w:hAnsi="仿宋_GB2312" w:eastAsia="仿宋_GB2312" w:cs="仿宋_GB2312"/>
          <w:spacing w:val="13"/>
          <w:sz w:val="32"/>
          <w:szCs w:val="32"/>
          <w:lang w:val="en-US" w:eastAsia="zh-CN"/>
        </w:rPr>
        <w:t>社区</w:t>
      </w:r>
      <w:r>
        <w:rPr>
          <w:rFonts w:hint="eastAsia" w:ascii="仿宋_GB2312" w:hAnsi="仿宋_GB2312" w:eastAsia="仿宋_GB2312" w:cs="仿宋_GB2312"/>
          <w:spacing w:val="13"/>
          <w:sz w:val="32"/>
          <w:szCs w:val="32"/>
        </w:rPr>
        <w:t>要充分认识当前全</w:t>
      </w:r>
      <w:r>
        <w:rPr>
          <w:rFonts w:hint="eastAsia" w:ascii="仿宋_GB2312" w:hAnsi="仿宋_GB2312" w:eastAsia="仿宋_GB2312" w:cs="仿宋_GB2312"/>
          <w:spacing w:val="13"/>
          <w:sz w:val="32"/>
          <w:szCs w:val="32"/>
          <w:lang w:val="en-US" w:eastAsia="zh-CN"/>
        </w:rPr>
        <w:t>街</w:t>
      </w:r>
      <w:r>
        <w:rPr>
          <w:rFonts w:hint="eastAsia" w:ascii="仿宋_GB2312" w:hAnsi="仿宋_GB2312" w:eastAsia="仿宋_GB2312" w:cs="仿宋_GB2312"/>
          <w:spacing w:val="13"/>
          <w:sz w:val="32"/>
          <w:szCs w:val="32"/>
        </w:rPr>
        <w:t>安全生产面临的严峻形势，统筹发展和安全，将消防安全隐患大排查大整治作为当前保安全、促稳定的重要举措，立即行动起来，全面开展排查，层层压实责任，确保将各类火灾隐患“查出来”“改到位”。</w:t>
      </w:r>
    </w:p>
    <w:p w14:paraId="25D5347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5" w:firstLine="630"/>
        <w:textAlignment w:val="baseline"/>
        <w:rPr>
          <w:rFonts w:hint="eastAsia" w:ascii="仿宋_GB2312" w:hAnsi="仿宋_GB2312" w:eastAsia="仿宋_GB2312" w:cs="仿宋_GB2312"/>
          <w:spacing w:val="13"/>
          <w:sz w:val="32"/>
          <w:szCs w:val="32"/>
        </w:rPr>
      </w:pPr>
      <w:r>
        <w:rPr>
          <w:rFonts w:hint="eastAsia" w:ascii="楷体" w:hAnsi="楷体" w:eastAsia="楷体" w:cs="楷体"/>
          <w:b/>
          <w:bCs/>
          <w:spacing w:val="4"/>
          <w:sz w:val="32"/>
          <w:szCs w:val="32"/>
        </w:rPr>
        <w:t>（二）严格精准执法。</w:t>
      </w:r>
      <w:r>
        <w:rPr>
          <w:rFonts w:hint="eastAsia" w:ascii="仿宋_GB2312" w:hAnsi="仿宋_GB2312" w:eastAsia="仿宋_GB2312" w:cs="仿宋_GB2312"/>
          <w:spacing w:val="13"/>
          <w:sz w:val="32"/>
          <w:szCs w:val="32"/>
        </w:rPr>
        <w:t>各</w:t>
      </w:r>
      <w:r>
        <w:rPr>
          <w:rFonts w:hint="eastAsia" w:ascii="仿宋_GB2312" w:hAnsi="仿宋_GB2312" w:eastAsia="仿宋_GB2312" w:cs="仿宋_GB2312"/>
          <w:spacing w:val="13"/>
          <w:sz w:val="32"/>
          <w:szCs w:val="32"/>
          <w:lang w:val="en-US" w:eastAsia="zh-CN"/>
        </w:rPr>
        <w:t>社区</w:t>
      </w:r>
      <w:r>
        <w:rPr>
          <w:rFonts w:hint="eastAsia" w:ascii="仿宋_GB2312" w:hAnsi="仿宋_GB2312" w:eastAsia="仿宋_GB2312" w:cs="仿宋_GB2312"/>
          <w:spacing w:val="13"/>
          <w:sz w:val="32"/>
          <w:szCs w:val="32"/>
        </w:rPr>
        <w:t>要按照国务院办公厅《消防安全责任制实施办法》和省政府《消防安全责任制规定》明确的消防监管职责，深入排查隐患，严格督促整改。对突出违法行为和重大火灾隐患，要</w:t>
      </w:r>
      <w:r>
        <w:rPr>
          <w:rFonts w:hint="eastAsia" w:ascii="仿宋_GB2312" w:hAnsi="仿宋_GB2312" w:eastAsia="仿宋_GB2312" w:cs="仿宋_GB2312"/>
          <w:spacing w:val="13"/>
          <w:sz w:val="32"/>
          <w:szCs w:val="32"/>
          <w:lang w:val="en-US" w:eastAsia="zh-CN"/>
        </w:rPr>
        <w:t>主动联系主管部门。</w:t>
      </w:r>
    </w:p>
    <w:p w14:paraId="2B56130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5" w:firstLine="630"/>
        <w:textAlignment w:val="baseline"/>
        <w:rPr>
          <w:rFonts w:hint="eastAsia" w:ascii="仿宋_GB2312" w:hAnsi="仿宋_GB2312" w:eastAsia="仿宋_GB2312" w:cs="仿宋_GB2312"/>
          <w:spacing w:val="13"/>
          <w:sz w:val="32"/>
          <w:szCs w:val="32"/>
        </w:rPr>
      </w:pPr>
      <w:r>
        <w:rPr>
          <w:rFonts w:hint="eastAsia" w:ascii="楷体" w:hAnsi="楷体" w:eastAsia="楷体" w:cs="楷体"/>
          <w:b/>
          <w:bCs/>
          <w:spacing w:val="4"/>
          <w:sz w:val="32"/>
          <w:szCs w:val="32"/>
        </w:rPr>
        <w:t>（三）严肃追责问责。</w:t>
      </w:r>
      <w:r>
        <w:rPr>
          <w:rFonts w:hint="eastAsia" w:ascii="仿宋_GB2312" w:hAnsi="仿宋_GB2312" w:eastAsia="仿宋_GB2312" w:cs="仿宋_GB2312"/>
          <w:spacing w:val="13"/>
          <w:sz w:val="32"/>
          <w:szCs w:val="32"/>
        </w:rPr>
        <w:t>各</w:t>
      </w:r>
      <w:r>
        <w:rPr>
          <w:rFonts w:hint="eastAsia" w:ascii="仿宋_GB2312" w:hAnsi="仿宋_GB2312" w:eastAsia="仿宋_GB2312" w:cs="仿宋_GB2312"/>
          <w:spacing w:val="13"/>
          <w:sz w:val="32"/>
          <w:szCs w:val="32"/>
          <w:lang w:val="en-US" w:eastAsia="zh-CN"/>
        </w:rPr>
        <w:t>社区</w:t>
      </w:r>
      <w:r>
        <w:rPr>
          <w:rFonts w:hint="eastAsia" w:ascii="仿宋_GB2312" w:hAnsi="仿宋_GB2312" w:eastAsia="仿宋_GB2312" w:cs="仿宋_GB2312"/>
          <w:spacing w:val="13"/>
          <w:sz w:val="32"/>
          <w:szCs w:val="32"/>
        </w:rPr>
        <w:t>要加强本地、本行业领域消防安全大排查大整治的检查，对行动迟缓、工作不扎实、成效不明显的要重点督导</w:t>
      </w:r>
      <w:r>
        <w:rPr>
          <w:rFonts w:hint="eastAsia" w:ascii="仿宋_GB2312" w:hAnsi="仿宋_GB2312" w:eastAsia="仿宋_GB2312" w:cs="仿宋_GB2312"/>
          <w:spacing w:val="13"/>
          <w:sz w:val="32"/>
          <w:szCs w:val="32"/>
          <w:lang w:val="en-US" w:eastAsia="zh-CN"/>
        </w:rPr>
        <w:t>检查。</w:t>
      </w:r>
      <w:r>
        <w:rPr>
          <w:rFonts w:hint="eastAsia" w:ascii="仿宋_GB2312" w:hAnsi="仿宋_GB2312" w:eastAsia="仿宋_GB2312" w:cs="仿宋_GB2312"/>
          <w:spacing w:val="13"/>
          <w:sz w:val="32"/>
          <w:szCs w:val="32"/>
        </w:rPr>
        <w:t>排查整治期间发生火灾伤亡事故的，一律依法从严从重追究有关单位和人员的责任。</w:t>
      </w:r>
    </w:p>
    <w:p w14:paraId="746F875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5" w:firstLine="630"/>
        <w:textAlignment w:val="baseline"/>
        <w:rPr>
          <w:rFonts w:hint="default" w:ascii="仿宋_GB2312" w:hAnsi="仿宋_GB2312" w:eastAsia="仿宋_GB2312" w:cs="仿宋_GB2312"/>
          <w:spacing w:val="13"/>
          <w:sz w:val="32"/>
          <w:szCs w:val="32"/>
          <w:lang w:val="en-US" w:eastAsia="zh-CN"/>
        </w:rPr>
      </w:pPr>
      <w:r>
        <w:rPr>
          <w:rFonts w:hint="eastAsia" w:ascii="仿宋_GB2312" w:hAnsi="仿宋_GB2312" w:eastAsia="仿宋_GB2312" w:cs="仿宋_GB2312"/>
          <w:spacing w:val="13"/>
          <w:sz w:val="32"/>
          <w:szCs w:val="32"/>
        </w:rPr>
        <w:t>请</w:t>
      </w:r>
      <w:r>
        <w:rPr>
          <w:rFonts w:hint="eastAsia" w:ascii="仿宋_GB2312" w:hAnsi="仿宋_GB2312" w:eastAsia="仿宋_GB2312" w:cs="仿宋_GB2312"/>
          <w:spacing w:val="13"/>
          <w:sz w:val="32"/>
          <w:szCs w:val="32"/>
          <w:lang w:val="en-US" w:eastAsia="zh-CN"/>
        </w:rPr>
        <w:t>各社区将</w:t>
      </w:r>
      <w:r>
        <w:rPr>
          <w:rFonts w:hint="eastAsia" w:ascii="仿宋_GB2312" w:hAnsi="仿宋_GB2312" w:eastAsia="仿宋_GB2312" w:cs="仿宋_GB2312"/>
          <w:spacing w:val="13"/>
          <w:sz w:val="32"/>
          <w:szCs w:val="32"/>
        </w:rPr>
        <w:t>隐患排查整改情况（附表1）于每周</w:t>
      </w:r>
      <w:r>
        <w:rPr>
          <w:rFonts w:hint="eastAsia" w:ascii="仿宋_GB2312" w:hAnsi="仿宋_GB2312" w:eastAsia="仿宋_GB2312" w:cs="仿宋_GB2312"/>
          <w:spacing w:val="13"/>
          <w:sz w:val="32"/>
          <w:szCs w:val="32"/>
          <w:lang w:val="en-US" w:eastAsia="zh-CN"/>
        </w:rPr>
        <w:t>三</w:t>
      </w:r>
      <w:r>
        <w:rPr>
          <w:rFonts w:hint="eastAsia" w:ascii="仿宋_GB2312" w:hAnsi="仿宋_GB2312" w:eastAsia="仿宋_GB2312" w:cs="仿宋_GB2312"/>
          <w:spacing w:val="13"/>
          <w:sz w:val="32"/>
          <w:szCs w:val="32"/>
        </w:rPr>
        <w:t>下午</w:t>
      </w:r>
      <w:r>
        <w:rPr>
          <w:rFonts w:hint="eastAsia" w:ascii="仿宋_GB2312" w:hAnsi="仿宋_GB2312" w:eastAsia="仿宋_GB2312" w:cs="仿宋_GB2312"/>
          <w:spacing w:val="13"/>
          <w:sz w:val="32"/>
          <w:szCs w:val="32"/>
          <w:lang w:val="en-US" w:eastAsia="zh-CN"/>
        </w:rPr>
        <w:t>下班前报街道。</w:t>
      </w:r>
    </w:p>
    <w:p w14:paraId="51BFB8D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5" w:firstLine="630"/>
        <w:textAlignment w:val="baseline"/>
        <w:rPr>
          <w:rFonts w:hint="eastAsia" w:ascii="仿宋_GB2312" w:hAnsi="仿宋_GB2312" w:eastAsia="仿宋_GB2312" w:cs="仿宋_GB2312"/>
          <w:spacing w:val="13"/>
          <w:sz w:val="32"/>
          <w:szCs w:val="32"/>
        </w:rPr>
        <w:sectPr>
          <w:headerReference r:id="rId5" w:type="default"/>
          <w:pgSz w:w="11906" w:h="16839"/>
          <w:pgMar w:top="1440" w:right="1803" w:bottom="1440" w:left="1803" w:header="0" w:footer="0" w:gutter="0"/>
          <w:cols w:space="720" w:num="1"/>
        </w:sectPr>
      </w:pPr>
    </w:p>
    <w:p w14:paraId="50CD4053">
      <w:pPr>
        <w:spacing w:before="100" w:line="228" w:lineRule="auto"/>
        <w:ind w:left="34"/>
        <w:rPr>
          <w:rFonts w:hint="eastAsia" w:ascii="仿宋_GB2312" w:hAnsi="仿宋_GB2312" w:eastAsia="仿宋_GB2312" w:cs="仿宋_GB2312"/>
          <w:sz w:val="32"/>
          <w:szCs w:val="32"/>
        </w:rPr>
      </w:pPr>
      <w:r>
        <w:rPr>
          <w:rFonts w:hint="eastAsia" w:ascii="仿宋_GB2312" w:hAnsi="仿宋_GB2312" w:eastAsia="仿宋_GB2312" w:cs="仿宋_GB2312"/>
          <w:spacing w:val="-10"/>
          <w:sz w:val="32"/>
          <w:szCs w:val="32"/>
        </w:rPr>
        <w:t>附表1：</w:t>
      </w:r>
    </w:p>
    <w:p w14:paraId="137B847A">
      <w:pPr>
        <w:spacing w:before="13" w:line="239" w:lineRule="auto"/>
        <w:ind w:left="2190"/>
        <w:jc w:val="center"/>
        <w:outlineLvl w:val="0"/>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9"/>
          <w:sz w:val="44"/>
          <w:szCs w:val="44"/>
        </w:rPr>
        <w:t>全区秋冬季消防和自建房风险隐患综合整治清单</w:t>
      </w:r>
    </w:p>
    <w:p w14:paraId="35B5A014">
      <w:pPr>
        <w:pStyle w:val="2"/>
        <w:spacing w:before="78" w:line="214" w:lineRule="auto"/>
        <w:ind w:left="599"/>
        <w:rPr>
          <w:rFonts w:hint="eastAsia" w:eastAsia="FangSong_GB2312"/>
          <w:sz w:val="24"/>
          <w:szCs w:val="24"/>
          <w:lang w:eastAsia="zh-CN"/>
        </w:rPr>
      </w:pPr>
      <w:r>
        <w:rPr>
          <w:sz w:val="24"/>
          <w:szCs w:val="24"/>
        </w:rPr>
        <w:t>填报单位：填报人：</w:t>
      </w:r>
      <w:r>
        <w:rPr>
          <w:spacing w:val="-1"/>
          <w:sz w:val="24"/>
          <w:szCs w:val="24"/>
        </w:rPr>
        <w:t>联系电话：</w:t>
      </w:r>
    </w:p>
    <w:p w14:paraId="2302264B">
      <w:pPr>
        <w:spacing w:line="39" w:lineRule="exact"/>
      </w:pPr>
    </w:p>
    <w:tbl>
      <w:tblPr>
        <w:tblStyle w:val="5"/>
        <w:tblW w:w="142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4"/>
        <w:gridCol w:w="1476"/>
        <w:gridCol w:w="1476"/>
        <w:gridCol w:w="2540"/>
        <w:gridCol w:w="3135"/>
        <w:gridCol w:w="2579"/>
        <w:gridCol w:w="2140"/>
      </w:tblGrid>
      <w:tr w14:paraId="56162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7" w:hRule="atLeast"/>
        </w:trPr>
        <w:tc>
          <w:tcPr>
            <w:tcW w:w="874" w:type="dxa"/>
            <w:vAlign w:val="top"/>
          </w:tcPr>
          <w:p w14:paraId="262D5774">
            <w:pPr>
              <w:pStyle w:val="6"/>
              <w:spacing w:line="438" w:lineRule="auto"/>
            </w:pPr>
          </w:p>
          <w:p w14:paraId="20341632">
            <w:pPr>
              <w:spacing w:before="78" w:line="223" w:lineRule="auto"/>
              <w:ind w:left="203"/>
              <w:rPr>
                <w:rFonts w:ascii="黑体" w:hAnsi="黑体" w:eastAsia="黑体" w:cs="黑体"/>
                <w:sz w:val="24"/>
                <w:szCs w:val="24"/>
              </w:rPr>
            </w:pPr>
            <w:r>
              <w:rPr>
                <w:rFonts w:ascii="黑体" w:hAnsi="黑体" w:eastAsia="黑体" w:cs="黑体"/>
                <w:spacing w:val="-5"/>
                <w:sz w:val="24"/>
                <w:szCs w:val="24"/>
              </w:rPr>
              <w:t>序号</w:t>
            </w:r>
          </w:p>
        </w:tc>
        <w:tc>
          <w:tcPr>
            <w:tcW w:w="1476" w:type="dxa"/>
            <w:vAlign w:val="top"/>
          </w:tcPr>
          <w:p w14:paraId="09D48C7C">
            <w:pPr>
              <w:pStyle w:val="6"/>
              <w:spacing w:line="437" w:lineRule="auto"/>
            </w:pPr>
          </w:p>
          <w:p w14:paraId="15F24CE4">
            <w:pPr>
              <w:spacing w:before="78" w:line="222" w:lineRule="auto"/>
              <w:ind w:left="263"/>
              <w:rPr>
                <w:rFonts w:ascii="黑体" w:hAnsi="黑体" w:eastAsia="黑体" w:cs="黑体"/>
                <w:sz w:val="24"/>
                <w:szCs w:val="24"/>
              </w:rPr>
            </w:pPr>
            <w:r>
              <w:rPr>
                <w:rFonts w:ascii="黑体" w:hAnsi="黑体" w:eastAsia="黑体" w:cs="黑体"/>
                <w:spacing w:val="-4"/>
                <w:sz w:val="24"/>
                <w:szCs w:val="24"/>
              </w:rPr>
              <w:t>所在镇街</w:t>
            </w:r>
          </w:p>
        </w:tc>
        <w:tc>
          <w:tcPr>
            <w:tcW w:w="1476" w:type="dxa"/>
            <w:vAlign w:val="top"/>
          </w:tcPr>
          <w:p w14:paraId="09C0AC5E">
            <w:pPr>
              <w:spacing w:before="203" w:line="409" w:lineRule="auto"/>
              <w:ind w:left="511" w:right="497" w:hanging="5"/>
              <w:rPr>
                <w:rFonts w:ascii="黑体" w:hAnsi="黑体" w:eastAsia="黑体" w:cs="黑体"/>
                <w:sz w:val="24"/>
                <w:szCs w:val="24"/>
              </w:rPr>
            </w:pPr>
            <w:r>
              <w:rPr>
                <w:rFonts w:ascii="黑体" w:hAnsi="黑体" w:eastAsia="黑体" w:cs="黑体"/>
                <w:spacing w:val="-7"/>
                <w:sz w:val="24"/>
                <w:szCs w:val="24"/>
              </w:rPr>
              <w:t>所属</w:t>
            </w:r>
            <w:r>
              <w:rPr>
                <w:rFonts w:ascii="黑体" w:hAnsi="黑体" w:eastAsia="黑体" w:cs="黑体"/>
                <w:spacing w:val="-9"/>
                <w:sz w:val="24"/>
                <w:szCs w:val="24"/>
              </w:rPr>
              <w:t>类别</w:t>
            </w:r>
          </w:p>
        </w:tc>
        <w:tc>
          <w:tcPr>
            <w:tcW w:w="2540" w:type="dxa"/>
            <w:vAlign w:val="top"/>
          </w:tcPr>
          <w:p w14:paraId="773606C3">
            <w:pPr>
              <w:spacing w:before="203" w:line="409" w:lineRule="auto"/>
              <w:ind w:left="1042" w:right="1028"/>
              <w:rPr>
                <w:rFonts w:ascii="黑体" w:hAnsi="黑体" w:eastAsia="黑体" w:cs="黑体"/>
                <w:sz w:val="24"/>
                <w:szCs w:val="24"/>
              </w:rPr>
            </w:pPr>
            <w:r>
              <w:rPr>
                <w:rFonts w:ascii="黑体" w:hAnsi="黑体" w:eastAsia="黑体" w:cs="黑体"/>
                <w:spacing w:val="-9"/>
                <w:sz w:val="24"/>
                <w:szCs w:val="24"/>
              </w:rPr>
              <w:t>隐患</w:t>
            </w:r>
            <w:r>
              <w:rPr>
                <w:rFonts w:ascii="黑体" w:hAnsi="黑体" w:eastAsia="黑体" w:cs="黑体"/>
                <w:spacing w:val="-8"/>
                <w:sz w:val="24"/>
                <w:szCs w:val="24"/>
              </w:rPr>
              <w:t>单位</w:t>
            </w:r>
          </w:p>
        </w:tc>
        <w:tc>
          <w:tcPr>
            <w:tcW w:w="3135" w:type="dxa"/>
            <w:vAlign w:val="top"/>
          </w:tcPr>
          <w:p w14:paraId="4C3C8158">
            <w:pPr>
              <w:pStyle w:val="6"/>
              <w:spacing w:line="438" w:lineRule="auto"/>
            </w:pPr>
          </w:p>
          <w:p w14:paraId="4A73A929">
            <w:pPr>
              <w:spacing w:before="78" w:line="222" w:lineRule="auto"/>
              <w:ind w:left="1102"/>
              <w:rPr>
                <w:rFonts w:ascii="黑体" w:hAnsi="黑体" w:eastAsia="黑体" w:cs="黑体"/>
                <w:sz w:val="24"/>
                <w:szCs w:val="24"/>
              </w:rPr>
            </w:pPr>
            <w:r>
              <w:rPr>
                <w:rFonts w:ascii="黑体" w:hAnsi="黑体" w:eastAsia="黑体" w:cs="黑体"/>
                <w:spacing w:val="-5"/>
                <w:sz w:val="24"/>
                <w:szCs w:val="24"/>
              </w:rPr>
              <w:t>隐患内容</w:t>
            </w:r>
          </w:p>
        </w:tc>
        <w:tc>
          <w:tcPr>
            <w:tcW w:w="2579" w:type="dxa"/>
            <w:vAlign w:val="top"/>
          </w:tcPr>
          <w:p w14:paraId="7B6257C6">
            <w:pPr>
              <w:pStyle w:val="6"/>
              <w:spacing w:line="437" w:lineRule="auto"/>
            </w:pPr>
          </w:p>
          <w:p w14:paraId="104FAA3C">
            <w:pPr>
              <w:spacing w:before="78" w:line="222" w:lineRule="auto"/>
              <w:ind w:left="816"/>
              <w:rPr>
                <w:rFonts w:ascii="黑体" w:hAnsi="黑体" w:eastAsia="黑体" w:cs="黑体"/>
                <w:sz w:val="24"/>
                <w:szCs w:val="24"/>
              </w:rPr>
            </w:pPr>
            <w:r>
              <w:rPr>
                <w:rFonts w:ascii="黑体" w:hAnsi="黑体" w:eastAsia="黑体" w:cs="黑体"/>
                <w:spacing w:val="-2"/>
                <w:sz w:val="24"/>
                <w:szCs w:val="24"/>
              </w:rPr>
              <w:t>整改措施</w:t>
            </w:r>
          </w:p>
        </w:tc>
        <w:tc>
          <w:tcPr>
            <w:tcW w:w="2140" w:type="dxa"/>
            <w:vAlign w:val="top"/>
          </w:tcPr>
          <w:p w14:paraId="39CE2D36">
            <w:pPr>
              <w:pStyle w:val="6"/>
              <w:spacing w:line="437" w:lineRule="auto"/>
            </w:pPr>
          </w:p>
          <w:p w14:paraId="55E8242B">
            <w:pPr>
              <w:spacing w:before="78" w:line="222" w:lineRule="auto"/>
              <w:ind w:left="594"/>
              <w:rPr>
                <w:rFonts w:ascii="黑体" w:hAnsi="黑体" w:eastAsia="黑体" w:cs="黑体"/>
                <w:sz w:val="24"/>
                <w:szCs w:val="24"/>
              </w:rPr>
            </w:pPr>
            <w:r>
              <w:rPr>
                <w:rFonts w:ascii="黑体" w:hAnsi="黑体" w:eastAsia="黑体" w:cs="黑体"/>
                <w:spacing w:val="-2"/>
                <w:sz w:val="24"/>
                <w:szCs w:val="24"/>
              </w:rPr>
              <w:t>整改进展</w:t>
            </w:r>
          </w:p>
        </w:tc>
      </w:tr>
      <w:tr w14:paraId="5931A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874" w:type="dxa"/>
            <w:vAlign w:val="top"/>
          </w:tcPr>
          <w:p w14:paraId="15A67863">
            <w:pPr>
              <w:pStyle w:val="6"/>
              <w:spacing w:line="316" w:lineRule="auto"/>
            </w:pPr>
          </w:p>
          <w:p w14:paraId="33CA91B5">
            <w:pPr>
              <w:spacing w:before="91" w:line="184" w:lineRule="auto"/>
              <w:ind w:left="254"/>
              <w:rPr>
                <w:rFonts w:ascii="宋体" w:hAnsi="宋体" w:eastAsia="宋体" w:cs="宋体"/>
                <w:sz w:val="28"/>
                <w:szCs w:val="28"/>
              </w:rPr>
            </w:pPr>
            <w:r>
              <w:rPr>
                <w:rFonts w:ascii="宋体" w:hAnsi="宋体" w:eastAsia="宋体" w:cs="宋体"/>
                <w:sz w:val="28"/>
                <w:szCs w:val="28"/>
              </w:rPr>
              <w:t>1</w:t>
            </w:r>
          </w:p>
        </w:tc>
        <w:tc>
          <w:tcPr>
            <w:tcW w:w="1476" w:type="dxa"/>
            <w:vAlign w:val="top"/>
          </w:tcPr>
          <w:p w14:paraId="560F5C44">
            <w:pPr>
              <w:pStyle w:val="6"/>
            </w:pPr>
          </w:p>
        </w:tc>
        <w:tc>
          <w:tcPr>
            <w:tcW w:w="1476" w:type="dxa"/>
            <w:vAlign w:val="top"/>
          </w:tcPr>
          <w:p w14:paraId="3EA28607">
            <w:pPr>
              <w:pStyle w:val="6"/>
            </w:pPr>
          </w:p>
        </w:tc>
        <w:tc>
          <w:tcPr>
            <w:tcW w:w="2540" w:type="dxa"/>
            <w:vAlign w:val="top"/>
          </w:tcPr>
          <w:p w14:paraId="0E8A283E">
            <w:pPr>
              <w:pStyle w:val="6"/>
            </w:pPr>
          </w:p>
        </w:tc>
        <w:tc>
          <w:tcPr>
            <w:tcW w:w="3135" w:type="dxa"/>
            <w:vAlign w:val="top"/>
          </w:tcPr>
          <w:p w14:paraId="212E4C98">
            <w:pPr>
              <w:pStyle w:val="6"/>
            </w:pPr>
          </w:p>
        </w:tc>
        <w:tc>
          <w:tcPr>
            <w:tcW w:w="2579" w:type="dxa"/>
            <w:vAlign w:val="top"/>
          </w:tcPr>
          <w:p w14:paraId="46F74BE9">
            <w:pPr>
              <w:pStyle w:val="6"/>
            </w:pPr>
          </w:p>
        </w:tc>
        <w:tc>
          <w:tcPr>
            <w:tcW w:w="2140" w:type="dxa"/>
            <w:vAlign w:val="top"/>
          </w:tcPr>
          <w:p w14:paraId="566E09CD">
            <w:pPr>
              <w:pStyle w:val="6"/>
            </w:pPr>
          </w:p>
        </w:tc>
      </w:tr>
      <w:tr w14:paraId="64644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874" w:type="dxa"/>
            <w:vAlign w:val="top"/>
          </w:tcPr>
          <w:p w14:paraId="4E15B606">
            <w:pPr>
              <w:pStyle w:val="6"/>
              <w:spacing w:line="287" w:lineRule="auto"/>
            </w:pPr>
          </w:p>
          <w:p w14:paraId="5A81122A">
            <w:pPr>
              <w:spacing w:before="65" w:line="189" w:lineRule="auto"/>
              <w:ind w:left="233"/>
              <w:rPr>
                <w:rFonts w:ascii="宋体" w:hAnsi="宋体" w:eastAsia="宋体" w:cs="宋体"/>
                <w:sz w:val="20"/>
                <w:szCs w:val="20"/>
              </w:rPr>
            </w:pPr>
            <w:r>
              <w:rPr>
                <w:rFonts w:ascii="宋体" w:hAnsi="宋体" w:eastAsia="宋体" w:cs="宋体"/>
                <w:sz w:val="20"/>
                <w:szCs w:val="20"/>
              </w:rPr>
              <w:t>2</w:t>
            </w:r>
          </w:p>
        </w:tc>
        <w:tc>
          <w:tcPr>
            <w:tcW w:w="1476" w:type="dxa"/>
            <w:vAlign w:val="top"/>
          </w:tcPr>
          <w:p w14:paraId="0FFD347B">
            <w:pPr>
              <w:pStyle w:val="6"/>
            </w:pPr>
          </w:p>
        </w:tc>
        <w:tc>
          <w:tcPr>
            <w:tcW w:w="1476" w:type="dxa"/>
            <w:vAlign w:val="top"/>
          </w:tcPr>
          <w:p w14:paraId="74FE9D54">
            <w:pPr>
              <w:pStyle w:val="6"/>
            </w:pPr>
          </w:p>
        </w:tc>
        <w:tc>
          <w:tcPr>
            <w:tcW w:w="2540" w:type="dxa"/>
            <w:vAlign w:val="top"/>
          </w:tcPr>
          <w:p w14:paraId="277D880A">
            <w:pPr>
              <w:pStyle w:val="6"/>
            </w:pPr>
          </w:p>
        </w:tc>
        <w:tc>
          <w:tcPr>
            <w:tcW w:w="3135" w:type="dxa"/>
            <w:vAlign w:val="top"/>
          </w:tcPr>
          <w:p w14:paraId="3BFCD017">
            <w:pPr>
              <w:pStyle w:val="6"/>
            </w:pPr>
          </w:p>
        </w:tc>
        <w:tc>
          <w:tcPr>
            <w:tcW w:w="2579" w:type="dxa"/>
            <w:vAlign w:val="top"/>
          </w:tcPr>
          <w:p w14:paraId="5A0BBCB2">
            <w:pPr>
              <w:pStyle w:val="6"/>
            </w:pPr>
          </w:p>
        </w:tc>
        <w:tc>
          <w:tcPr>
            <w:tcW w:w="2140" w:type="dxa"/>
            <w:vAlign w:val="top"/>
          </w:tcPr>
          <w:p w14:paraId="2C90200E">
            <w:pPr>
              <w:pStyle w:val="6"/>
            </w:pPr>
          </w:p>
        </w:tc>
      </w:tr>
      <w:tr w14:paraId="24A68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874" w:type="dxa"/>
            <w:vAlign w:val="top"/>
          </w:tcPr>
          <w:p w14:paraId="7E536E12">
            <w:pPr>
              <w:pStyle w:val="6"/>
              <w:spacing w:line="289" w:lineRule="auto"/>
            </w:pPr>
          </w:p>
          <w:p w14:paraId="75B506DD">
            <w:pPr>
              <w:spacing w:before="65" w:line="189" w:lineRule="auto"/>
              <w:ind w:left="235"/>
              <w:rPr>
                <w:rFonts w:ascii="宋体" w:hAnsi="宋体" w:eastAsia="宋体" w:cs="宋体"/>
                <w:sz w:val="20"/>
                <w:szCs w:val="20"/>
              </w:rPr>
            </w:pPr>
            <w:r>
              <w:rPr>
                <w:rFonts w:ascii="宋体" w:hAnsi="宋体" w:eastAsia="宋体" w:cs="宋体"/>
                <w:sz w:val="20"/>
                <w:szCs w:val="20"/>
              </w:rPr>
              <w:t>3</w:t>
            </w:r>
          </w:p>
        </w:tc>
        <w:tc>
          <w:tcPr>
            <w:tcW w:w="1476" w:type="dxa"/>
            <w:vAlign w:val="top"/>
          </w:tcPr>
          <w:p w14:paraId="0C8811BC">
            <w:pPr>
              <w:pStyle w:val="6"/>
            </w:pPr>
          </w:p>
        </w:tc>
        <w:tc>
          <w:tcPr>
            <w:tcW w:w="1476" w:type="dxa"/>
            <w:vAlign w:val="top"/>
          </w:tcPr>
          <w:p w14:paraId="67F550A9">
            <w:pPr>
              <w:pStyle w:val="6"/>
            </w:pPr>
          </w:p>
        </w:tc>
        <w:tc>
          <w:tcPr>
            <w:tcW w:w="2540" w:type="dxa"/>
            <w:vAlign w:val="top"/>
          </w:tcPr>
          <w:p w14:paraId="7446DF45">
            <w:pPr>
              <w:pStyle w:val="6"/>
            </w:pPr>
          </w:p>
        </w:tc>
        <w:tc>
          <w:tcPr>
            <w:tcW w:w="3135" w:type="dxa"/>
            <w:vAlign w:val="top"/>
          </w:tcPr>
          <w:p w14:paraId="64282156">
            <w:pPr>
              <w:pStyle w:val="6"/>
            </w:pPr>
          </w:p>
        </w:tc>
        <w:tc>
          <w:tcPr>
            <w:tcW w:w="2579" w:type="dxa"/>
            <w:vAlign w:val="top"/>
          </w:tcPr>
          <w:p w14:paraId="7A9C4B06">
            <w:pPr>
              <w:pStyle w:val="6"/>
            </w:pPr>
          </w:p>
        </w:tc>
        <w:tc>
          <w:tcPr>
            <w:tcW w:w="2140" w:type="dxa"/>
            <w:vAlign w:val="top"/>
          </w:tcPr>
          <w:p w14:paraId="0FB637B7">
            <w:pPr>
              <w:pStyle w:val="6"/>
            </w:pPr>
          </w:p>
        </w:tc>
      </w:tr>
      <w:tr w14:paraId="44665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874" w:type="dxa"/>
            <w:vAlign w:val="top"/>
          </w:tcPr>
          <w:p w14:paraId="73829200">
            <w:pPr>
              <w:pStyle w:val="6"/>
              <w:spacing w:line="290" w:lineRule="auto"/>
            </w:pPr>
          </w:p>
          <w:p w14:paraId="78EAF5D1">
            <w:pPr>
              <w:spacing w:before="65" w:line="189" w:lineRule="auto"/>
              <w:ind w:left="230"/>
              <w:rPr>
                <w:rFonts w:ascii="宋体" w:hAnsi="宋体" w:eastAsia="宋体" w:cs="宋体"/>
                <w:sz w:val="20"/>
                <w:szCs w:val="20"/>
              </w:rPr>
            </w:pPr>
            <w:r>
              <w:rPr>
                <w:rFonts w:ascii="宋体" w:hAnsi="宋体" w:eastAsia="宋体" w:cs="宋体"/>
                <w:sz w:val="20"/>
                <w:szCs w:val="20"/>
              </w:rPr>
              <w:t>4</w:t>
            </w:r>
          </w:p>
        </w:tc>
        <w:tc>
          <w:tcPr>
            <w:tcW w:w="1476" w:type="dxa"/>
            <w:vAlign w:val="top"/>
          </w:tcPr>
          <w:p w14:paraId="584B5259">
            <w:pPr>
              <w:pStyle w:val="6"/>
            </w:pPr>
          </w:p>
        </w:tc>
        <w:tc>
          <w:tcPr>
            <w:tcW w:w="1476" w:type="dxa"/>
            <w:vAlign w:val="top"/>
          </w:tcPr>
          <w:p w14:paraId="529BCAB9">
            <w:pPr>
              <w:pStyle w:val="6"/>
            </w:pPr>
          </w:p>
        </w:tc>
        <w:tc>
          <w:tcPr>
            <w:tcW w:w="2540" w:type="dxa"/>
            <w:vAlign w:val="top"/>
          </w:tcPr>
          <w:p w14:paraId="4C96984D">
            <w:pPr>
              <w:pStyle w:val="6"/>
            </w:pPr>
          </w:p>
        </w:tc>
        <w:tc>
          <w:tcPr>
            <w:tcW w:w="3135" w:type="dxa"/>
            <w:vAlign w:val="top"/>
          </w:tcPr>
          <w:p w14:paraId="05604CC0">
            <w:pPr>
              <w:pStyle w:val="6"/>
            </w:pPr>
          </w:p>
        </w:tc>
        <w:tc>
          <w:tcPr>
            <w:tcW w:w="2579" w:type="dxa"/>
            <w:vAlign w:val="top"/>
          </w:tcPr>
          <w:p w14:paraId="766085CB">
            <w:pPr>
              <w:pStyle w:val="6"/>
            </w:pPr>
          </w:p>
        </w:tc>
        <w:tc>
          <w:tcPr>
            <w:tcW w:w="2140" w:type="dxa"/>
            <w:vAlign w:val="top"/>
          </w:tcPr>
          <w:p w14:paraId="08A4182E">
            <w:pPr>
              <w:pStyle w:val="6"/>
            </w:pPr>
          </w:p>
        </w:tc>
      </w:tr>
      <w:tr w14:paraId="41FF5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874" w:type="dxa"/>
            <w:vAlign w:val="top"/>
          </w:tcPr>
          <w:p w14:paraId="62B4FD0D">
            <w:pPr>
              <w:pStyle w:val="6"/>
              <w:spacing w:line="294" w:lineRule="auto"/>
            </w:pPr>
          </w:p>
          <w:p w14:paraId="67E11102">
            <w:pPr>
              <w:spacing w:before="65" w:line="187" w:lineRule="auto"/>
              <w:ind w:left="235"/>
              <w:rPr>
                <w:rFonts w:ascii="宋体" w:hAnsi="宋体" w:eastAsia="宋体" w:cs="宋体"/>
                <w:sz w:val="20"/>
                <w:szCs w:val="20"/>
              </w:rPr>
            </w:pPr>
            <w:r>
              <w:rPr>
                <w:rFonts w:ascii="宋体" w:hAnsi="宋体" w:eastAsia="宋体" w:cs="宋体"/>
                <w:sz w:val="20"/>
                <w:szCs w:val="20"/>
              </w:rPr>
              <w:t>5</w:t>
            </w:r>
          </w:p>
        </w:tc>
        <w:tc>
          <w:tcPr>
            <w:tcW w:w="1476" w:type="dxa"/>
            <w:vAlign w:val="top"/>
          </w:tcPr>
          <w:p w14:paraId="210024A2">
            <w:pPr>
              <w:pStyle w:val="6"/>
            </w:pPr>
          </w:p>
        </w:tc>
        <w:tc>
          <w:tcPr>
            <w:tcW w:w="1476" w:type="dxa"/>
            <w:vAlign w:val="top"/>
          </w:tcPr>
          <w:p w14:paraId="56171A85">
            <w:pPr>
              <w:pStyle w:val="6"/>
            </w:pPr>
          </w:p>
        </w:tc>
        <w:tc>
          <w:tcPr>
            <w:tcW w:w="2540" w:type="dxa"/>
            <w:vAlign w:val="top"/>
          </w:tcPr>
          <w:p w14:paraId="4709734E">
            <w:pPr>
              <w:pStyle w:val="6"/>
            </w:pPr>
          </w:p>
        </w:tc>
        <w:tc>
          <w:tcPr>
            <w:tcW w:w="3135" w:type="dxa"/>
            <w:vAlign w:val="top"/>
          </w:tcPr>
          <w:p w14:paraId="0F5A3C93">
            <w:pPr>
              <w:pStyle w:val="6"/>
            </w:pPr>
          </w:p>
        </w:tc>
        <w:tc>
          <w:tcPr>
            <w:tcW w:w="2579" w:type="dxa"/>
            <w:vAlign w:val="top"/>
          </w:tcPr>
          <w:p w14:paraId="78AFA1AD">
            <w:pPr>
              <w:pStyle w:val="6"/>
            </w:pPr>
          </w:p>
        </w:tc>
        <w:tc>
          <w:tcPr>
            <w:tcW w:w="2140" w:type="dxa"/>
            <w:vAlign w:val="top"/>
          </w:tcPr>
          <w:p w14:paraId="7FF418F9">
            <w:pPr>
              <w:pStyle w:val="6"/>
            </w:pPr>
          </w:p>
        </w:tc>
      </w:tr>
      <w:tr w14:paraId="0A6E5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874" w:type="dxa"/>
            <w:vAlign w:val="top"/>
          </w:tcPr>
          <w:p w14:paraId="5C39BDB9">
            <w:pPr>
              <w:pStyle w:val="6"/>
              <w:spacing w:line="290" w:lineRule="auto"/>
            </w:pPr>
          </w:p>
          <w:p w14:paraId="36F605AB">
            <w:pPr>
              <w:spacing w:before="65" w:line="189" w:lineRule="auto"/>
              <w:ind w:left="233"/>
              <w:rPr>
                <w:rFonts w:ascii="宋体" w:hAnsi="宋体" w:eastAsia="宋体" w:cs="宋体"/>
                <w:sz w:val="20"/>
                <w:szCs w:val="20"/>
              </w:rPr>
            </w:pPr>
            <w:r>
              <w:rPr>
                <w:rFonts w:ascii="宋体" w:hAnsi="宋体" w:eastAsia="宋体" w:cs="宋体"/>
                <w:sz w:val="20"/>
                <w:szCs w:val="20"/>
              </w:rPr>
              <w:t>6</w:t>
            </w:r>
          </w:p>
        </w:tc>
        <w:tc>
          <w:tcPr>
            <w:tcW w:w="1476" w:type="dxa"/>
            <w:vAlign w:val="top"/>
          </w:tcPr>
          <w:p w14:paraId="62C2A1D7">
            <w:pPr>
              <w:pStyle w:val="6"/>
            </w:pPr>
          </w:p>
        </w:tc>
        <w:tc>
          <w:tcPr>
            <w:tcW w:w="1476" w:type="dxa"/>
            <w:vAlign w:val="top"/>
          </w:tcPr>
          <w:p w14:paraId="7EAD454D">
            <w:pPr>
              <w:pStyle w:val="6"/>
            </w:pPr>
          </w:p>
        </w:tc>
        <w:tc>
          <w:tcPr>
            <w:tcW w:w="2540" w:type="dxa"/>
            <w:vAlign w:val="top"/>
          </w:tcPr>
          <w:p w14:paraId="2F2E2634">
            <w:pPr>
              <w:pStyle w:val="6"/>
            </w:pPr>
          </w:p>
        </w:tc>
        <w:tc>
          <w:tcPr>
            <w:tcW w:w="3135" w:type="dxa"/>
            <w:vAlign w:val="top"/>
          </w:tcPr>
          <w:p w14:paraId="7C301EFE">
            <w:pPr>
              <w:pStyle w:val="6"/>
            </w:pPr>
          </w:p>
        </w:tc>
        <w:tc>
          <w:tcPr>
            <w:tcW w:w="2579" w:type="dxa"/>
            <w:vAlign w:val="top"/>
          </w:tcPr>
          <w:p w14:paraId="77E985AE">
            <w:pPr>
              <w:pStyle w:val="6"/>
            </w:pPr>
          </w:p>
        </w:tc>
        <w:tc>
          <w:tcPr>
            <w:tcW w:w="2140" w:type="dxa"/>
            <w:vAlign w:val="top"/>
          </w:tcPr>
          <w:p w14:paraId="209295C1">
            <w:pPr>
              <w:pStyle w:val="6"/>
            </w:pPr>
          </w:p>
        </w:tc>
      </w:tr>
    </w:tbl>
    <w:p w14:paraId="60DC7A1B">
      <w:pPr>
        <w:pStyle w:val="2"/>
        <w:spacing w:before="116" w:line="291" w:lineRule="auto"/>
        <w:ind w:left="600" w:right="40" w:firstLine="4"/>
        <w:rPr>
          <w:sz w:val="24"/>
          <w:szCs w:val="24"/>
        </w:rPr>
      </w:pPr>
      <w:r>
        <w:rPr>
          <w:spacing w:val="-6"/>
          <w:sz w:val="24"/>
          <w:szCs w:val="24"/>
        </w:rPr>
        <w:t>注：所属类别根据实际从“商场市场、‘多合一’场所、劳动密集型企业、公共娱乐场所、群租房、宾馆饭店、高层建筑、养老院、</w:t>
      </w:r>
      <w:r>
        <w:rPr>
          <w:spacing w:val="-2"/>
          <w:sz w:val="24"/>
          <w:szCs w:val="24"/>
        </w:rPr>
        <w:t>施工工地、幼儿园、文物建筑、工矿企业”中选填；</w:t>
      </w:r>
    </w:p>
    <w:p w14:paraId="4524E0AE">
      <w:pPr>
        <w:spacing w:line="291" w:lineRule="auto"/>
        <w:rPr>
          <w:sz w:val="24"/>
          <w:szCs w:val="24"/>
        </w:rPr>
        <w:sectPr>
          <w:pgSz w:w="16839" w:h="11906"/>
          <w:pgMar w:top="400" w:right="1590" w:bottom="0" w:left="1022" w:header="0" w:footer="0" w:gutter="0"/>
          <w:cols w:space="720" w:num="1"/>
        </w:sectPr>
      </w:pPr>
    </w:p>
    <w:p w14:paraId="7C0BE8E6">
      <w:pPr>
        <w:spacing w:before="101" w:line="230" w:lineRule="auto"/>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4"/>
          <w:sz w:val="32"/>
          <w:szCs w:val="32"/>
        </w:rPr>
        <w:t>附件2</w:t>
      </w:r>
      <w:r>
        <w:rPr>
          <w:rFonts w:hint="eastAsia" w:ascii="仿宋_GB2312" w:hAnsi="仿宋_GB2312" w:eastAsia="仿宋_GB2312" w:cs="仿宋_GB2312"/>
          <w:spacing w:val="-4"/>
          <w:sz w:val="32"/>
          <w:szCs w:val="32"/>
          <w:lang w:eastAsia="zh-CN"/>
        </w:rPr>
        <w:t>：</w:t>
      </w:r>
    </w:p>
    <w:p w14:paraId="4C128AA1">
      <w:pPr>
        <w:spacing w:line="243" w:lineRule="auto"/>
        <w:rPr>
          <w:rFonts w:ascii="Arial"/>
          <w:sz w:val="21"/>
        </w:rPr>
      </w:pPr>
    </w:p>
    <w:p w14:paraId="06AD1D9D">
      <w:pPr>
        <w:spacing w:line="244" w:lineRule="auto"/>
        <w:rPr>
          <w:rFonts w:ascii="Arial"/>
          <w:sz w:val="21"/>
        </w:rPr>
      </w:pPr>
    </w:p>
    <w:p w14:paraId="6B67B9A2">
      <w:pPr>
        <w:spacing w:before="140" w:line="222" w:lineRule="auto"/>
        <w:ind w:left="1448"/>
        <w:outlineLvl w:val="0"/>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4"/>
          <w:sz w:val="44"/>
          <w:szCs w:val="44"/>
        </w:rPr>
        <w:t>重大火灾隐患清零行动工作方案</w:t>
      </w:r>
    </w:p>
    <w:p w14:paraId="7D34FB03">
      <w:pPr>
        <w:spacing w:line="301" w:lineRule="auto"/>
        <w:rPr>
          <w:rFonts w:ascii="Arial"/>
          <w:sz w:val="21"/>
        </w:rPr>
      </w:pPr>
    </w:p>
    <w:p w14:paraId="611CD5BE">
      <w:pPr>
        <w:spacing w:line="302" w:lineRule="auto"/>
        <w:rPr>
          <w:rFonts w:ascii="Arial"/>
          <w:sz w:val="21"/>
        </w:rPr>
      </w:pPr>
    </w:p>
    <w:p w14:paraId="38387B3F">
      <w:pPr>
        <w:keepNext w:val="0"/>
        <w:keepLines w:val="0"/>
        <w:pageBreakBefore w:val="0"/>
        <w:widowControl/>
        <w:kinsoku w:val="0"/>
        <w:wordWrap/>
        <w:overflowPunct/>
        <w:topLinePunct w:val="0"/>
        <w:autoSpaceDE w:val="0"/>
        <w:autoSpaceDN w:val="0"/>
        <w:bidi w:val="0"/>
        <w:adjustRightInd w:val="0"/>
        <w:snapToGrid w:val="0"/>
        <w:spacing w:line="560" w:lineRule="exact"/>
        <w:ind w:left="639"/>
        <w:textAlignment w:val="baseline"/>
        <w:rPr>
          <w:rFonts w:ascii="黑体" w:hAnsi="黑体" w:eastAsia="黑体" w:cs="黑体"/>
          <w:sz w:val="32"/>
          <w:szCs w:val="32"/>
        </w:rPr>
      </w:pPr>
      <w:r>
        <w:rPr>
          <w:rFonts w:ascii="黑体" w:hAnsi="黑体" w:eastAsia="黑体" w:cs="黑体"/>
          <w:spacing w:val="7"/>
          <w:sz w:val="32"/>
          <w:szCs w:val="32"/>
        </w:rPr>
        <w:t>一、总体要求</w:t>
      </w:r>
    </w:p>
    <w:p w14:paraId="056F377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1"/>
          <w:sz w:val="32"/>
          <w:szCs w:val="32"/>
        </w:rPr>
        <w:t>深刻吸取淮南市潘集区自建房10.19较大火灾事故教训，树牢隐患就是事故的理念，以时不我待的紧迫感，按时按质消除重大火灾隐患，确保安全。</w:t>
      </w:r>
    </w:p>
    <w:p w14:paraId="520D1E94">
      <w:pPr>
        <w:keepNext w:val="0"/>
        <w:keepLines w:val="0"/>
        <w:pageBreakBefore w:val="0"/>
        <w:widowControl/>
        <w:kinsoku w:val="0"/>
        <w:wordWrap/>
        <w:overflowPunct/>
        <w:topLinePunct w:val="0"/>
        <w:autoSpaceDE w:val="0"/>
        <w:autoSpaceDN w:val="0"/>
        <w:bidi w:val="0"/>
        <w:adjustRightInd w:val="0"/>
        <w:snapToGrid w:val="0"/>
        <w:spacing w:line="560" w:lineRule="exact"/>
        <w:ind w:left="639"/>
        <w:textAlignment w:val="baseline"/>
        <w:rPr>
          <w:rFonts w:hint="default" w:ascii="黑体" w:hAnsi="黑体" w:eastAsia="黑体" w:cs="黑体"/>
          <w:spacing w:val="7"/>
          <w:sz w:val="32"/>
          <w:szCs w:val="32"/>
          <w:lang w:val="en-US" w:eastAsia="zh-CN"/>
        </w:rPr>
      </w:pPr>
      <w:r>
        <w:rPr>
          <w:rFonts w:hint="eastAsia" w:ascii="黑体" w:hAnsi="黑体" w:eastAsia="黑体" w:cs="黑体"/>
          <w:spacing w:val="7"/>
          <w:sz w:val="32"/>
          <w:szCs w:val="32"/>
          <w:lang w:val="en-US" w:eastAsia="zh-CN"/>
        </w:rPr>
        <w:t>二、整治范围及任务分工</w:t>
      </w:r>
    </w:p>
    <w:p w14:paraId="5ED60CB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1"/>
          <w:sz w:val="32"/>
          <w:szCs w:val="32"/>
        </w:rPr>
        <w:t>包括但不限于以下范围</w:t>
      </w:r>
      <w:r>
        <w:rPr>
          <w:rFonts w:hint="eastAsia" w:ascii="仿宋_GB2312" w:hAnsi="仿宋_GB2312" w:eastAsia="仿宋_GB2312" w:cs="仿宋_GB2312"/>
          <w:spacing w:val="11"/>
          <w:sz w:val="32"/>
          <w:szCs w:val="32"/>
          <w:lang w:eastAsia="zh-CN"/>
        </w:rPr>
        <w:t>：</w:t>
      </w:r>
    </w:p>
    <w:p w14:paraId="029CDC4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1"/>
          <w:sz w:val="32"/>
          <w:szCs w:val="32"/>
        </w:rPr>
        <w:t>1.2024年省、市、县（区）挂牌的重大火灾隐患；</w:t>
      </w:r>
    </w:p>
    <w:p w14:paraId="73BD3D0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1"/>
          <w:sz w:val="32"/>
          <w:szCs w:val="32"/>
        </w:rPr>
        <w:t>2.2024年省、市、县（区）督察、督导、考核反馈的重大火灾隐患；</w:t>
      </w:r>
    </w:p>
    <w:p w14:paraId="4C6FD86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1"/>
          <w:sz w:val="32"/>
          <w:szCs w:val="32"/>
        </w:rPr>
        <w:t>3.录入安全生产治本攻坚三年行动系统的重大火灾隐患。各</w:t>
      </w:r>
      <w:r>
        <w:rPr>
          <w:rFonts w:hint="eastAsia" w:ascii="仿宋_GB2312" w:hAnsi="仿宋_GB2312" w:eastAsia="仿宋_GB2312" w:cs="仿宋_GB2312"/>
          <w:spacing w:val="11"/>
          <w:sz w:val="32"/>
          <w:szCs w:val="32"/>
          <w:lang w:val="en-US" w:eastAsia="zh-CN"/>
        </w:rPr>
        <w:t>社区要</w:t>
      </w:r>
      <w:r>
        <w:rPr>
          <w:rFonts w:hint="eastAsia" w:ascii="仿宋_GB2312" w:hAnsi="仿宋_GB2312" w:eastAsia="仿宋_GB2312" w:cs="仿宋_GB2312"/>
          <w:spacing w:val="11"/>
          <w:sz w:val="32"/>
          <w:szCs w:val="32"/>
        </w:rPr>
        <w:t>按照监管职责分别摸排开展。</w:t>
      </w:r>
    </w:p>
    <w:p w14:paraId="03CDAC31">
      <w:pPr>
        <w:keepNext w:val="0"/>
        <w:keepLines w:val="0"/>
        <w:pageBreakBefore w:val="0"/>
        <w:widowControl/>
        <w:kinsoku w:val="0"/>
        <w:wordWrap/>
        <w:overflowPunct/>
        <w:topLinePunct w:val="0"/>
        <w:autoSpaceDE w:val="0"/>
        <w:autoSpaceDN w:val="0"/>
        <w:bidi w:val="0"/>
        <w:adjustRightInd w:val="0"/>
        <w:snapToGrid w:val="0"/>
        <w:spacing w:line="560" w:lineRule="exact"/>
        <w:ind w:left="639"/>
        <w:textAlignment w:val="baseline"/>
        <w:rPr>
          <w:rFonts w:hint="eastAsia" w:ascii="黑体" w:hAnsi="黑体" w:eastAsia="黑体" w:cs="黑体"/>
          <w:spacing w:val="7"/>
          <w:sz w:val="32"/>
          <w:szCs w:val="32"/>
          <w:lang w:val="en-US" w:eastAsia="zh-CN"/>
        </w:rPr>
      </w:pPr>
      <w:r>
        <w:rPr>
          <w:rFonts w:hint="eastAsia" w:ascii="黑体" w:hAnsi="黑体" w:eastAsia="黑体" w:cs="黑体"/>
          <w:spacing w:val="7"/>
          <w:sz w:val="32"/>
          <w:szCs w:val="32"/>
          <w:lang w:val="en-US" w:eastAsia="zh-CN"/>
        </w:rPr>
        <w:t>三、工作安排</w:t>
      </w:r>
    </w:p>
    <w:p w14:paraId="3903C62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rPr>
      </w:pPr>
      <w:r>
        <w:rPr>
          <w:rFonts w:hint="eastAsia" w:ascii="楷体" w:hAnsi="楷体" w:eastAsia="楷体" w:cs="楷体"/>
          <w:b/>
          <w:bCs/>
          <w:spacing w:val="11"/>
          <w:sz w:val="32"/>
          <w:szCs w:val="32"/>
        </w:rPr>
        <w:t>1.自查自纠。</w:t>
      </w:r>
      <w:r>
        <w:rPr>
          <w:rFonts w:hint="eastAsia" w:ascii="仿宋_GB2312" w:hAnsi="仿宋_GB2312" w:eastAsia="仿宋_GB2312" w:cs="仿宋_GB2312"/>
          <w:spacing w:val="11"/>
          <w:sz w:val="32"/>
          <w:szCs w:val="32"/>
        </w:rPr>
        <w:t>即日起—10月31日，</w:t>
      </w:r>
      <w:r>
        <w:rPr>
          <w:rFonts w:hint="eastAsia" w:ascii="仿宋_GB2312" w:hAnsi="仿宋_GB2312" w:eastAsia="仿宋_GB2312" w:cs="仿宋_GB2312"/>
          <w:spacing w:val="11"/>
          <w:sz w:val="32"/>
          <w:szCs w:val="32"/>
          <w:lang w:val="en-US" w:eastAsia="zh-CN"/>
        </w:rPr>
        <w:t>各社区要对本辖区</w:t>
      </w:r>
      <w:r>
        <w:rPr>
          <w:rFonts w:hint="eastAsia" w:ascii="仿宋_GB2312" w:hAnsi="仿宋_GB2312" w:eastAsia="仿宋_GB2312" w:cs="仿宋_GB2312"/>
          <w:spacing w:val="11"/>
          <w:sz w:val="32"/>
          <w:szCs w:val="32"/>
        </w:rPr>
        <w:t>本行业重大火灾隐患进行认真梳理，全面实行清单化管理，并向</w:t>
      </w:r>
      <w:r>
        <w:rPr>
          <w:rFonts w:hint="eastAsia" w:ascii="仿宋_GB2312" w:hAnsi="仿宋_GB2312" w:eastAsia="仿宋_GB2312" w:cs="仿宋_GB2312"/>
          <w:spacing w:val="11"/>
          <w:sz w:val="32"/>
          <w:szCs w:val="32"/>
          <w:lang w:val="en-US" w:eastAsia="zh-CN"/>
        </w:rPr>
        <w:t>街道</w:t>
      </w:r>
      <w:r>
        <w:rPr>
          <w:rFonts w:hint="eastAsia" w:ascii="仿宋_GB2312" w:hAnsi="仿宋_GB2312" w:eastAsia="仿宋_GB2312" w:cs="仿宋_GB2312"/>
          <w:spacing w:val="11"/>
          <w:sz w:val="32"/>
          <w:szCs w:val="32"/>
        </w:rPr>
        <w:t>报送情况表（见附表2）。</w:t>
      </w:r>
    </w:p>
    <w:p w14:paraId="6E173B2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rPr>
      </w:pPr>
      <w:r>
        <w:rPr>
          <w:rFonts w:hint="eastAsia" w:ascii="楷体" w:hAnsi="楷体" w:eastAsia="楷体" w:cs="楷体"/>
          <w:b/>
          <w:bCs/>
          <w:spacing w:val="11"/>
          <w:sz w:val="32"/>
          <w:szCs w:val="32"/>
        </w:rPr>
        <w:t>2.10月23日至10月31日为</w:t>
      </w:r>
      <w:r>
        <w:rPr>
          <w:rFonts w:hint="eastAsia" w:ascii="楷体" w:hAnsi="楷体" w:eastAsia="楷体" w:cs="楷体"/>
          <w:b/>
          <w:bCs/>
          <w:spacing w:val="11"/>
          <w:sz w:val="32"/>
          <w:szCs w:val="32"/>
          <w:lang w:val="en-US" w:eastAsia="zh-CN"/>
        </w:rPr>
        <w:t>排查整治</w:t>
      </w:r>
      <w:r>
        <w:rPr>
          <w:rFonts w:hint="eastAsia" w:ascii="楷体" w:hAnsi="楷体" w:eastAsia="楷体" w:cs="楷体"/>
          <w:b/>
          <w:bCs/>
          <w:spacing w:val="11"/>
          <w:sz w:val="32"/>
          <w:szCs w:val="32"/>
        </w:rPr>
        <w:t>检查阶段。</w:t>
      </w:r>
      <w:r>
        <w:rPr>
          <w:rFonts w:hint="eastAsia" w:ascii="仿宋_GB2312" w:hAnsi="仿宋_GB2312" w:eastAsia="仿宋_GB2312" w:cs="仿宋_GB2312"/>
          <w:spacing w:val="11"/>
          <w:sz w:val="32"/>
          <w:szCs w:val="32"/>
          <w:lang w:val="en-US" w:eastAsia="zh-CN"/>
        </w:rPr>
        <w:t>各社区要迅速开展排查，将</w:t>
      </w:r>
      <w:r>
        <w:rPr>
          <w:rFonts w:hint="eastAsia" w:ascii="仿宋_GB2312" w:hAnsi="仿宋_GB2312" w:eastAsia="仿宋_GB2312" w:cs="仿宋_GB2312"/>
          <w:spacing w:val="11"/>
          <w:sz w:val="32"/>
          <w:szCs w:val="32"/>
        </w:rPr>
        <w:t>隐患排查治理情况</w:t>
      </w:r>
      <w:r>
        <w:rPr>
          <w:rFonts w:hint="eastAsia" w:ascii="仿宋_GB2312" w:hAnsi="仿宋_GB2312" w:eastAsia="仿宋_GB2312" w:cs="仿宋_GB2312"/>
          <w:spacing w:val="11"/>
          <w:sz w:val="32"/>
          <w:szCs w:val="32"/>
          <w:lang w:val="en-US" w:eastAsia="zh-CN"/>
        </w:rPr>
        <w:t>及时上报。</w:t>
      </w:r>
    </w:p>
    <w:p w14:paraId="642A767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lang w:eastAsia="zh-CN"/>
        </w:rPr>
      </w:pPr>
      <w:r>
        <w:rPr>
          <w:rFonts w:hint="eastAsia" w:ascii="楷体" w:hAnsi="楷体" w:eastAsia="楷体" w:cs="楷体"/>
          <w:b/>
          <w:bCs/>
          <w:spacing w:val="11"/>
          <w:sz w:val="32"/>
          <w:szCs w:val="32"/>
        </w:rPr>
        <w:t>3.巩固提升。</w:t>
      </w:r>
      <w:r>
        <w:rPr>
          <w:rFonts w:hint="eastAsia" w:ascii="仿宋_GB2312" w:hAnsi="仿宋_GB2312" w:eastAsia="仿宋_GB2312" w:cs="仿宋_GB2312"/>
          <w:spacing w:val="11"/>
          <w:sz w:val="32"/>
          <w:szCs w:val="32"/>
        </w:rPr>
        <w:t>11月10日—12月31日，总结经验做法，形成制度措施，确保存量隐患清零，增量隐患动态清零</w:t>
      </w:r>
      <w:r>
        <w:rPr>
          <w:rFonts w:hint="eastAsia" w:ascii="仿宋_GB2312" w:hAnsi="仿宋_GB2312" w:eastAsia="仿宋_GB2312" w:cs="仿宋_GB2312"/>
          <w:spacing w:val="11"/>
          <w:sz w:val="32"/>
          <w:szCs w:val="32"/>
          <w:lang w:eastAsia="zh-CN"/>
        </w:rPr>
        <w:t>。</w:t>
      </w:r>
    </w:p>
    <w:p w14:paraId="68E5B22A">
      <w:pPr>
        <w:keepNext w:val="0"/>
        <w:keepLines w:val="0"/>
        <w:pageBreakBefore w:val="0"/>
        <w:widowControl/>
        <w:kinsoku w:val="0"/>
        <w:wordWrap/>
        <w:overflowPunct/>
        <w:topLinePunct w:val="0"/>
        <w:autoSpaceDE w:val="0"/>
        <w:autoSpaceDN w:val="0"/>
        <w:bidi w:val="0"/>
        <w:adjustRightInd w:val="0"/>
        <w:snapToGrid w:val="0"/>
        <w:spacing w:line="560" w:lineRule="exact"/>
        <w:ind w:left="639"/>
        <w:textAlignment w:val="baseline"/>
        <w:rPr>
          <w:rFonts w:hint="eastAsia" w:ascii="黑体" w:hAnsi="黑体" w:eastAsia="黑体" w:cs="黑体"/>
          <w:spacing w:val="7"/>
          <w:sz w:val="32"/>
          <w:szCs w:val="32"/>
          <w:lang w:val="en-US" w:eastAsia="zh-CN"/>
        </w:rPr>
      </w:pPr>
      <w:r>
        <w:rPr>
          <w:rFonts w:hint="eastAsia" w:ascii="黑体" w:hAnsi="黑体" w:eastAsia="黑体" w:cs="黑体"/>
          <w:spacing w:val="7"/>
          <w:sz w:val="32"/>
          <w:szCs w:val="32"/>
          <w:lang w:val="en-US" w:eastAsia="zh-CN"/>
        </w:rPr>
        <w:t>四、相关工作要求</w:t>
      </w:r>
    </w:p>
    <w:p w14:paraId="2421044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1"/>
          <w:sz w:val="32"/>
          <w:szCs w:val="32"/>
        </w:rPr>
        <w:t>（一）</w:t>
      </w:r>
      <w:r>
        <w:rPr>
          <w:rFonts w:hint="eastAsia" w:ascii="仿宋_GB2312" w:hAnsi="仿宋_GB2312" w:eastAsia="仿宋_GB2312" w:cs="仿宋_GB2312"/>
          <w:spacing w:val="11"/>
          <w:sz w:val="32"/>
          <w:szCs w:val="32"/>
          <w:lang w:val="en-US" w:eastAsia="zh-CN"/>
        </w:rPr>
        <w:t>各社区要</w:t>
      </w:r>
      <w:r>
        <w:rPr>
          <w:rFonts w:hint="eastAsia" w:ascii="仿宋_GB2312" w:hAnsi="仿宋_GB2312" w:eastAsia="仿宋_GB2312" w:cs="仿宋_GB2312"/>
          <w:spacing w:val="11"/>
          <w:sz w:val="32"/>
          <w:szCs w:val="32"/>
        </w:rPr>
        <w:t>指导生产经营单位按时按质完成重大火灾隐患整改，并组织验收销号。不能按时整改的必须制定严格的风险管控措施，报</w:t>
      </w:r>
      <w:r>
        <w:rPr>
          <w:rFonts w:hint="eastAsia" w:ascii="仿宋_GB2312" w:hAnsi="仿宋_GB2312" w:eastAsia="仿宋_GB2312" w:cs="仿宋_GB2312"/>
          <w:spacing w:val="11"/>
          <w:sz w:val="32"/>
          <w:szCs w:val="32"/>
          <w:lang w:val="en-US" w:eastAsia="zh-CN"/>
        </w:rPr>
        <w:t>上</w:t>
      </w:r>
      <w:r>
        <w:rPr>
          <w:rFonts w:hint="eastAsia" w:ascii="仿宋_GB2312" w:hAnsi="仿宋_GB2312" w:eastAsia="仿宋_GB2312" w:cs="仿宋_GB2312"/>
          <w:spacing w:val="11"/>
          <w:sz w:val="32"/>
          <w:szCs w:val="32"/>
        </w:rPr>
        <w:t>级主管部门审核同意后，申请延期。</w:t>
      </w:r>
    </w:p>
    <w:p w14:paraId="284EC6A2">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6"/>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1"/>
          <w:sz w:val="32"/>
          <w:szCs w:val="32"/>
        </w:rPr>
        <w:t>（二）</w:t>
      </w:r>
      <w:r>
        <w:rPr>
          <w:rFonts w:hint="eastAsia" w:ascii="仿宋_GB2312" w:hAnsi="仿宋_GB2312" w:eastAsia="仿宋_GB2312" w:cs="仿宋_GB2312"/>
          <w:spacing w:val="11"/>
          <w:sz w:val="32"/>
          <w:szCs w:val="32"/>
          <w:lang w:val="en-US" w:eastAsia="zh-CN"/>
        </w:rPr>
        <w:t>请各社区</w:t>
      </w:r>
      <w:r>
        <w:rPr>
          <w:rFonts w:hint="eastAsia" w:ascii="仿宋_GB2312" w:hAnsi="仿宋_GB2312" w:eastAsia="仿宋_GB2312" w:cs="仿宋_GB2312"/>
          <w:spacing w:val="11"/>
          <w:sz w:val="32"/>
          <w:szCs w:val="32"/>
        </w:rPr>
        <w:t>将重大火灾隐患统计表于每周</w:t>
      </w:r>
      <w:r>
        <w:rPr>
          <w:rFonts w:hint="eastAsia" w:ascii="仿宋_GB2312" w:hAnsi="仿宋_GB2312" w:eastAsia="仿宋_GB2312" w:cs="仿宋_GB2312"/>
          <w:spacing w:val="11"/>
          <w:sz w:val="32"/>
          <w:szCs w:val="32"/>
          <w:lang w:val="en-US" w:eastAsia="zh-CN"/>
        </w:rPr>
        <w:t>三</w:t>
      </w:r>
      <w:r>
        <w:rPr>
          <w:rFonts w:hint="eastAsia" w:ascii="仿宋_GB2312" w:hAnsi="仿宋_GB2312" w:eastAsia="仿宋_GB2312" w:cs="仿宋_GB2312"/>
          <w:spacing w:val="11"/>
          <w:sz w:val="32"/>
          <w:szCs w:val="32"/>
        </w:rPr>
        <w:t>下午</w:t>
      </w:r>
      <w:r>
        <w:rPr>
          <w:rFonts w:hint="eastAsia" w:ascii="仿宋_GB2312" w:hAnsi="仿宋_GB2312" w:eastAsia="仿宋_GB2312" w:cs="仿宋_GB2312"/>
          <w:spacing w:val="11"/>
          <w:sz w:val="32"/>
          <w:szCs w:val="32"/>
          <w:lang w:val="en-US" w:eastAsia="zh-CN"/>
        </w:rPr>
        <w:t>下班</w:t>
      </w:r>
      <w:r>
        <w:rPr>
          <w:rFonts w:hint="eastAsia" w:ascii="仿宋_GB2312" w:hAnsi="仿宋_GB2312" w:eastAsia="仿宋_GB2312" w:cs="仿宋_GB2312"/>
          <w:spacing w:val="11"/>
          <w:sz w:val="32"/>
          <w:szCs w:val="32"/>
        </w:rPr>
        <w:t>前报</w:t>
      </w:r>
      <w:r>
        <w:rPr>
          <w:rFonts w:hint="eastAsia" w:ascii="仿宋_GB2312" w:hAnsi="仿宋_GB2312" w:eastAsia="仿宋_GB2312" w:cs="仿宋_GB2312"/>
          <w:spacing w:val="11"/>
          <w:sz w:val="32"/>
          <w:szCs w:val="32"/>
          <w:lang w:val="en-US" w:eastAsia="zh-CN"/>
        </w:rPr>
        <w:t>送街道</w:t>
      </w:r>
      <w:r>
        <w:rPr>
          <w:rFonts w:hint="eastAsia" w:ascii="仿宋_GB2312" w:hAnsi="仿宋_GB2312" w:eastAsia="仿宋_GB2312" w:cs="仿宋_GB2312"/>
          <w:spacing w:val="11"/>
          <w:sz w:val="32"/>
          <w:szCs w:val="32"/>
        </w:rPr>
        <w:t>。</w:t>
      </w:r>
    </w:p>
    <w:p w14:paraId="7EB3DF2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1968"/>
        <w:textAlignment w:val="baseline"/>
        <w:rPr>
          <w:sz w:val="32"/>
          <w:szCs w:val="32"/>
        </w:rPr>
      </w:pPr>
    </w:p>
    <w:p w14:paraId="5F248644">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sz w:val="32"/>
          <w:szCs w:val="32"/>
        </w:rPr>
        <w:sectPr>
          <w:pgSz w:w="11906" w:h="16839"/>
          <w:pgMar w:top="1440" w:right="1803" w:bottom="1440" w:left="1803" w:header="0" w:footer="0" w:gutter="0"/>
          <w:cols w:space="720" w:num="1"/>
        </w:sectPr>
      </w:pPr>
    </w:p>
    <w:p w14:paraId="3671438F">
      <w:pPr>
        <w:spacing w:before="100" w:line="228" w:lineRule="auto"/>
        <w:ind w:left="22"/>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4"/>
          <w:sz w:val="32"/>
          <w:szCs w:val="32"/>
        </w:rPr>
        <w:t>附表2</w:t>
      </w:r>
      <w:r>
        <w:rPr>
          <w:rFonts w:hint="eastAsia" w:ascii="仿宋_GB2312" w:hAnsi="仿宋_GB2312" w:eastAsia="仿宋_GB2312" w:cs="仿宋_GB2312"/>
          <w:spacing w:val="-4"/>
          <w:sz w:val="32"/>
          <w:szCs w:val="32"/>
          <w:lang w:eastAsia="zh-CN"/>
        </w:rPr>
        <w:t>：</w:t>
      </w:r>
    </w:p>
    <w:p w14:paraId="30ABA0DC">
      <w:pPr>
        <w:spacing w:before="75" w:line="221" w:lineRule="auto"/>
        <w:jc w:val="center"/>
        <w:outlineLvl w:val="0"/>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4"/>
          <w:sz w:val="44"/>
          <w:szCs w:val="44"/>
        </w:rPr>
        <w:t>重大火灾隐患清零行动统计表</w:t>
      </w:r>
    </w:p>
    <w:p w14:paraId="7A90D08C">
      <w:pPr>
        <w:spacing w:before="146" w:line="224" w:lineRule="auto"/>
        <w:ind w:left="648"/>
        <w:rPr>
          <w:rFonts w:ascii="宋体" w:hAnsi="宋体" w:eastAsia="宋体" w:cs="宋体"/>
          <w:sz w:val="31"/>
          <w:szCs w:val="31"/>
        </w:rPr>
      </w:pPr>
      <w:r>
        <w:rPr>
          <w:rFonts w:ascii="宋体" w:hAnsi="宋体" w:eastAsia="宋体" w:cs="宋体"/>
          <w:spacing w:val="6"/>
          <w:sz w:val="31"/>
          <w:szCs w:val="31"/>
        </w:rPr>
        <w:t>填报单位（盖章</w:t>
      </w:r>
      <w:r>
        <w:rPr>
          <w:rFonts w:ascii="宋体" w:hAnsi="宋体" w:eastAsia="宋体" w:cs="宋体"/>
          <w:spacing w:val="-84"/>
          <w:sz w:val="31"/>
          <w:szCs w:val="31"/>
        </w:rPr>
        <w:t>）：</w:t>
      </w:r>
      <w:r>
        <w:rPr>
          <w:rFonts w:ascii="宋体" w:hAnsi="宋体" w:eastAsia="宋体" w:cs="宋体"/>
          <w:spacing w:val="6"/>
          <w:sz w:val="31"/>
          <w:szCs w:val="31"/>
        </w:rPr>
        <w:t>填报时间：</w:t>
      </w:r>
    </w:p>
    <w:p w14:paraId="4869E397">
      <w:pPr>
        <w:spacing w:line="89" w:lineRule="auto"/>
        <w:rPr>
          <w:rFonts w:ascii="Arial"/>
          <w:sz w:val="2"/>
        </w:rPr>
      </w:pPr>
    </w:p>
    <w:tbl>
      <w:tblPr>
        <w:tblStyle w:val="5"/>
        <w:tblW w:w="13433" w:type="dxa"/>
        <w:tblInd w:w="6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9"/>
        <w:gridCol w:w="2071"/>
        <w:gridCol w:w="2071"/>
        <w:gridCol w:w="1951"/>
        <w:gridCol w:w="2017"/>
        <w:gridCol w:w="2545"/>
        <w:gridCol w:w="1679"/>
      </w:tblGrid>
      <w:tr w14:paraId="6222D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1099" w:type="dxa"/>
            <w:vAlign w:val="top"/>
          </w:tcPr>
          <w:p w14:paraId="6B40C59C">
            <w:pPr>
              <w:pStyle w:val="6"/>
              <w:spacing w:line="357" w:lineRule="auto"/>
            </w:pPr>
          </w:p>
          <w:p w14:paraId="73127B17">
            <w:pPr>
              <w:spacing w:before="101" w:line="226" w:lineRule="auto"/>
              <w:ind w:left="238"/>
              <w:rPr>
                <w:rFonts w:ascii="宋体" w:hAnsi="宋体" w:eastAsia="宋体" w:cs="宋体"/>
                <w:sz w:val="31"/>
                <w:szCs w:val="31"/>
              </w:rPr>
            </w:pPr>
            <w:r>
              <w:rPr>
                <w:rFonts w:ascii="宋体" w:hAnsi="宋体" w:eastAsia="宋体" w:cs="宋体"/>
                <w:spacing w:val="3"/>
                <w:sz w:val="31"/>
                <w:szCs w:val="31"/>
              </w:rPr>
              <w:t>序号</w:t>
            </w:r>
          </w:p>
        </w:tc>
        <w:tc>
          <w:tcPr>
            <w:tcW w:w="2071" w:type="dxa"/>
            <w:vAlign w:val="top"/>
          </w:tcPr>
          <w:p w14:paraId="671C8267">
            <w:pPr>
              <w:pStyle w:val="6"/>
              <w:spacing w:line="357" w:lineRule="auto"/>
            </w:pPr>
          </w:p>
          <w:p w14:paraId="53595981">
            <w:pPr>
              <w:spacing w:before="101" w:line="225" w:lineRule="auto"/>
              <w:ind w:left="403"/>
              <w:rPr>
                <w:rFonts w:ascii="宋体" w:hAnsi="宋体" w:eastAsia="宋体" w:cs="宋体"/>
                <w:sz w:val="31"/>
                <w:szCs w:val="31"/>
              </w:rPr>
            </w:pPr>
            <w:r>
              <w:rPr>
                <w:rFonts w:ascii="宋体" w:hAnsi="宋体" w:eastAsia="宋体" w:cs="宋体"/>
                <w:spacing w:val="6"/>
                <w:sz w:val="31"/>
                <w:szCs w:val="31"/>
              </w:rPr>
              <w:t>所在属地</w:t>
            </w:r>
          </w:p>
        </w:tc>
        <w:tc>
          <w:tcPr>
            <w:tcW w:w="2071" w:type="dxa"/>
            <w:vAlign w:val="top"/>
          </w:tcPr>
          <w:p w14:paraId="710FACBC">
            <w:pPr>
              <w:spacing w:before="178" w:line="280" w:lineRule="auto"/>
              <w:ind w:left="725" w:right="395" w:hanging="317"/>
              <w:rPr>
                <w:rFonts w:ascii="宋体" w:hAnsi="宋体" w:eastAsia="宋体" w:cs="宋体"/>
                <w:sz w:val="31"/>
                <w:szCs w:val="31"/>
              </w:rPr>
            </w:pPr>
            <w:r>
              <w:rPr>
                <w:rFonts w:ascii="宋体" w:hAnsi="宋体" w:eastAsia="宋体" w:cs="宋体"/>
                <w:spacing w:val="5"/>
                <w:sz w:val="31"/>
                <w:szCs w:val="31"/>
              </w:rPr>
              <w:t>行业主管</w:t>
            </w:r>
            <w:r>
              <w:rPr>
                <w:rFonts w:ascii="宋体" w:hAnsi="宋体" w:eastAsia="宋体" w:cs="宋体"/>
                <w:sz w:val="31"/>
                <w:szCs w:val="31"/>
              </w:rPr>
              <w:t>部门</w:t>
            </w:r>
          </w:p>
        </w:tc>
        <w:tc>
          <w:tcPr>
            <w:tcW w:w="1951" w:type="dxa"/>
            <w:vAlign w:val="top"/>
          </w:tcPr>
          <w:p w14:paraId="6325DA91">
            <w:pPr>
              <w:spacing w:before="178" w:line="280" w:lineRule="auto"/>
              <w:ind w:left="661" w:hanging="540"/>
              <w:rPr>
                <w:rFonts w:ascii="宋体" w:hAnsi="宋体" w:eastAsia="宋体" w:cs="宋体"/>
                <w:sz w:val="31"/>
                <w:szCs w:val="31"/>
              </w:rPr>
            </w:pPr>
            <w:r>
              <w:rPr>
                <w:rFonts w:ascii="宋体" w:hAnsi="宋体" w:eastAsia="宋体" w:cs="宋体"/>
                <w:spacing w:val="-6"/>
                <w:sz w:val="31"/>
                <w:szCs w:val="31"/>
              </w:rPr>
              <w:t>企业（单位）</w:t>
            </w:r>
            <w:r>
              <w:rPr>
                <w:rFonts w:ascii="宋体" w:hAnsi="宋体" w:eastAsia="宋体" w:cs="宋体"/>
                <w:spacing w:val="-4"/>
                <w:sz w:val="31"/>
                <w:szCs w:val="31"/>
              </w:rPr>
              <w:t>名称</w:t>
            </w:r>
          </w:p>
        </w:tc>
        <w:tc>
          <w:tcPr>
            <w:tcW w:w="2017" w:type="dxa"/>
            <w:vAlign w:val="top"/>
          </w:tcPr>
          <w:p w14:paraId="098074EB">
            <w:pPr>
              <w:spacing w:before="178" w:line="280" w:lineRule="auto"/>
              <w:ind w:left="552" w:right="206" w:hanging="332"/>
              <w:rPr>
                <w:rFonts w:ascii="宋体" w:hAnsi="宋体" w:eastAsia="宋体" w:cs="宋体"/>
                <w:sz w:val="31"/>
                <w:szCs w:val="31"/>
              </w:rPr>
            </w:pPr>
            <w:r>
              <w:rPr>
                <w:rFonts w:ascii="宋体" w:hAnsi="宋体" w:eastAsia="宋体" w:cs="宋体"/>
                <w:spacing w:val="6"/>
                <w:sz w:val="31"/>
                <w:szCs w:val="31"/>
              </w:rPr>
              <w:t>重大火灾隐</w:t>
            </w:r>
            <w:r>
              <w:rPr>
                <w:rFonts w:ascii="宋体" w:hAnsi="宋体" w:eastAsia="宋体" w:cs="宋体"/>
                <w:sz w:val="31"/>
                <w:szCs w:val="31"/>
              </w:rPr>
              <w:t>患描述</w:t>
            </w:r>
          </w:p>
        </w:tc>
        <w:tc>
          <w:tcPr>
            <w:tcW w:w="2545" w:type="dxa"/>
            <w:vAlign w:val="top"/>
          </w:tcPr>
          <w:p w14:paraId="235FAA13">
            <w:pPr>
              <w:spacing w:before="178" w:line="280" w:lineRule="auto"/>
              <w:ind w:left="965" w:right="630" w:hanging="321"/>
              <w:rPr>
                <w:rFonts w:ascii="宋体" w:hAnsi="宋体" w:eastAsia="宋体" w:cs="宋体"/>
                <w:sz w:val="31"/>
                <w:szCs w:val="31"/>
              </w:rPr>
            </w:pPr>
            <w:r>
              <w:rPr>
                <w:rFonts w:ascii="宋体" w:hAnsi="宋体" w:eastAsia="宋体" w:cs="宋体"/>
                <w:spacing w:val="6"/>
                <w:sz w:val="31"/>
                <w:szCs w:val="31"/>
              </w:rPr>
              <w:t>整改完成</w:t>
            </w:r>
            <w:r>
              <w:rPr>
                <w:rFonts w:ascii="宋体" w:hAnsi="宋体" w:eastAsia="宋体" w:cs="宋体"/>
                <w:spacing w:val="2"/>
                <w:sz w:val="31"/>
                <w:szCs w:val="31"/>
              </w:rPr>
              <w:t>情况</w:t>
            </w:r>
          </w:p>
        </w:tc>
        <w:tc>
          <w:tcPr>
            <w:tcW w:w="1679" w:type="dxa"/>
            <w:vAlign w:val="top"/>
          </w:tcPr>
          <w:p w14:paraId="1799B33B">
            <w:pPr>
              <w:pStyle w:val="6"/>
              <w:spacing w:line="357" w:lineRule="auto"/>
            </w:pPr>
          </w:p>
          <w:p w14:paraId="5DF76465">
            <w:pPr>
              <w:spacing w:before="101" w:line="226" w:lineRule="auto"/>
              <w:ind w:left="533"/>
              <w:rPr>
                <w:rFonts w:ascii="宋体" w:hAnsi="宋体" w:eastAsia="宋体" w:cs="宋体"/>
                <w:sz w:val="31"/>
                <w:szCs w:val="31"/>
              </w:rPr>
            </w:pPr>
            <w:r>
              <w:rPr>
                <w:rFonts w:ascii="宋体" w:hAnsi="宋体" w:eastAsia="宋体" w:cs="宋体"/>
                <w:sz w:val="31"/>
                <w:szCs w:val="31"/>
              </w:rPr>
              <w:t>备注</w:t>
            </w:r>
          </w:p>
        </w:tc>
      </w:tr>
      <w:tr w14:paraId="5A0C0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99" w:type="dxa"/>
            <w:vAlign w:val="top"/>
          </w:tcPr>
          <w:p w14:paraId="2653E759">
            <w:pPr>
              <w:pStyle w:val="6"/>
            </w:pPr>
          </w:p>
        </w:tc>
        <w:tc>
          <w:tcPr>
            <w:tcW w:w="2071" w:type="dxa"/>
            <w:vAlign w:val="top"/>
          </w:tcPr>
          <w:p w14:paraId="3BEB86CE">
            <w:pPr>
              <w:pStyle w:val="6"/>
            </w:pPr>
          </w:p>
        </w:tc>
        <w:tc>
          <w:tcPr>
            <w:tcW w:w="2071" w:type="dxa"/>
            <w:vAlign w:val="top"/>
          </w:tcPr>
          <w:p w14:paraId="63A4E2BA">
            <w:pPr>
              <w:pStyle w:val="6"/>
            </w:pPr>
          </w:p>
        </w:tc>
        <w:tc>
          <w:tcPr>
            <w:tcW w:w="1951" w:type="dxa"/>
            <w:vAlign w:val="top"/>
          </w:tcPr>
          <w:p w14:paraId="5FD60FAE">
            <w:pPr>
              <w:pStyle w:val="6"/>
            </w:pPr>
          </w:p>
        </w:tc>
        <w:tc>
          <w:tcPr>
            <w:tcW w:w="2017" w:type="dxa"/>
            <w:vAlign w:val="top"/>
          </w:tcPr>
          <w:p w14:paraId="6D9077B0">
            <w:pPr>
              <w:pStyle w:val="6"/>
            </w:pPr>
          </w:p>
        </w:tc>
        <w:tc>
          <w:tcPr>
            <w:tcW w:w="2545" w:type="dxa"/>
            <w:vAlign w:val="top"/>
          </w:tcPr>
          <w:p w14:paraId="1002A9E6">
            <w:pPr>
              <w:pStyle w:val="6"/>
            </w:pPr>
          </w:p>
        </w:tc>
        <w:tc>
          <w:tcPr>
            <w:tcW w:w="1679" w:type="dxa"/>
            <w:vAlign w:val="top"/>
          </w:tcPr>
          <w:p w14:paraId="34D96ADA">
            <w:pPr>
              <w:pStyle w:val="6"/>
            </w:pPr>
          </w:p>
        </w:tc>
      </w:tr>
      <w:tr w14:paraId="05C1A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99" w:type="dxa"/>
            <w:vAlign w:val="top"/>
          </w:tcPr>
          <w:p w14:paraId="0B118669">
            <w:pPr>
              <w:pStyle w:val="6"/>
            </w:pPr>
          </w:p>
        </w:tc>
        <w:tc>
          <w:tcPr>
            <w:tcW w:w="2071" w:type="dxa"/>
            <w:vAlign w:val="top"/>
          </w:tcPr>
          <w:p w14:paraId="5F58FAE4">
            <w:pPr>
              <w:pStyle w:val="6"/>
            </w:pPr>
          </w:p>
        </w:tc>
        <w:tc>
          <w:tcPr>
            <w:tcW w:w="2071" w:type="dxa"/>
            <w:vAlign w:val="top"/>
          </w:tcPr>
          <w:p w14:paraId="2921FCC8">
            <w:pPr>
              <w:pStyle w:val="6"/>
            </w:pPr>
          </w:p>
        </w:tc>
        <w:tc>
          <w:tcPr>
            <w:tcW w:w="1951" w:type="dxa"/>
            <w:vAlign w:val="top"/>
          </w:tcPr>
          <w:p w14:paraId="627DC5A8">
            <w:pPr>
              <w:pStyle w:val="6"/>
            </w:pPr>
          </w:p>
        </w:tc>
        <w:tc>
          <w:tcPr>
            <w:tcW w:w="2017" w:type="dxa"/>
            <w:vAlign w:val="top"/>
          </w:tcPr>
          <w:p w14:paraId="1CEF35C2">
            <w:pPr>
              <w:pStyle w:val="6"/>
            </w:pPr>
          </w:p>
        </w:tc>
        <w:tc>
          <w:tcPr>
            <w:tcW w:w="2545" w:type="dxa"/>
            <w:vAlign w:val="top"/>
          </w:tcPr>
          <w:p w14:paraId="07E3001B">
            <w:pPr>
              <w:pStyle w:val="6"/>
            </w:pPr>
          </w:p>
        </w:tc>
        <w:tc>
          <w:tcPr>
            <w:tcW w:w="1679" w:type="dxa"/>
            <w:vAlign w:val="top"/>
          </w:tcPr>
          <w:p w14:paraId="22B9A8BF">
            <w:pPr>
              <w:pStyle w:val="6"/>
            </w:pPr>
          </w:p>
        </w:tc>
      </w:tr>
      <w:tr w14:paraId="09852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99" w:type="dxa"/>
            <w:vAlign w:val="top"/>
          </w:tcPr>
          <w:p w14:paraId="4BD3448F">
            <w:pPr>
              <w:pStyle w:val="6"/>
            </w:pPr>
          </w:p>
        </w:tc>
        <w:tc>
          <w:tcPr>
            <w:tcW w:w="2071" w:type="dxa"/>
            <w:vAlign w:val="top"/>
          </w:tcPr>
          <w:p w14:paraId="53C3DF23">
            <w:pPr>
              <w:pStyle w:val="6"/>
            </w:pPr>
          </w:p>
        </w:tc>
        <w:tc>
          <w:tcPr>
            <w:tcW w:w="2071" w:type="dxa"/>
            <w:vAlign w:val="top"/>
          </w:tcPr>
          <w:p w14:paraId="67A80C63">
            <w:pPr>
              <w:pStyle w:val="6"/>
            </w:pPr>
          </w:p>
        </w:tc>
        <w:tc>
          <w:tcPr>
            <w:tcW w:w="1951" w:type="dxa"/>
            <w:vAlign w:val="top"/>
          </w:tcPr>
          <w:p w14:paraId="309C4FC1">
            <w:pPr>
              <w:pStyle w:val="6"/>
            </w:pPr>
          </w:p>
        </w:tc>
        <w:tc>
          <w:tcPr>
            <w:tcW w:w="2017" w:type="dxa"/>
            <w:vAlign w:val="top"/>
          </w:tcPr>
          <w:p w14:paraId="561B29FC">
            <w:pPr>
              <w:pStyle w:val="6"/>
            </w:pPr>
          </w:p>
        </w:tc>
        <w:tc>
          <w:tcPr>
            <w:tcW w:w="2545" w:type="dxa"/>
            <w:vAlign w:val="top"/>
          </w:tcPr>
          <w:p w14:paraId="6FF52F35">
            <w:pPr>
              <w:pStyle w:val="6"/>
            </w:pPr>
          </w:p>
        </w:tc>
        <w:tc>
          <w:tcPr>
            <w:tcW w:w="1679" w:type="dxa"/>
            <w:vAlign w:val="top"/>
          </w:tcPr>
          <w:p w14:paraId="56DDD3F7">
            <w:pPr>
              <w:pStyle w:val="6"/>
            </w:pPr>
          </w:p>
        </w:tc>
      </w:tr>
      <w:tr w14:paraId="2B0DE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99" w:type="dxa"/>
            <w:vAlign w:val="top"/>
          </w:tcPr>
          <w:p w14:paraId="4A51075C">
            <w:pPr>
              <w:pStyle w:val="6"/>
            </w:pPr>
          </w:p>
        </w:tc>
        <w:tc>
          <w:tcPr>
            <w:tcW w:w="2071" w:type="dxa"/>
            <w:vAlign w:val="top"/>
          </w:tcPr>
          <w:p w14:paraId="53D19656">
            <w:pPr>
              <w:pStyle w:val="6"/>
            </w:pPr>
          </w:p>
        </w:tc>
        <w:tc>
          <w:tcPr>
            <w:tcW w:w="2071" w:type="dxa"/>
            <w:vAlign w:val="top"/>
          </w:tcPr>
          <w:p w14:paraId="48B5481B">
            <w:pPr>
              <w:pStyle w:val="6"/>
            </w:pPr>
          </w:p>
        </w:tc>
        <w:tc>
          <w:tcPr>
            <w:tcW w:w="1951" w:type="dxa"/>
            <w:vAlign w:val="top"/>
          </w:tcPr>
          <w:p w14:paraId="6AA1088F">
            <w:pPr>
              <w:pStyle w:val="6"/>
            </w:pPr>
          </w:p>
        </w:tc>
        <w:tc>
          <w:tcPr>
            <w:tcW w:w="2017" w:type="dxa"/>
            <w:vAlign w:val="top"/>
          </w:tcPr>
          <w:p w14:paraId="6C2BF2E8">
            <w:pPr>
              <w:pStyle w:val="6"/>
            </w:pPr>
          </w:p>
        </w:tc>
        <w:tc>
          <w:tcPr>
            <w:tcW w:w="2545" w:type="dxa"/>
            <w:vAlign w:val="top"/>
          </w:tcPr>
          <w:p w14:paraId="22312AE5">
            <w:pPr>
              <w:pStyle w:val="6"/>
            </w:pPr>
          </w:p>
        </w:tc>
        <w:tc>
          <w:tcPr>
            <w:tcW w:w="1679" w:type="dxa"/>
            <w:vAlign w:val="top"/>
          </w:tcPr>
          <w:p w14:paraId="74BBE594">
            <w:pPr>
              <w:pStyle w:val="6"/>
            </w:pPr>
          </w:p>
        </w:tc>
      </w:tr>
      <w:tr w14:paraId="70F02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99" w:type="dxa"/>
            <w:vAlign w:val="top"/>
          </w:tcPr>
          <w:p w14:paraId="570E8EDA">
            <w:pPr>
              <w:pStyle w:val="6"/>
            </w:pPr>
          </w:p>
        </w:tc>
        <w:tc>
          <w:tcPr>
            <w:tcW w:w="2071" w:type="dxa"/>
            <w:vAlign w:val="top"/>
          </w:tcPr>
          <w:p w14:paraId="4F715DF3">
            <w:pPr>
              <w:pStyle w:val="6"/>
            </w:pPr>
          </w:p>
        </w:tc>
        <w:tc>
          <w:tcPr>
            <w:tcW w:w="2071" w:type="dxa"/>
            <w:vAlign w:val="top"/>
          </w:tcPr>
          <w:p w14:paraId="1A487102">
            <w:pPr>
              <w:pStyle w:val="6"/>
            </w:pPr>
          </w:p>
        </w:tc>
        <w:tc>
          <w:tcPr>
            <w:tcW w:w="1951" w:type="dxa"/>
            <w:vAlign w:val="top"/>
          </w:tcPr>
          <w:p w14:paraId="695C852B">
            <w:pPr>
              <w:pStyle w:val="6"/>
            </w:pPr>
          </w:p>
        </w:tc>
        <w:tc>
          <w:tcPr>
            <w:tcW w:w="2017" w:type="dxa"/>
            <w:vAlign w:val="top"/>
          </w:tcPr>
          <w:p w14:paraId="05B54479">
            <w:pPr>
              <w:pStyle w:val="6"/>
            </w:pPr>
          </w:p>
        </w:tc>
        <w:tc>
          <w:tcPr>
            <w:tcW w:w="2545" w:type="dxa"/>
            <w:vAlign w:val="top"/>
          </w:tcPr>
          <w:p w14:paraId="12BA5E6E">
            <w:pPr>
              <w:pStyle w:val="6"/>
            </w:pPr>
          </w:p>
        </w:tc>
        <w:tc>
          <w:tcPr>
            <w:tcW w:w="1679" w:type="dxa"/>
            <w:vAlign w:val="top"/>
          </w:tcPr>
          <w:p w14:paraId="6DD55C78">
            <w:pPr>
              <w:pStyle w:val="6"/>
            </w:pPr>
          </w:p>
        </w:tc>
      </w:tr>
      <w:tr w14:paraId="2DB92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99" w:type="dxa"/>
            <w:vAlign w:val="top"/>
          </w:tcPr>
          <w:p w14:paraId="77D4D1C9">
            <w:pPr>
              <w:pStyle w:val="6"/>
            </w:pPr>
          </w:p>
        </w:tc>
        <w:tc>
          <w:tcPr>
            <w:tcW w:w="2071" w:type="dxa"/>
            <w:vAlign w:val="top"/>
          </w:tcPr>
          <w:p w14:paraId="70860E33">
            <w:pPr>
              <w:pStyle w:val="6"/>
            </w:pPr>
          </w:p>
        </w:tc>
        <w:tc>
          <w:tcPr>
            <w:tcW w:w="2071" w:type="dxa"/>
            <w:vAlign w:val="top"/>
          </w:tcPr>
          <w:p w14:paraId="3573A605">
            <w:pPr>
              <w:pStyle w:val="6"/>
            </w:pPr>
          </w:p>
        </w:tc>
        <w:tc>
          <w:tcPr>
            <w:tcW w:w="1951" w:type="dxa"/>
            <w:vAlign w:val="top"/>
          </w:tcPr>
          <w:p w14:paraId="3478EB74">
            <w:pPr>
              <w:pStyle w:val="6"/>
            </w:pPr>
          </w:p>
        </w:tc>
        <w:tc>
          <w:tcPr>
            <w:tcW w:w="2017" w:type="dxa"/>
            <w:vAlign w:val="top"/>
          </w:tcPr>
          <w:p w14:paraId="5AD92989">
            <w:pPr>
              <w:pStyle w:val="6"/>
            </w:pPr>
          </w:p>
        </w:tc>
        <w:tc>
          <w:tcPr>
            <w:tcW w:w="2545" w:type="dxa"/>
            <w:vAlign w:val="top"/>
          </w:tcPr>
          <w:p w14:paraId="54F13185">
            <w:pPr>
              <w:pStyle w:val="6"/>
            </w:pPr>
          </w:p>
        </w:tc>
        <w:tc>
          <w:tcPr>
            <w:tcW w:w="1679" w:type="dxa"/>
            <w:vAlign w:val="top"/>
          </w:tcPr>
          <w:p w14:paraId="46D1B408">
            <w:pPr>
              <w:pStyle w:val="6"/>
            </w:pPr>
          </w:p>
        </w:tc>
      </w:tr>
      <w:tr w14:paraId="3A735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099" w:type="dxa"/>
            <w:vAlign w:val="top"/>
          </w:tcPr>
          <w:p w14:paraId="70DECBC7">
            <w:pPr>
              <w:pStyle w:val="6"/>
            </w:pPr>
          </w:p>
        </w:tc>
        <w:tc>
          <w:tcPr>
            <w:tcW w:w="2071" w:type="dxa"/>
            <w:vAlign w:val="top"/>
          </w:tcPr>
          <w:p w14:paraId="7A9DD1E2">
            <w:pPr>
              <w:pStyle w:val="6"/>
            </w:pPr>
          </w:p>
        </w:tc>
        <w:tc>
          <w:tcPr>
            <w:tcW w:w="2071" w:type="dxa"/>
            <w:vAlign w:val="top"/>
          </w:tcPr>
          <w:p w14:paraId="23E684DA">
            <w:pPr>
              <w:pStyle w:val="6"/>
            </w:pPr>
          </w:p>
        </w:tc>
        <w:tc>
          <w:tcPr>
            <w:tcW w:w="1951" w:type="dxa"/>
            <w:vAlign w:val="top"/>
          </w:tcPr>
          <w:p w14:paraId="55E43B2B">
            <w:pPr>
              <w:pStyle w:val="6"/>
            </w:pPr>
          </w:p>
        </w:tc>
        <w:tc>
          <w:tcPr>
            <w:tcW w:w="2017" w:type="dxa"/>
            <w:vAlign w:val="top"/>
          </w:tcPr>
          <w:p w14:paraId="0310798A">
            <w:pPr>
              <w:pStyle w:val="6"/>
            </w:pPr>
          </w:p>
        </w:tc>
        <w:tc>
          <w:tcPr>
            <w:tcW w:w="2545" w:type="dxa"/>
            <w:vAlign w:val="top"/>
          </w:tcPr>
          <w:p w14:paraId="5AC94941">
            <w:pPr>
              <w:pStyle w:val="6"/>
            </w:pPr>
          </w:p>
        </w:tc>
        <w:tc>
          <w:tcPr>
            <w:tcW w:w="1679" w:type="dxa"/>
            <w:vAlign w:val="top"/>
          </w:tcPr>
          <w:p w14:paraId="16A181D9">
            <w:pPr>
              <w:pStyle w:val="6"/>
            </w:pPr>
          </w:p>
        </w:tc>
      </w:tr>
    </w:tbl>
    <w:p w14:paraId="78244F69">
      <w:pPr>
        <w:pStyle w:val="2"/>
        <w:spacing w:before="177" w:line="322" w:lineRule="auto"/>
        <w:ind w:right="111" w:firstLine="645"/>
        <w:jc w:val="both"/>
      </w:pPr>
      <w:r>
        <w:rPr>
          <w:spacing w:val="6"/>
        </w:rPr>
        <w:t>填表说明：1.整改完成情况填写：已完成、正在整改；2.备注中填写：重大火灾隐患属于哪种整</w:t>
      </w:r>
      <w:r>
        <w:rPr>
          <w:spacing w:val="5"/>
        </w:rPr>
        <w:t>治范围，即2024年省、市、县（区）挂牌的重大火灾隐患；2024年省、市、县</w:t>
      </w:r>
      <w:r>
        <w:rPr>
          <w:spacing w:val="4"/>
        </w:rPr>
        <w:t>（区）督导、考核反</w:t>
      </w:r>
      <w:r>
        <w:rPr>
          <w:spacing w:val="9"/>
        </w:rPr>
        <w:t>馈的重大火灾隐患；录入安全生产治本攻坚三年行动系统的重大火灾。</w:t>
      </w:r>
    </w:p>
    <w:p w14:paraId="42DAC639">
      <w:pPr>
        <w:spacing w:line="322" w:lineRule="auto"/>
        <w:sectPr>
          <w:pgSz w:w="16839" w:h="11906"/>
          <w:pgMar w:top="1576" w:right="1592" w:bottom="1576" w:left="1140" w:header="0" w:footer="0" w:gutter="0"/>
          <w:cols w:space="720" w:num="1"/>
        </w:sectPr>
      </w:pPr>
    </w:p>
    <w:p w14:paraId="328192A8">
      <w:pPr>
        <w:spacing w:before="101" w:line="230" w:lineRule="auto"/>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4"/>
          <w:sz w:val="32"/>
          <w:szCs w:val="32"/>
        </w:rPr>
        <w:t>附件3</w:t>
      </w:r>
      <w:r>
        <w:rPr>
          <w:rFonts w:hint="eastAsia" w:ascii="仿宋_GB2312" w:hAnsi="仿宋_GB2312" w:eastAsia="仿宋_GB2312" w:cs="仿宋_GB2312"/>
          <w:spacing w:val="-4"/>
          <w:sz w:val="32"/>
          <w:szCs w:val="32"/>
          <w:lang w:eastAsia="zh-CN"/>
        </w:rPr>
        <w:t>：</w:t>
      </w:r>
    </w:p>
    <w:p w14:paraId="6D3527B4">
      <w:pPr>
        <w:spacing w:line="243" w:lineRule="auto"/>
        <w:rPr>
          <w:rFonts w:ascii="Arial"/>
          <w:sz w:val="21"/>
        </w:rPr>
      </w:pPr>
    </w:p>
    <w:p w14:paraId="6CB270C1">
      <w:pPr>
        <w:spacing w:line="244" w:lineRule="auto"/>
        <w:rPr>
          <w:rFonts w:ascii="Arial"/>
          <w:sz w:val="21"/>
        </w:rPr>
      </w:pPr>
    </w:p>
    <w:p w14:paraId="08A8033C">
      <w:pPr>
        <w:spacing w:before="140" w:line="222" w:lineRule="auto"/>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5"/>
          <w:sz w:val="44"/>
          <w:szCs w:val="44"/>
        </w:rPr>
        <w:t>长期未整改安全隐患清零行动工作方案</w:t>
      </w:r>
    </w:p>
    <w:p w14:paraId="2A5A2C03">
      <w:pPr>
        <w:spacing w:line="301" w:lineRule="auto"/>
        <w:rPr>
          <w:rFonts w:ascii="Arial"/>
          <w:sz w:val="21"/>
        </w:rPr>
      </w:pPr>
    </w:p>
    <w:p w14:paraId="2AF455E1">
      <w:pPr>
        <w:spacing w:line="302" w:lineRule="auto"/>
        <w:rPr>
          <w:rFonts w:ascii="Arial"/>
          <w:sz w:val="21"/>
        </w:rPr>
      </w:pPr>
    </w:p>
    <w:p w14:paraId="286C7D1E">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8" w:firstLineChars="200"/>
        <w:textAlignment w:val="baseline"/>
        <w:rPr>
          <w:rFonts w:ascii="黑体" w:hAnsi="黑体" w:eastAsia="黑体" w:cs="黑体"/>
          <w:sz w:val="32"/>
          <w:szCs w:val="32"/>
        </w:rPr>
      </w:pPr>
      <w:r>
        <w:rPr>
          <w:rFonts w:ascii="黑体" w:hAnsi="黑体" w:eastAsia="黑体" w:cs="黑体"/>
          <w:spacing w:val="7"/>
          <w:sz w:val="32"/>
          <w:szCs w:val="32"/>
        </w:rPr>
        <w:t>一、总体要求</w:t>
      </w:r>
    </w:p>
    <w:p w14:paraId="0474438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8"/>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0"/>
          <w:sz w:val="32"/>
          <w:szCs w:val="32"/>
        </w:rPr>
        <w:t>深刻吸取淮南市潘集区自建房10.19较大火灾事故教训，树</w:t>
      </w:r>
      <w:r>
        <w:rPr>
          <w:rFonts w:hint="eastAsia" w:ascii="仿宋_GB2312" w:hAnsi="仿宋_GB2312" w:eastAsia="仿宋_GB2312" w:cs="仿宋_GB2312"/>
          <w:spacing w:val="11"/>
          <w:sz w:val="32"/>
          <w:szCs w:val="32"/>
        </w:rPr>
        <w:t>牢隐患就是事故的理念，以时不我待的紧迫感，按时按质消除安</w:t>
      </w:r>
      <w:r>
        <w:rPr>
          <w:rFonts w:hint="eastAsia" w:ascii="仿宋_GB2312" w:hAnsi="仿宋_GB2312" w:eastAsia="仿宋_GB2312" w:cs="仿宋_GB2312"/>
          <w:spacing w:val="8"/>
          <w:sz w:val="32"/>
          <w:szCs w:val="32"/>
        </w:rPr>
        <w:t>全生产事故隐患，确保安全。</w:t>
      </w:r>
    </w:p>
    <w:p w14:paraId="37C5D527">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8" w:firstLineChars="200"/>
        <w:textAlignment w:val="baseline"/>
        <w:rPr>
          <w:rFonts w:ascii="黑体" w:hAnsi="黑体" w:eastAsia="黑体" w:cs="黑体"/>
          <w:sz w:val="32"/>
          <w:szCs w:val="32"/>
        </w:rPr>
      </w:pPr>
      <w:r>
        <w:rPr>
          <w:rFonts w:ascii="黑体" w:hAnsi="黑体" w:eastAsia="黑体" w:cs="黑体"/>
          <w:spacing w:val="7"/>
          <w:sz w:val="32"/>
          <w:szCs w:val="32"/>
        </w:rPr>
        <w:t>二、整治范围</w:t>
      </w:r>
    </w:p>
    <w:p w14:paraId="1623E730">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7" w:firstLineChars="200"/>
        <w:textAlignment w:val="baseline"/>
        <w:outlineLvl w:val="2"/>
        <w:rPr>
          <w:rFonts w:hint="eastAsia" w:ascii="楷体" w:hAnsi="楷体" w:eastAsia="楷体" w:cs="楷体"/>
          <w:sz w:val="32"/>
          <w:szCs w:val="32"/>
        </w:rPr>
      </w:pPr>
      <w:r>
        <w:rPr>
          <w:rFonts w:hint="eastAsia" w:ascii="楷体" w:hAnsi="楷体" w:eastAsia="楷体" w:cs="楷体"/>
          <w:b/>
          <w:bCs/>
          <w:spacing w:val="6"/>
          <w:sz w:val="32"/>
          <w:szCs w:val="32"/>
        </w:rPr>
        <w:t>（一）重点整治行业领域：</w:t>
      </w:r>
    </w:p>
    <w:p w14:paraId="056BA36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8"/>
        <w:textAlignment w:val="baseline"/>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lang w:val="en-US" w:eastAsia="zh-CN"/>
        </w:rPr>
        <w:t>物管办</w:t>
      </w:r>
      <w:r>
        <w:rPr>
          <w:rFonts w:hint="eastAsia" w:ascii="仿宋_GB2312" w:hAnsi="仿宋_GB2312" w:eastAsia="仿宋_GB2312" w:cs="仿宋_GB2312"/>
          <w:spacing w:val="8"/>
          <w:sz w:val="32"/>
          <w:szCs w:val="32"/>
        </w:rPr>
        <w:t>负责自建房、群租房、城镇燃气领域；</w:t>
      </w:r>
      <w:r>
        <w:rPr>
          <w:rFonts w:hint="eastAsia" w:ascii="仿宋_GB2312" w:hAnsi="仿宋_GB2312" w:eastAsia="仿宋_GB2312" w:cs="仿宋_GB2312"/>
          <w:spacing w:val="8"/>
          <w:sz w:val="32"/>
          <w:szCs w:val="32"/>
          <w:lang w:val="en-US" w:eastAsia="zh-CN"/>
        </w:rPr>
        <w:t>安委办</w:t>
      </w:r>
      <w:r>
        <w:rPr>
          <w:rFonts w:hint="eastAsia" w:ascii="仿宋_GB2312" w:hAnsi="仿宋_GB2312" w:eastAsia="仿宋_GB2312" w:cs="仿宋_GB2312"/>
          <w:spacing w:val="8"/>
          <w:sz w:val="32"/>
          <w:szCs w:val="32"/>
        </w:rPr>
        <w:t>负责大型商业综合体；民政负责养老</w:t>
      </w:r>
      <w:r>
        <w:rPr>
          <w:rFonts w:hint="eastAsia" w:ascii="仿宋_GB2312" w:hAnsi="仿宋_GB2312" w:eastAsia="仿宋_GB2312" w:cs="仿宋_GB2312"/>
          <w:spacing w:val="8"/>
          <w:sz w:val="32"/>
          <w:szCs w:val="32"/>
          <w:lang w:val="en-US" w:eastAsia="zh-CN"/>
        </w:rPr>
        <w:t>中心</w:t>
      </w:r>
      <w:r>
        <w:rPr>
          <w:rFonts w:hint="eastAsia" w:ascii="仿宋_GB2312" w:hAnsi="仿宋_GB2312" w:eastAsia="仿宋_GB2312" w:cs="仿宋_GB2312"/>
          <w:spacing w:val="8"/>
          <w:sz w:val="32"/>
          <w:szCs w:val="32"/>
        </w:rPr>
        <w:t>、</w:t>
      </w:r>
      <w:r>
        <w:rPr>
          <w:rFonts w:hint="eastAsia" w:ascii="仿宋_GB2312" w:hAnsi="仿宋_GB2312" w:eastAsia="仿宋_GB2312" w:cs="仿宋_GB2312"/>
          <w:spacing w:val="8"/>
          <w:sz w:val="32"/>
          <w:szCs w:val="32"/>
          <w:lang w:val="en-US" w:eastAsia="zh-CN"/>
        </w:rPr>
        <w:t>老人食堂</w:t>
      </w:r>
      <w:r>
        <w:rPr>
          <w:rFonts w:hint="eastAsia" w:ascii="仿宋_GB2312" w:hAnsi="仿宋_GB2312" w:eastAsia="仿宋_GB2312" w:cs="仿宋_GB2312"/>
          <w:spacing w:val="8"/>
          <w:sz w:val="32"/>
          <w:szCs w:val="32"/>
        </w:rPr>
        <w:t>等；</w:t>
      </w:r>
      <w:r>
        <w:rPr>
          <w:rFonts w:hint="eastAsia" w:ascii="仿宋_GB2312" w:hAnsi="仿宋_GB2312" w:eastAsia="仿宋_GB2312" w:cs="仿宋_GB2312"/>
          <w:spacing w:val="8"/>
          <w:sz w:val="32"/>
          <w:szCs w:val="32"/>
          <w:lang w:val="en-US" w:eastAsia="zh-CN"/>
        </w:rPr>
        <w:t>卫教办</w:t>
      </w:r>
      <w:r>
        <w:rPr>
          <w:rFonts w:hint="eastAsia" w:ascii="仿宋_GB2312" w:hAnsi="仿宋_GB2312" w:eastAsia="仿宋_GB2312" w:cs="仿宋_GB2312"/>
          <w:spacing w:val="8"/>
          <w:sz w:val="32"/>
          <w:szCs w:val="32"/>
        </w:rPr>
        <w:t>负责学校、校外培训机构等；医疗卫生机构；</w:t>
      </w:r>
      <w:r>
        <w:rPr>
          <w:rFonts w:hint="eastAsia" w:ascii="仿宋_GB2312" w:hAnsi="仿宋_GB2312" w:eastAsia="仿宋_GB2312" w:cs="仿宋_GB2312"/>
          <w:spacing w:val="8"/>
          <w:sz w:val="32"/>
          <w:szCs w:val="32"/>
          <w:lang w:val="en-US" w:eastAsia="zh-CN"/>
        </w:rPr>
        <w:t>其它</w:t>
      </w:r>
      <w:r>
        <w:rPr>
          <w:rFonts w:hint="eastAsia" w:ascii="仿宋_GB2312" w:hAnsi="仿宋_GB2312" w:eastAsia="仿宋_GB2312" w:cs="仿宋_GB2312"/>
          <w:spacing w:val="8"/>
          <w:sz w:val="32"/>
          <w:szCs w:val="32"/>
        </w:rPr>
        <w:t>部门按照职责分工负责</w:t>
      </w:r>
      <w:r>
        <w:rPr>
          <w:rFonts w:hint="eastAsia" w:ascii="仿宋_GB2312" w:hAnsi="仿宋_GB2312" w:eastAsia="仿宋_GB2312" w:cs="仿宋_GB2312"/>
          <w:spacing w:val="8"/>
          <w:sz w:val="32"/>
          <w:szCs w:val="32"/>
          <w:lang w:val="en-US" w:eastAsia="zh-CN"/>
        </w:rPr>
        <w:t>各自</w:t>
      </w:r>
      <w:r>
        <w:rPr>
          <w:rFonts w:hint="eastAsia" w:ascii="仿宋_GB2312" w:hAnsi="仿宋_GB2312" w:eastAsia="仿宋_GB2312" w:cs="仿宋_GB2312"/>
          <w:spacing w:val="8"/>
          <w:sz w:val="32"/>
          <w:szCs w:val="32"/>
        </w:rPr>
        <w:t>行业领域。</w:t>
      </w:r>
    </w:p>
    <w:p w14:paraId="05CEB9FE">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7" w:firstLineChars="200"/>
        <w:textAlignment w:val="baseline"/>
        <w:outlineLvl w:val="2"/>
        <w:rPr>
          <w:rFonts w:hint="eastAsia" w:ascii="楷体" w:hAnsi="楷体" w:eastAsia="楷体" w:cs="楷体"/>
          <w:b/>
          <w:bCs/>
          <w:spacing w:val="6"/>
          <w:sz w:val="32"/>
          <w:szCs w:val="32"/>
        </w:rPr>
      </w:pPr>
      <w:r>
        <w:rPr>
          <w:rFonts w:hint="eastAsia" w:ascii="楷体" w:hAnsi="楷体" w:eastAsia="楷体" w:cs="楷体"/>
          <w:b/>
          <w:bCs/>
          <w:spacing w:val="6"/>
          <w:sz w:val="32"/>
          <w:szCs w:val="32"/>
        </w:rPr>
        <w:t>（二）整治范围：</w:t>
      </w:r>
    </w:p>
    <w:p w14:paraId="2FBA450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8"/>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1.2024年省、市、区督察、督导、考核反馈的但尚未完成整改的安全生产事故隐患（包括消防隐患）；</w:t>
      </w:r>
    </w:p>
    <w:p w14:paraId="7DE459C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8"/>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2.市、区监管部门和属地政府已经发现并督促企业整改，但尚未完成整改的安全生产事故隐患（包括消防隐患）；</w:t>
      </w:r>
    </w:p>
    <w:p w14:paraId="4E07A79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8"/>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3.已录入各级业务监管系统的，但尚未销号的安全生产事故隐患。</w:t>
      </w:r>
    </w:p>
    <w:p w14:paraId="01C641B2">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ascii="黑体" w:hAnsi="黑体" w:eastAsia="黑体" w:cs="黑体"/>
          <w:sz w:val="32"/>
          <w:szCs w:val="32"/>
        </w:rPr>
      </w:pPr>
      <w:r>
        <w:rPr>
          <w:rFonts w:ascii="黑体" w:hAnsi="黑体" w:eastAsia="黑体" w:cs="黑体"/>
          <w:spacing w:val="6"/>
          <w:sz w:val="32"/>
          <w:szCs w:val="32"/>
        </w:rPr>
        <w:t>三、工作安排</w:t>
      </w:r>
    </w:p>
    <w:p w14:paraId="6247E4B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7"/>
        <w:textAlignment w:val="baseline"/>
        <w:rPr>
          <w:rFonts w:hint="eastAsia" w:ascii="仿宋_GB2312" w:hAnsi="仿宋_GB2312" w:eastAsia="仿宋_GB2312" w:cs="仿宋_GB2312"/>
          <w:spacing w:val="8"/>
          <w:sz w:val="32"/>
          <w:szCs w:val="32"/>
          <w:lang w:val="en-US" w:eastAsia="zh-CN"/>
        </w:rPr>
      </w:pPr>
      <w:r>
        <w:rPr>
          <w:rFonts w:hint="eastAsia" w:ascii="楷体" w:hAnsi="楷体" w:eastAsia="楷体" w:cs="楷体"/>
          <w:b/>
          <w:bCs/>
          <w:snapToGrid w:val="0"/>
          <w:color w:val="000000"/>
          <w:spacing w:val="6"/>
          <w:kern w:val="0"/>
          <w:sz w:val="32"/>
          <w:szCs w:val="32"/>
          <w:lang w:val="en-US" w:eastAsia="en-US" w:bidi="ar-SA"/>
        </w:rPr>
        <w:t>1.自查自纠。</w:t>
      </w:r>
      <w:r>
        <w:rPr>
          <w:rFonts w:hint="eastAsia" w:ascii="仿宋_GB2312" w:hAnsi="仿宋_GB2312" w:eastAsia="仿宋_GB2312" w:cs="仿宋_GB2312"/>
          <w:spacing w:val="8"/>
          <w:sz w:val="32"/>
          <w:szCs w:val="32"/>
          <w:lang w:val="en-US" w:eastAsia="zh-CN"/>
        </w:rPr>
        <w:t>即日起—10月31日，各社区要对本辖区本行业长期未整改安全隐患进行认真梳理，全面实行清单化管理，并向街道报送情况表（见附表3）。</w:t>
      </w:r>
    </w:p>
    <w:p w14:paraId="59CAB18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7"/>
        <w:textAlignment w:val="baseline"/>
        <w:rPr>
          <w:rFonts w:hint="eastAsia" w:ascii="仿宋_GB2312" w:hAnsi="仿宋_GB2312" w:eastAsia="仿宋_GB2312" w:cs="仿宋_GB2312"/>
          <w:spacing w:val="8"/>
          <w:sz w:val="32"/>
          <w:szCs w:val="32"/>
          <w:lang w:val="en-US" w:eastAsia="zh-CN"/>
        </w:rPr>
      </w:pPr>
      <w:r>
        <w:rPr>
          <w:rFonts w:hint="eastAsia" w:ascii="楷体" w:hAnsi="楷体" w:eastAsia="楷体" w:cs="楷体"/>
          <w:b/>
          <w:bCs/>
          <w:snapToGrid w:val="0"/>
          <w:color w:val="000000"/>
          <w:spacing w:val="6"/>
          <w:kern w:val="0"/>
          <w:sz w:val="32"/>
          <w:szCs w:val="32"/>
          <w:lang w:val="en-US" w:eastAsia="en-US" w:bidi="ar-SA"/>
        </w:rPr>
        <w:t>2.10月23日至10月31日为</w:t>
      </w:r>
      <w:r>
        <w:rPr>
          <w:rFonts w:hint="eastAsia" w:ascii="楷体" w:hAnsi="楷体" w:eastAsia="楷体" w:cs="楷体"/>
          <w:b/>
          <w:bCs/>
          <w:snapToGrid w:val="0"/>
          <w:color w:val="000000"/>
          <w:spacing w:val="6"/>
          <w:kern w:val="0"/>
          <w:sz w:val="32"/>
          <w:szCs w:val="32"/>
          <w:lang w:val="en-US" w:eastAsia="zh-CN" w:bidi="ar-SA"/>
        </w:rPr>
        <w:t>隐患排查</w:t>
      </w:r>
      <w:r>
        <w:rPr>
          <w:rFonts w:hint="eastAsia" w:ascii="楷体" w:hAnsi="楷体" w:eastAsia="楷体" w:cs="楷体"/>
          <w:b/>
          <w:bCs/>
          <w:snapToGrid w:val="0"/>
          <w:color w:val="000000"/>
          <w:spacing w:val="6"/>
          <w:kern w:val="0"/>
          <w:sz w:val="32"/>
          <w:szCs w:val="32"/>
          <w:lang w:val="en-US" w:eastAsia="en-US" w:bidi="ar-SA"/>
        </w:rPr>
        <w:t>检查阶段。</w:t>
      </w:r>
      <w:r>
        <w:rPr>
          <w:rFonts w:hint="eastAsia" w:ascii="仿宋_GB2312" w:hAnsi="仿宋_GB2312" w:eastAsia="仿宋_GB2312" w:cs="仿宋_GB2312"/>
          <w:spacing w:val="8"/>
          <w:sz w:val="32"/>
          <w:szCs w:val="32"/>
          <w:lang w:val="en-US" w:eastAsia="zh-CN"/>
        </w:rPr>
        <w:t>各社区要迅速开展隐患排查治理，发现情况及时汇报。</w:t>
      </w:r>
    </w:p>
    <w:p w14:paraId="5E83E2A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textAlignment w:val="baseline"/>
        <w:rPr>
          <w:rFonts w:hint="eastAsia" w:ascii="仿宋_GB2312" w:hAnsi="仿宋_GB2312" w:eastAsia="仿宋_GB2312" w:cs="仿宋_GB2312"/>
          <w:spacing w:val="8"/>
          <w:sz w:val="32"/>
          <w:szCs w:val="32"/>
          <w:lang w:val="en-US" w:eastAsia="zh-CN"/>
        </w:rPr>
      </w:pPr>
      <w:r>
        <w:rPr>
          <w:rFonts w:hint="eastAsia" w:ascii="楷体" w:hAnsi="楷体" w:eastAsia="楷体" w:cs="楷体"/>
          <w:b/>
          <w:bCs/>
          <w:snapToGrid w:val="0"/>
          <w:color w:val="000000"/>
          <w:spacing w:val="6"/>
          <w:kern w:val="0"/>
          <w:sz w:val="32"/>
          <w:szCs w:val="32"/>
          <w:lang w:val="en-US" w:eastAsia="en-US" w:bidi="ar-SA"/>
        </w:rPr>
        <w:t>3.巩固提升。</w:t>
      </w:r>
      <w:r>
        <w:rPr>
          <w:rFonts w:hint="eastAsia" w:ascii="仿宋_GB2312" w:hAnsi="仿宋_GB2312" w:eastAsia="仿宋_GB2312" w:cs="仿宋_GB2312"/>
          <w:spacing w:val="8"/>
          <w:sz w:val="32"/>
          <w:szCs w:val="32"/>
          <w:lang w:val="en-US" w:eastAsia="zh-CN"/>
        </w:rPr>
        <w:t>11月10日—12月31日，总结经验做法，形成制度措施，确保存量隐患清零，增量隐患动态清零。</w:t>
      </w:r>
    </w:p>
    <w:p w14:paraId="4E6F28EA">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0" w:firstLineChars="200"/>
        <w:textAlignment w:val="baseline"/>
        <w:outlineLvl w:val="1"/>
        <w:rPr>
          <w:rFonts w:ascii="黑体" w:hAnsi="黑体" w:eastAsia="黑体" w:cs="黑体"/>
          <w:sz w:val="32"/>
          <w:szCs w:val="32"/>
        </w:rPr>
      </w:pPr>
      <w:r>
        <w:rPr>
          <w:rFonts w:ascii="黑体" w:hAnsi="黑体" w:eastAsia="黑体" w:cs="黑体"/>
          <w:spacing w:val="5"/>
          <w:sz w:val="32"/>
          <w:szCs w:val="32"/>
        </w:rPr>
        <w:t>四、相关工作要求</w:t>
      </w:r>
    </w:p>
    <w:p w14:paraId="10F42B4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textAlignment w:val="baseline"/>
        <w:rPr>
          <w:rFonts w:hint="eastAsia" w:ascii="仿宋_GB2312" w:hAnsi="仿宋_GB2312" w:eastAsia="仿宋_GB2312" w:cs="仿宋_GB2312"/>
          <w:spacing w:val="8"/>
          <w:sz w:val="32"/>
          <w:szCs w:val="32"/>
          <w:lang w:val="en-US" w:eastAsia="zh-CN"/>
        </w:rPr>
      </w:pPr>
      <w:r>
        <w:rPr>
          <w:rFonts w:hint="eastAsia" w:ascii="仿宋_GB2312" w:hAnsi="仿宋_GB2312" w:eastAsia="仿宋_GB2312" w:cs="仿宋_GB2312"/>
          <w:spacing w:val="8"/>
          <w:sz w:val="32"/>
          <w:szCs w:val="32"/>
          <w:lang w:val="en-US" w:eastAsia="zh-CN"/>
        </w:rPr>
        <w:t>（一）各社区要督促指导本辖区生产经营单位按时按质完成安全隐患整改，并组织验收销号。不能按时整改的必须制定严格的风险管控措施。</w:t>
      </w:r>
    </w:p>
    <w:p w14:paraId="06A6799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textAlignment w:val="baseline"/>
        <w:rPr>
          <w:rFonts w:hint="eastAsia" w:ascii="仿宋_GB2312" w:hAnsi="仿宋_GB2312" w:eastAsia="仿宋_GB2312" w:cs="仿宋_GB2312"/>
          <w:spacing w:val="8"/>
          <w:sz w:val="32"/>
          <w:szCs w:val="32"/>
          <w:lang w:val="en-US" w:eastAsia="zh-CN"/>
        </w:rPr>
        <w:sectPr>
          <w:pgSz w:w="11906" w:h="16839"/>
          <w:pgMar w:top="1440" w:right="1803" w:bottom="1440" w:left="1803" w:header="0" w:footer="0" w:gutter="0"/>
          <w:cols w:space="720" w:num="1"/>
        </w:sectPr>
      </w:pPr>
      <w:r>
        <w:rPr>
          <w:rFonts w:hint="eastAsia" w:ascii="仿宋_GB2312" w:hAnsi="仿宋_GB2312" w:eastAsia="仿宋_GB2312" w:cs="仿宋_GB2312"/>
          <w:spacing w:val="8"/>
          <w:sz w:val="32"/>
          <w:szCs w:val="32"/>
          <w:lang w:val="en-US" w:eastAsia="zh-CN"/>
        </w:rPr>
        <w:t>（二）请各社区将工作推进情况于每周三下午下班前报街道。</w:t>
      </w:r>
    </w:p>
    <w:p w14:paraId="2C65551A">
      <w:pPr>
        <w:spacing w:before="100" w:line="228" w:lineRule="auto"/>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6"/>
          <w:sz w:val="32"/>
          <w:szCs w:val="32"/>
        </w:rPr>
        <w:t>附表</w:t>
      </w:r>
      <w:r>
        <w:rPr>
          <w:rFonts w:hint="eastAsia" w:ascii="仿宋_GB2312" w:hAnsi="仿宋_GB2312" w:eastAsia="仿宋_GB2312" w:cs="仿宋_GB2312"/>
          <w:spacing w:val="-6"/>
          <w:sz w:val="32"/>
          <w:szCs w:val="32"/>
          <w:lang w:eastAsia="zh-CN"/>
        </w:rPr>
        <w:t>：</w:t>
      </w:r>
    </w:p>
    <w:p w14:paraId="2A1CEB98">
      <w:pPr>
        <w:spacing w:before="75" w:line="221" w:lineRule="auto"/>
        <w:jc w:val="center"/>
        <w:outlineLvl w:val="0"/>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5"/>
          <w:sz w:val="44"/>
          <w:szCs w:val="44"/>
        </w:rPr>
        <w:t>长期未整改安全隐患清零行动统计表</w:t>
      </w:r>
    </w:p>
    <w:p w14:paraId="18A65612">
      <w:pPr>
        <w:spacing w:before="146" w:line="224" w:lineRule="auto"/>
        <w:ind w:left="625"/>
        <w:rPr>
          <w:rFonts w:ascii="宋体" w:hAnsi="宋体" w:eastAsia="宋体" w:cs="宋体"/>
          <w:sz w:val="31"/>
          <w:szCs w:val="31"/>
        </w:rPr>
      </w:pPr>
      <w:r>
        <w:rPr>
          <w:rFonts w:ascii="宋体" w:hAnsi="宋体" w:eastAsia="宋体" w:cs="宋体"/>
          <w:spacing w:val="6"/>
          <w:sz w:val="31"/>
          <w:szCs w:val="31"/>
        </w:rPr>
        <w:t>填报单位（盖章</w:t>
      </w:r>
      <w:r>
        <w:rPr>
          <w:rFonts w:ascii="宋体" w:hAnsi="宋体" w:eastAsia="宋体" w:cs="宋体"/>
          <w:spacing w:val="-84"/>
          <w:sz w:val="31"/>
          <w:szCs w:val="31"/>
        </w:rPr>
        <w:t>）：</w:t>
      </w:r>
      <w:r>
        <w:rPr>
          <w:rFonts w:ascii="宋体" w:hAnsi="宋体" w:eastAsia="宋体" w:cs="宋体"/>
          <w:spacing w:val="6"/>
          <w:sz w:val="31"/>
          <w:szCs w:val="31"/>
        </w:rPr>
        <w:t>填报时间：</w:t>
      </w:r>
    </w:p>
    <w:p w14:paraId="7065410D">
      <w:pPr>
        <w:spacing w:line="89" w:lineRule="auto"/>
        <w:rPr>
          <w:rFonts w:ascii="Arial"/>
          <w:sz w:val="2"/>
        </w:rPr>
      </w:pPr>
    </w:p>
    <w:tbl>
      <w:tblPr>
        <w:tblStyle w:val="5"/>
        <w:tblW w:w="13163" w:type="dxa"/>
        <w:tblInd w:w="9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0"/>
        <w:gridCol w:w="2049"/>
        <w:gridCol w:w="2510"/>
        <w:gridCol w:w="1845"/>
        <w:gridCol w:w="2027"/>
        <w:gridCol w:w="1897"/>
        <w:gridCol w:w="1525"/>
      </w:tblGrid>
      <w:tr w14:paraId="224CE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1310" w:type="dxa"/>
            <w:vAlign w:val="top"/>
          </w:tcPr>
          <w:p w14:paraId="149DD745">
            <w:pPr>
              <w:pStyle w:val="6"/>
              <w:spacing w:line="357" w:lineRule="auto"/>
            </w:pPr>
          </w:p>
          <w:p w14:paraId="5CD0374E">
            <w:pPr>
              <w:spacing w:before="101" w:line="226" w:lineRule="auto"/>
              <w:ind w:left="343"/>
              <w:rPr>
                <w:rFonts w:ascii="宋体" w:hAnsi="宋体" w:eastAsia="宋体" w:cs="宋体"/>
                <w:sz w:val="31"/>
                <w:szCs w:val="31"/>
              </w:rPr>
            </w:pPr>
            <w:r>
              <w:rPr>
                <w:rFonts w:ascii="宋体" w:hAnsi="宋体" w:eastAsia="宋体" w:cs="宋体"/>
                <w:spacing w:val="3"/>
                <w:sz w:val="31"/>
                <w:szCs w:val="31"/>
              </w:rPr>
              <w:t>序号</w:t>
            </w:r>
          </w:p>
        </w:tc>
        <w:tc>
          <w:tcPr>
            <w:tcW w:w="2049" w:type="dxa"/>
            <w:vAlign w:val="top"/>
          </w:tcPr>
          <w:p w14:paraId="76AE6806">
            <w:pPr>
              <w:pStyle w:val="6"/>
              <w:spacing w:line="357" w:lineRule="auto"/>
            </w:pPr>
          </w:p>
          <w:p w14:paraId="009F556C">
            <w:pPr>
              <w:spacing w:before="101" w:line="225" w:lineRule="auto"/>
              <w:ind w:left="393"/>
              <w:rPr>
                <w:rFonts w:ascii="宋体" w:hAnsi="宋体" w:eastAsia="宋体" w:cs="宋体"/>
                <w:sz w:val="31"/>
                <w:szCs w:val="31"/>
              </w:rPr>
            </w:pPr>
            <w:r>
              <w:rPr>
                <w:rFonts w:ascii="宋体" w:hAnsi="宋体" w:eastAsia="宋体" w:cs="宋体"/>
                <w:spacing w:val="6"/>
                <w:sz w:val="31"/>
                <w:szCs w:val="31"/>
              </w:rPr>
              <w:t>所在属地</w:t>
            </w:r>
          </w:p>
        </w:tc>
        <w:tc>
          <w:tcPr>
            <w:tcW w:w="2510" w:type="dxa"/>
            <w:vAlign w:val="top"/>
          </w:tcPr>
          <w:p w14:paraId="5A655D14">
            <w:pPr>
              <w:spacing w:before="178" w:line="280" w:lineRule="auto"/>
              <w:ind w:left="946" w:right="614" w:hanging="317"/>
              <w:rPr>
                <w:rFonts w:ascii="宋体" w:hAnsi="宋体" w:eastAsia="宋体" w:cs="宋体"/>
                <w:sz w:val="31"/>
                <w:szCs w:val="31"/>
              </w:rPr>
            </w:pPr>
            <w:r>
              <w:rPr>
                <w:rFonts w:ascii="宋体" w:hAnsi="宋体" w:eastAsia="宋体" w:cs="宋体"/>
                <w:spacing w:val="5"/>
                <w:sz w:val="31"/>
                <w:szCs w:val="31"/>
              </w:rPr>
              <w:t>行业主管</w:t>
            </w:r>
            <w:r>
              <w:rPr>
                <w:rFonts w:ascii="宋体" w:hAnsi="宋体" w:eastAsia="宋体" w:cs="宋体"/>
                <w:sz w:val="31"/>
                <w:szCs w:val="31"/>
              </w:rPr>
              <w:t>部门</w:t>
            </w:r>
          </w:p>
        </w:tc>
        <w:tc>
          <w:tcPr>
            <w:tcW w:w="1845" w:type="dxa"/>
            <w:vAlign w:val="top"/>
          </w:tcPr>
          <w:p w14:paraId="57FAB7CF">
            <w:pPr>
              <w:spacing w:before="178" w:line="280" w:lineRule="auto"/>
              <w:ind w:left="608" w:hanging="485"/>
              <w:rPr>
                <w:rFonts w:ascii="宋体" w:hAnsi="宋体" w:eastAsia="宋体" w:cs="宋体"/>
                <w:sz w:val="31"/>
                <w:szCs w:val="31"/>
              </w:rPr>
            </w:pPr>
            <w:r>
              <w:rPr>
                <w:rFonts w:ascii="宋体" w:hAnsi="宋体" w:eastAsia="宋体" w:cs="宋体"/>
                <w:spacing w:val="-24"/>
                <w:sz w:val="31"/>
                <w:szCs w:val="31"/>
              </w:rPr>
              <w:t>企业（单位）</w:t>
            </w:r>
            <w:r>
              <w:rPr>
                <w:rFonts w:ascii="宋体" w:hAnsi="宋体" w:eastAsia="宋体" w:cs="宋体"/>
                <w:spacing w:val="-5"/>
                <w:sz w:val="31"/>
                <w:szCs w:val="31"/>
              </w:rPr>
              <w:t>名称</w:t>
            </w:r>
          </w:p>
        </w:tc>
        <w:tc>
          <w:tcPr>
            <w:tcW w:w="2027" w:type="dxa"/>
            <w:vAlign w:val="top"/>
          </w:tcPr>
          <w:p w14:paraId="72CFA404">
            <w:pPr>
              <w:spacing w:before="178" w:line="280" w:lineRule="auto"/>
              <w:ind w:left="706" w:right="370" w:hanging="315"/>
              <w:rPr>
                <w:rFonts w:ascii="宋体" w:hAnsi="宋体" w:eastAsia="宋体" w:cs="宋体"/>
                <w:sz w:val="31"/>
                <w:szCs w:val="31"/>
              </w:rPr>
            </w:pPr>
            <w:r>
              <w:rPr>
                <w:rFonts w:ascii="宋体" w:hAnsi="宋体" w:eastAsia="宋体" w:cs="宋体"/>
                <w:spacing w:val="5"/>
                <w:sz w:val="31"/>
                <w:szCs w:val="31"/>
              </w:rPr>
              <w:t>安全隐患</w:t>
            </w:r>
            <w:r>
              <w:rPr>
                <w:rFonts w:ascii="宋体" w:hAnsi="宋体" w:eastAsia="宋体" w:cs="宋体"/>
                <w:spacing w:val="1"/>
                <w:sz w:val="31"/>
                <w:szCs w:val="31"/>
              </w:rPr>
              <w:t>描述</w:t>
            </w:r>
          </w:p>
        </w:tc>
        <w:tc>
          <w:tcPr>
            <w:tcW w:w="1897" w:type="dxa"/>
            <w:vAlign w:val="top"/>
          </w:tcPr>
          <w:p w14:paraId="4B1E4858">
            <w:pPr>
              <w:pStyle w:val="6"/>
              <w:spacing w:line="356" w:lineRule="auto"/>
            </w:pPr>
          </w:p>
          <w:p w14:paraId="76FEEFBA">
            <w:pPr>
              <w:spacing w:before="101" w:line="225" w:lineRule="auto"/>
              <w:ind w:left="165"/>
              <w:rPr>
                <w:rFonts w:ascii="宋体" w:hAnsi="宋体" w:eastAsia="宋体" w:cs="宋体"/>
                <w:sz w:val="31"/>
                <w:szCs w:val="31"/>
              </w:rPr>
            </w:pPr>
            <w:r>
              <w:rPr>
                <w:rFonts w:ascii="宋体" w:hAnsi="宋体" w:eastAsia="宋体" w:cs="宋体"/>
                <w:spacing w:val="6"/>
                <w:sz w:val="31"/>
                <w:szCs w:val="31"/>
              </w:rPr>
              <w:t>未整改原因</w:t>
            </w:r>
          </w:p>
        </w:tc>
        <w:tc>
          <w:tcPr>
            <w:tcW w:w="1525" w:type="dxa"/>
            <w:vAlign w:val="top"/>
          </w:tcPr>
          <w:p w14:paraId="172D4DB2">
            <w:pPr>
              <w:pStyle w:val="6"/>
              <w:spacing w:line="357" w:lineRule="auto"/>
            </w:pPr>
          </w:p>
          <w:p w14:paraId="026C6B55">
            <w:pPr>
              <w:spacing w:before="101" w:line="226" w:lineRule="auto"/>
              <w:ind w:left="456"/>
              <w:rPr>
                <w:rFonts w:ascii="宋体" w:hAnsi="宋体" w:eastAsia="宋体" w:cs="宋体"/>
                <w:sz w:val="31"/>
                <w:szCs w:val="31"/>
              </w:rPr>
            </w:pPr>
            <w:r>
              <w:rPr>
                <w:rFonts w:ascii="宋体" w:hAnsi="宋体" w:eastAsia="宋体" w:cs="宋体"/>
                <w:sz w:val="31"/>
                <w:szCs w:val="31"/>
              </w:rPr>
              <w:t>备注</w:t>
            </w:r>
          </w:p>
        </w:tc>
      </w:tr>
      <w:tr w14:paraId="555A7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310" w:type="dxa"/>
            <w:vAlign w:val="top"/>
          </w:tcPr>
          <w:p w14:paraId="15FD6BC4">
            <w:pPr>
              <w:pStyle w:val="6"/>
            </w:pPr>
          </w:p>
        </w:tc>
        <w:tc>
          <w:tcPr>
            <w:tcW w:w="2049" w:type="dxa"/>
            <w:vAlign w:val="top"/>
          </w:tcPr>
          <w:p w14:paraId="08CD11B6">
            <w:pPr>
              <w:pStyle w:val="6"/>
            </w:pPr>
          </w:p>
        </w:tc>
        <w:tc>
          <w:tcPr>
            <w:tcW w:w="2510" w:type="dxa"/>
            <w:vAlign w:val="top"/>
          </w:tcPr>
          <w:p w14:paraId="32A51D49">
            <w:pPr>
              <w:pStyle w:val="6"/>
            </w:pPr>
          </w:p>
        </w:tc>
        <w:tc>
          <w:tcPr>
            <w:tcW w:w="1845" w:type="dxa"/>
            <w:vAlign w:val="top"/>
          </w:tcPr>
          <w:p w14:paraId="23694C38">
            <w:pPr>
              <w:pStyle w:val="6"/>
            </w:pPr>
          </w:p>
        </w:tc>
        <w:tc>
          <w:tcPr>
            <w:tcW w:w="2027" w:type="dxa"/>
            <w:vAlign w:val="top"/>
          </w:tcPr>
          <w:p w14:paraId="5055CF38">
            <w:pPr>
              <w:pStyle w:val="6"/>
            </w:pPr>
          </w:p>
        </w:tc>
        <w:tc>
          <w:tcPr>
            <w:tcW w:w="1897" w:type="dxa"/>
            <w:vAlign w:val="top"/>
          </w:tcPr>
          <w:p w14:paraId="504E0A9E">
            <w:pPr>
              <w:pStyle w:val="6"/>
            </w:pPr>
          </w:p>
        </w:tc>
        <w:tc>
          <w:tcPr>
            <w:tcW w:w="1525" w:type="dxa"/>
            <w:vAlign w:val="top"/>
          </w:tcPr>
          <w:p w14:paraId="2DA257C4">
            <w:pPr>
              <w:pStyle w:val="6"/>
            </w:pPr>
          </w:p>
        </w:tc>
      </w:tr>
      <w:tr w14:paraId="4A999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310" w:type="dxa"/>
            <w:vAlign w:val="top"/>
          </w:tcPr>
          <w:p w14:paraId="03DCA539">
            <w:pPr>
              <w:pStyle w:val="6"/>
            </w:pPr>
          </w:p>
        </w:tc>
        <w:tc>
          <w:tcPr>
            <w:tcW w:w="2049" w:type="dxa"/>
            <w:vAlign w:val="top"/>
          </w:tcPr>
          <w:p w14:paraId="4B4518FE">
            <w:pPr>
              <w:pStyle w:val="6"/>
            </w:pPr>
          </w:p>
        </w:tc>
        <w:tc>
          <w:tcPr>
            <w:tcW w:w="2510" w:type="dxa"/>
            <w:vAlign w:val="top"/>
          </w:tcPr>
          <w:p w14:paraId="671C2AFA">
            <w:pPr>
              <w:pStyle w:val="6"/>
            </w:pPr>
          </w:p>
        </w:tc>
        <w:tc>
          <w:tcPr>
            <w:tcW w:w="1845" w:type="dxa"/>
            <w:vAlign w:val="top"/>
          </w:tcPr>
          <w:p w14:paraId="2BD701EC">
            <w:pPr>
              <w:pStyle w:val="6"/>
            </w:pPr>
          </w:p>
        </w:tc>
        <w:tc>
          <w:tcPr>
            <w:tcW w:w="2027" w:type="dxa"/>
            <w:vAlign w:val="top"/>
          </w:tcPr>
          <w:p w14:paraId="1CA2A6E9">
            <w:pPr>
              <w:pStyle w:val="6"/>
            </w:pPr>
          </w:p>
        </w:tc>
        <w:tc>
          <w:tcPr>
            <w:tcW w:w="1897" w:type="dxa"/>
            <w:vAlign w:val="top"/>
          </w:tcPr>
          <w:p w14:paraId="3BEADC9F">
            <w:pPr>
              <w:pStyle w:val="6"/>
            </w:pPr>
          </w:p>
        </w:tc>
        <w:tc>
          <w:tcPr>
            <w:tcW w:w="1525" w:type="dxa"/>
            <w:vAlign w:val="top"/>
          </w:tcPr>
          <w:p w14:paraId="23F090E2">
            <w:pPr>
              <w:pStyle w:val="6"/>
            </w:pPr>
          </w:p>
        </w:tc>
      </w:tr>
      <w:tr w14:paraId="70CB0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310" w:type="dxa"/>
            <w:vAlign w:val="top"/>
          </w:tcPr>
          <w:p w14:paraId="5D862597">
            <w:pPr>
              <w:pStyle w:val="6"/>
            </w:pPr>
          </w:p>
        </w:tc>
        <w:tc>
          <w:tcPr>
            <w:tcW w:w="2049" w:type="dxa"/>
            <w:vAlign w:val="top"/>
          </w:tcPr>
          <w:p w14:paraId="10FBDE14">
            <w:pPr>
              <w:pStyle w:val="6"/>
            </w:pPr>
          </w:p>
        </w:tc>
        <w:tc>
          <w:tcPr>
            <w:tcW w:w="2510" w:type="dxa"/>
            <w:vAlign w:val="top"/>
          </w:tcPr>
          <w:p w14:paraId="075971D0">
            <w:pPr>
              <w:pStyle w:val="6"/>
            </w:pPr>
          </w:p>
        </w:tc>
        <w:tc>
          <w:tcPr>
            <w:tcW w:w="1845" w:type="dxa"/>
            <w:vAlign w:val="top"/>
          </w:tcPr>
          <w:p w14:paraId="41E676D2">
            <w:pPr>
              <w:pStyle w:val="6"/>
            </w:pPr>
          </w:p>
        </w:tc>
        <w:tc>
          <w:tcPr>
            <w:tcW w:w="2027" w:type="dxa"/>
            <w:vAlign w:val="top"/>
          </w:tcPr>
          <w:p w14:paraId="66B0D7B1">
            <w:pPr>
              <w:pStyle w:val="6"/>
            </w:pPr>
          </w:p>
        </w:tc>
        <w:tc>
          <w:tcPr>
            <w:tcW w:w="1897" w:type="dxa"/>
            <w:vAlign w:val="top"/>
          </w:tcPr>
          <w:p w14:paraId="7E79DE9E">
            <w:pPr>
              <w:pStyle w:val="6"/>
            </w:pPr>
          </w:p>
        </w:tc>
        <w:tc>
          <w:tcPr>
            <w:tcW w:w="1525" w:type="dxa"/>
            <w:vAlign w:val="top"/>
          </w:tcPr>
          <w:p w14:paraId="6FCDBCA4">
            <w:pPr>
              <w:pStyle w:val="6"/>
            </w:pPr>
          </w:p>
        </w:tc>
      </w:tr>
      <w:tr w14:paraId="0F339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310" w:type="dxa"/>
            <w:vAlign w:val="top"/>
          </w:tcPr>
          <w:p w14:paraId="0933FF55">
            <w:pPr>
              <w:pStyle w:val="6"/>
            </w:pPr>
          </w:p>
        </w:tc>
        <w:tc>
          <w:tcPr>
            <w:tcW w:w="2049" w:type="dxa"/>
            <w:vAlign w:val="top"/>
          </w:tcPr>
          <w:p w14:paraId="2E66D402">
            <w:pPr>
              <w:pStyle w:val="6"/>
            </w:pPr>
          </w:p>
        </w:tc>
        <w:tc>
          <w:tcPr>
            <w:tcW w:w="2510" w:type="dxa"/>
            <w:vAlign w:val="top"/>
          </w:tcPr>
          <w:p w14:paraId="14E3B3D3">
            <w:pPr>
              <w:pStyle w:val="6"/>
            </w:pPr>
          </w:p>
        </w:tc>
        <w:tc>
          <w:tcPr>
            <w:tcW w:w="1845" w:type="dxa"/>
            <w:vAlign w:val="top"/>
          </w:tcPr>
          <w:p w14:paraId="50C0D233">
            <w:pPr>
              <w:pStyle w:val="6"/>
            </w:pPr>
          </w:p>
        </w:tc>
        <w:tc>
          <w:tcPr>
            <w:tcW w:w="2027" w:type="dxa"/>
            <w:vAlign w:val="top"/>
          </w:tcPr>
          <w:p w14:paraId="5DD27B9E">
            <w:pPr>
              <w:pStyle w:val="6"/>
            </w:pPr>
          </w:p>
        </w:tc>
        <w:tc>
          <w:tcPr>
            <w:tcW w:w="1897" w:type="dxa"/>
            <w:vAlign w:val="top"/>
          </w:tcPr>
          <w:p w14:paraId="561B4719">
            <w:pPr>
              <w:pStyle w:val="6"/>
            </w:pPr>
          </w:p>
        </w:tc>
        <w:tc>
          <w:tcPr>
            <w:tcW w:w="1525" w:type="dxa"/>
            <w:vAlign w:val="top"/>
          </w:tcPr>
          <w:p w14:paraId="71860D10">
            <w:pPr>
              <w:pStyle w:val="6"/>
            </w:pPr>
          </w:p>
        </w:tc>
      </w:tr>
      <w:tr w14:paraId="3AFFA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310" w:type="dxa"/>
            <w:vAlign w:val="top"/>
          </w:tcPr>
          <w:p w14:paraId="2730E14D">
            <w:pPr>
              <w:pStyle w:val="6"/>
            </w:pPr>
          </w:p>
        </w:tc>
        <w:tc>
          <w:tcPr>
            <w:tcW w:w="2049" w:type="dxa"/>
            <w:vAlign w:val="top"/>
          </w:tcPr>
          <w:p w14:paraId="264CAF66">
            <w:pPr>
              <w:pStyle w:val="6"/>
            </w:pPr>
          </w:p>
        </w:tc>
        <w:tc>
          <w:tcPr>
            <w:tcW w:w="2510" w:type="dxa"/>
            <w:vAlign w:val="top"/>
          </w:tcPr>
          <w:p w14:paraId="22A8C848">
            <w:pPr>
              <w:pStyle w:val="6"/>
            </w:pPr>
          </w:p>
        </w:tc>
        <w:tc>
          <w:tcPr>
            <w:tcW w:w="1845" w:type="dxa"/>
            <w:vAlign w:val="top"/>
          </w:tcPr>
          <w:p w14:paraId="04DEC19D">
            <w:pPr>
              <w:pStyle w:val="6"/>
            </w:pPr>
          </w:p>
        </w:tc>
        <w:tc>
          <w:tcPr>
            <w:tcW w:w="2027" w:type="dxa"/>
            <w:vAlign w:val="top"/>
          </w:tcPr>
          <w:p w14:paraId="3D92A17D">
            <w:pPr>
              <w:pStyle w:val="6"/>
            </w:pPr>
          </w:p>
        </w:tc>
        <w:tc>
          <w:tcPr>
            <w:tcW w:w="1897" w:type="dxa"/>
            <w:vAlign w:val="top"/>
          </w:tcPr>
          <w:p w14:paraId="1417393B">
            <w:pPr>
              <w:pStyle w:val="6"/>
            </w:pPr>
          </w:p>
        </w:tc>
        <w:tc>
          <w:tcPr>
            <w:tcW w:w="1525" w:type="dxa"/>
            <w:vAlign w:val="top"/>
          </w:tcPr>
          <w:p w14:paraId="14372ADC">
            <w:pPr>
              <w:pStyle w:val="6"/>
            </w:pPr>
          </w:p>
        </w:tc>
      </w:tr>
      <w:tr w14:paraId="79C32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310" w:type="dxa"/>
            <w:vAlign w:val="top"/>
          </w:tcPr>
          <w:p w14:paraId="4AC01286">
            <w:pPr>
              <w:pStyle w:val="6"/>
            </w:pPr>
          </w:p>
        </w:tc>
        <w:tc>
          <w:tcPr>
            <w:tcW w:w="2049" w:type="dxa"/>
            <w:vAlign w:val="top"/>
          </w:tcPr>
          <w:p w14:paraId="7323298B">
            <w:pPr>
              <w:pStyle w:val="6"/>
            </w:pPr>
          </w:p>
        </w:tc>
        <w:tc>
          <w:tcPr>
            <w:tcW w:w="2510" w:type="dxa"/>
            <w:vAlign w:val="top"/>
          </w:tcPr>
          <w:p w14:paraId="297D78AC">
            <w:pPr>
              <w:pStyle w:val="6"/>
            </w:pPr>
          </w:p>
        </w:tc>
        <w:tc>
          <w:tcPr>
            <w:tcW w:w="1845" w:type="dxa"/>
            <w:vAlign w:val="top"/>
          </w:tcPr>
          <w:p w14:paraId="441FC589">
            <w:pPr>
              <w:pStyle w:val="6"/>
            </w:pPr>
          </w:p>
        </w:tc>
        <w:tc>
          <w:tcPr>
            <w:tcW w:w="2027" w:type="dxa"/>
            <w:vAlign w:val="top"/>
          </w:tcPr>
          <w:p w14:paraId="0DC3CE7A">
            <w:pPr>
              <w:pStyle w:val="6"/>
            </w:pPr>
          </w:p>
        </w:tc>
        <w:tc>
          <w:tcPr>
            <w:tcW w:w="1897" w:type="dxa"/>
            <w:vAlign w:val="top"/>
          </w:tcPr>
          <w:p w14:paraId="76E1A2C7">
            <w:pPr>
              <w:pStyle w:val="6"/>
            </w:pPr>
          </w:p>
        </w:tc>
        <w:tc>
          <w:tcPr>
            <w:tcW w:w="1525" w:type="dxa"/>
            <w:vAlign w:val="top"/>
          </w:tcPr>
          <w:p w14:paraId="5B49164D">
            <w:pPr>
              <w:pStyle w:val="6"/>
            </w:pPr>
          </w:p>
        </w:tc>
      </w:tr>
      <w:tr w14:paraId="17DD0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310" w:type="dxa"/>
            <w:vAlign w:val="top"/>
          </w:tcPr>
          <w:p w14:paraId="3AC9FA3C">
            <w:pPr>
              <w:pStyle w:val="6"/>
            </w:pPr>
          </w:p>
        </w:tc>
        <w:tc>
          <w:tcPr>
            <w:tcW w:w="2049" w:type="dxa"/>
            <w:vAlign w:val="top"/>
          </w:tcPr>
          <w:p w14:paraId="3F55CE4C">
            <w:pPr>
              <w:pStyle w:val="6"/>
            </w:pPr>
          </w:p>
        </w:tc>
        <w:tc>
          <w:tcPr>
            <w:tcW w:w="2510" w:type="dxa"/>
            <w:vAlign w:val="top"/>
          </w:tcPr>
          <w:p w14:paraId="7C5A183B">
            <w:pPr>
              <w:pStyle w:val="6"/>
            </w:pPr>
          </w:p>
        </w:tc>
        <w:tc>
          <w:tcPr>
            <w:tcW w:w="1845" w:type="dxa"/>
            <w:vAlign w:val="top"/>
          </w:tcPr>
          <w:p w14:paraId="3C513068">
            <w:pPr>
              <w:pStyle w:val="6"/>
            </w:pPr>
          </w:p>
        </w:tc>
        <w:tc>
          <w:tcPr>
            <w:tcW w:w="2027" w:type="dxa"/>
            <w:vAlign w:val="top"/>
          </w:tcPr>
          <w:p w14:paraId="5710FD65">
            <w:pPr>
              <w:pStyle w:val="6"/>
            </w:pPr>
          </w:p>
        </w:tc>
        <w:tc>
          <w:tcPr>
            <w:tcW w:w="1897" w:type="dxa"/>
            <w:vAlign w:val="top"/>
          </w:tcPr>
          <w:p w14:paraId="31C3C1F3">
            <w:pPr>
              <w:pStyle w:val="6"/>
            </w:pPr>
          </w:p>
        </w:tc>
        <w:tc>
          <w:tcPr>
            <w:tcW w:w="1525" w:type="dxa"/>
            <w:vAlign w:val="top"/>
          </w:tcPr>
          <w:p w14:paraId="4E9996AF">
            <w:pPr>
              <w:pStyle w:val="6"/>
            </w:pPr>
          </w:p>
        </w:tc>
      </w:tr>
      <w:tr w14:paraId="7995F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310" w:type="dxa"/>
            <w:vAlign w:val="top"/>
          </w:tcPr>
          <w:p w14:paraId="1BD774D9">
            <w:pPr>
              <w:pStyle w:val="6"/>
            </w:pPr>
          </w:p>
        </w:tc>
        <w:tc>
          <w:tcPr>
            <w:tcW w:w="2049" w:type="dxa"/>
            <w:vAlign w:val="top"/>
          </w:tcPr>
          <w:p w14:paraId="3C0A8378">
            <w:pPr>
              <w:pStyle w:val="6"/>
            </w:pPr>
          </w:p>
        </w:tc>
        <w:tc>
          <w:tcPr>
            <w:tcW w:w="2510" w:type="dxa"/>
            <w:vAlign w:val="top"/>
          </w:tcPr>
          <w:p w14:paraId="0E47A919">
            <w:pPr>
              <w:pStyle w:val="6"/>
            </w:pPr>
          </w:p>
        </w:tc>
        <w:tc>
          <w:tcPr>
            <w:tcW w:w="1845" w:type="dxa"/>
            <w:vAlign w:val="top"/>
          </w:tcPr>
          <w:p w14:paraId="45399653">
            <w:pPr>
              <w:pStyle w:val="6"/>
            </w:pPr>
          </w:p>
        </w:tc>
        <w:tc>
          <w:tcPr>
            <w:tcW w:w="2027" w:type="dxa"/>
            <w:vAlign w:val="top"/>
          </w:tcPr>
          <w:p w14:paraId="5324A5C7">
            <w:pPr>
              <w:pStyle w:val="6"/>
            </w:pPr>
          </w:p>
        </w:tc>
        <w:tc>
          <w:tcPr>
            <w:tcW w:w="1897" w:type="dxa"/>
            <w:vAlign w:val="top"/>
          </w:tcPr>
          <w:p w14:paraId="5C505CC7">
            <w:pPr>
              <w:pStyle w:val="6"/>
            </w:pPr>
          </w:p>
        </w:tc>
        <w:tc>
          <w:tcPr>
            <w:tcW w:w="1525" w:type="dxa"/>
            <w:vAlign w:val="top"/>
          </w:tcPr>
          <w:p w14:paraId="3C94C98D">
            <w:pPr>
              <w:pStyle w:val="6"/>
            </w:pPr>
          </w:p>
        </w:tc>
      </w:tr>
    </w:tbl>
    <w:p w14:paraId="5DAE3A57">
      <w:pPr>
        <w:pStyle w:val="2"/>
        <w:spacing w:before="176" w:line="219" w:lineRule="auto"/>
        <w:ind w:left="623"/>
        <w:sectPr>
          <w:pgSz w:w="16839" w:h="11906"/>
          <w:pgMar w:top="1803" w:right="1440" w:bottom="1803" w:left="986" w:header="0" w:footer="0" w:gutter="0"/>
          <w:cols w:space="720" w:num="1"/>
        </w:sectPr>
      </w:pPr>
      <w:r>
        <w:rPr>
          <w:spacing w:val="9"/>
        </w:rPr>
        <w:t>填表说明：未整改原因：请如实填写</w:t>
      </w:r>
    </w:p>
    <w:p w14:paraId="2A7D394E">
      <w:pPr>
        <w:spacing w:line="277" w:lineRule="auto"/>
        <w:rPr>
          <w:rFonts w:ascii="Arial"/>
          <w:sz w:val="21"/>
        </w:rPr>
      </w:pPr>
    </w:p>
    <w:sectPr>
      <w:pgSz w:w="11906" w:h="16839"/>
      <w:pgMar w:top="400" w:right="1785" w:bottom="0"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_GB2312"/>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E5F05">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GM5MDNmOTg3MjhiYzhiZTBmMDUxZDRmNzgyOWM1ZTQifQ=="/>
  </w:docVars>
  <w:rsids>
    <w:rsidRoot w:val="00000000"/>
    <w:rsid w:val="029B3F2B"/>
    <w:rsid w:val="0F374E08"/>
    <w:rsid w:val="1AD339E7"/>
    <w:rsid w:val="1F306847"/>
    <w:rsid w:val="2B7245D8"/>
    <w:rsid w:val="3307027A"/>
    <w:rsid w:val="42EF172F"/>
    <w:rsid w:val="4A600544"/>
    <w:rsid w:val="524919CA"/>
    <w:rsid w:val="6E3226D3"/>
    <w:rsid w:val="77F739E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3703</Words>
  <Characters>3807</Characters>
  <TotalTime>31</TotalTime>
  <ScaleCrop>false</ScaleCrop>
  <LinksUpToDate>false</LinksUpToDate>
  <CharactersWithSpaces>3807</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2024-10-25T14:40:00Z</dcterms:created>
  <dc:creator>张秀娟</dc:creator>
  <cp:lastModifiedBy>ʚ柠檬少女和猫ɞ</cp:lastModifiedBy>
  <cp:lastPrinted>2025-08-27T01:44:40Z</cp:lastPrinted>
  <dcterms:modified xsi:type="dcterms:W3CDTF">2025-08-27T01:44:51Z</dcterms:modified>
  <dc:title>贵池区安全生产和防灾减灾救灾委员会办公室</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2024-10-25T14:44:55Z</vt:filetime>
  </property>
  <property fmtid="{D5CDD505-2E9C-101B-9397-08002B2CF9AE}" pid="4" name="KSOProductBuildVer">
    <vt:lpwstr>2052-12.1.0.22529</vt:lpwstr>
  </property>
  <property fmtid="{D5CDD505-2E9C-101B-9397-08002B2CF9AE}" pid="5" name="ICV">
    <vt:lpwstr>6DC71996BBA74F59A1EF222DE8A57E20_13</vt:lpwstr>
  </property>
</Properties>
</file>