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B26B6">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b/>
          <w:bCs/>
          <w:sz w:val="40"/>
          <w:szCs w:val="40"/>
        </w:rPr>
      </w:pPr>
    </w:p>
    <w:p w14:paraId="6D90322A">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b/>
          <w:bCs/>
          <w:sz w:val="40"/>
          <w:szCs w:val="40"/>
        </w:rPr>
      </w:pPr>
      <w:r>
        <w:rPr>
          <w:rFonts w:hint="eastAsia" w:ascii="方正小标宋简体" w:hAnsi="方正小标宋简体" w:eastAsia="方正小标宋简体" w:cs="方正小标宋简体"/>
          <w:b/>
          <w:bCs/>
          <w:sz w:val="40"/>
          <w:szCs w:val="40"/>
        </w:rPr>
        <w:t>关于</w:t>
      </w:r>
      <w:r>
        <w:rPr>
          <w:rFonts w:hint="eastAsia" w:ascii="方正小标宋简体" w:hAnsi="方正小标宋简体" w:eastAsia="方正小标宋简体" w:cs="方正小标宋简体"/>
          <w:b/>
          <w:bCs/>
          <w:sz w:val="40"/>
          <w:szCs w:val="40"/>
          <w:lang w:val="en-US" w:eastAsia="zh-CN"/>
        </w:rPr>
        <w:t>进一步做好全</w:t>
      </w:r>
      <w:r>
        <w:rPr>
          <w:rFonts w:hint="eastAsia" w:ascii="方正小标宋简体" w:hAnsi="方正小标宋简体" w:eastAsia="方正小标宋简体" w:cs="方正小标宋简体"/>
          <w:b/>
          <w:bCs/>
          <w:sz w:val="40"/>
          <w:szCs w:val="40"/>
          <w:lang w:eastAsia="zh-CN"/>
        </w:rPr>
        <w:t>区</w:t>
      </w:r>
      <w:r>
        <w:rPr>
          <w:rFonts w:hint="eastAsia" w:ascii="方正小标宋简体" w:hAnsi="方正小标宋简体" w:eastAsia="方正小标宋简体" w:cs="方正小标宋简体"/>
          <w:b/>
          <w:bCs/>
          <w:sz w:val="40"/>
          <w:szCs w:val="40"/>
        </w:rPr>
        <w:t>松材线虫病</w:t>
      </w:r>
    </w:p>
    <w:p w14:paraId="39DE05F8">
      <w:pPr>
        <w:keepNext w:val="0"/>
        <w:keepLines w:val="0"/>
        <w:pageBreakBefore w:val="0"/>
        <w:widowControl/>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b/>
          <w:bCs/>
          <w:sz w:val="40"/>
          <w:szCs w:val="40"/>
        </w:rPr>
      </w:pPr>
      <w:r>
        <w:rPr>
          <w:rFonts w:hint="eastAsia" w:ascii="方正小标宋简体" w:hAnsi="方正小标宋简体" w:eastAsia="方正小标宋简体" w:cs="方正小标宋简体"/>
          <w:b/>
          <w:bCs/>
          <w:sz w:val="40"/>
          <w:szCs w:val="40"/>
        </w:rPr>
        <w:t>疫情</w:t>
      </w:r>
      <w:r>
        <w:rPr>
          <w:rFonts w:hint="eastAsia" w:ascii="方正小标宋简体" w:hAnsi="方正小标宋简体" w:eastAsia="方正小标宋简体" w:cs="方正小标宋简体"/>
          <w:b/>
          <w:bCs/>
          <w:sz w:val="40"/>
          <w:szCs w:val="40"/>
          <w:lang w:val="en-US" w:eastAsia="zh-CN"/>
        </w:rPr>
        <w:t>防控</w:t>
      </w:r>
      <w:r>
        <w:rPr>
          <w:rFonts w:hint="eastAsia" w:ascii="方正小标宋简体" w:hAnsi="方正小标宋简体" w:eastAsia="方正小标宋简体" w:cs="方正小标宋简体"/>
          <w:b/>
          <w:bCs/>
          <w:sz w:val="40"/>
          <w:szCs w:val="40"/>
        </w:rPr>
        <w:t>工作的通知</w:t>
      </w:r>
    </w:p>
    <w:p w14:paraId="3E9CDA7E">
      <w:pPr>
        <w:keepNext w:val="0"/>
        <w:keepLines w:val="0"/>
        <w:pageBreakBefore w:val="0"/>
        <w:widowControl/>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b/>
          <w:bCs/>
          <w:sz w:val="40"/>
          <w:szCs w:val="40"/>
        </w:rPr>
      </w:pPr>
    </w:p>
    <w:p w14:paraId="6F8DFE9C">
      <w:pPr>
        <w:pStyle w:val="2"/>
        <w:rPr>
          <w:rFonts w:hint="eastAsia"/>
        </w:rPr>
      </w:pPr>
      <w:bookmarkStart w:id="0" w:name="_GoBack"/>
      <w:bookmarkEnd w:id="0"/>
    </w:p>
    <w:p w14:paraId="60B0A9DA">
      <w:pPr>
        <w:keepNext w:val="0"/>
        <w:keepLines w:val="0"/>
        <w:pageBreakBefore w:val="0"/>
        <w:widowControl/>
        <w:kinsoku/>
        <w:wordWrap/>
        <w:overflowPunct/>
        <w:topLinePunct w:val="0"/>
        <w:autoSpaceDE/>
        <w:autoSpaceDN/>
        <w:bidi w:val="0"/>
        <w:adjustRightInd/>
        <w:snapToGrid/>
        <w:spacing w:after="0" w:line="560" w:lineRule="exact"/>
        <w:jc w:val="center"/>
        <w:textAlignment w:val="auto"/>
        <w:rPr>
          <w:rFonts w:hint="eastAsia" w:ascii="仿宋_GB2312" w:hAnsi="宋体" w:eastAsia="仿宋_GB2312"/>
          <w:sz w:val="32"/>
          <w:szCs w:val="32"/>
        </w:rPr>
      </w:pPr>
      <w:r>
        <w:rPr>
          <w:rFonts w:hint="eastAsia" w:ascii="仿宋_GB2312" w:hAnsi="宋体" w:eastAsia="仿宋_GB2312"/>
          <w:sz w:val="32"/>
          <w:szCs w:val="32"/>
        </w:rPr>
        <w:t>贵</w:t>
      </w:r>
      <w:r>
        <w:rPr>
          <w:rFonts w:hint="eastAsia" w:ascii="仿宋_GB2312" w:hAnsi="宋体" w:eastAsia="仿宋_GB2312"/>
          <w:sz w:val="32"/>
          <w:szCs w:val="32"/>
          <w:lang w:val="en-US" w:eastAsia="zh-CN"/>
        </w:rPr>
        <w:t>林森</w:t>
      </w:r>
      <w:r>
        <w:rPr>
          <w:rFonts w:hint="eastAsia" w:ascii="仿宋_GB2312" w:hAnsi="宋体" w:eastAsia="仿宋_GB2312"/>
          <w:sz w:val="32"/>
          <w:szCs w:val="32"/>
        </w:rPr>
        <w:t>〔202</w:t>
      </w:r>
      <w:r>
        <w:rPr>
          <w:rFonts w:hint="eastAsia" w:ascii="仿宋_GB2312" w:hAnsi="宋体" w:eastAsia="仿宋_GB2312"/>
          <w:sz w:val="32"/>
          <w:szCs w:val="32"/>
          <w:lang w:val="en-US" w:eastAsia="zh-CN"/>
        </w:rPr>
        <w:t>5</w:t>
      </w:r>
      <w:r>
        <w:rPr>
          <w:rFonts w:hint="eastAsia" w:ascii="仿宋_GB2312" w:hAnsi="宋体" w:eastAsia="仿宋_GB2312"/>
          <w:sz w:val="32"/>
          <w:szCs w:val="32"/>
        </w:rPr>
        <w:t>〕</w:t>
      </w:r>
      <w:r>
        <w:rPr>
          <w:rFonts w:hint="eastAsia" w:ascii="仿宋_GB2312" w:hAnsi="宋体" w:eastAsia="仿宋_GB2312"/>
          <w:sz w:val="32"/>
          <w:szCs w:val="32"/>
          <w:lang w:val="en-US" w:eastAsia="zh-CN"/>
        </w:rPr>
        <w:t>37</w:t>
      </w:r>
      <w:r>
        <w:rPr>
          <w:rFonts w:hint="eastAsia" w:ascii="仿宋_GB2312" w:hAnsi="宋体" w:eastAsia="仿宋_GB2312"/>
          <w:sz w:val="32"/>
          <w:szCs w:val="32"/>
        </w:rPr>
        <w:t>号</w:t>
      </w:r>
    </w:p>
    <w:p w14:paraId="580699B1">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b/>
          <w:bCs/>
          <w:sz w:val="40"/>
          <w:szCs w:val="40"/>
        </w:rPr>
      </w:pPr>
    </w:p>
    <w:p w14:paraId="408D364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p>
    <w:p w14:paraId="26BDFAE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镇人民政府、街道办事处，</w:t>
      </w:r>
      <w:r>
        <w:rPr>
          <w:rFonts w:hint="eastAsia" w:ascii="仿宋_GB2312" w:hAnsi="仿宋_GB2312" w:eastAsia="仿宋_GB2312" w:cs="仿宋_GB2312"/>
          <w:sz w:val="32"/>
          <w:szCs w:val="32"/>
          <w:lang w:val="en-US" w:eastAsia="zh-CN"/>
        </w:rPr>
        <w:t>杏花村文化旅游区管委会，区直有关单位</w:t>
      </w:r>
      <w:r>
        <w:rPr>
          <w:rFonts w:hint="eastAsia" w:ascii="仿宋_GB2312" w:hAnsi="仿宋_GB2312" w:eastAsia="仿宋_GB2312" w:cs="仿宋_GB2312"/>
          <w:sz w:val="32"/>
          <w:szCs w:val="32"/>
        </w:rPr>
        <w:t>：</w:t>
      </w:r>
    </w:p>
    <w:p w14:paraId="1E6C788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为有效防控松材线虫病，保护全区松林资源和生态环境安全，确保我区松材线虫病疫情防控五年攻坚行动目标顺利实现，根据《森林病虫害防治条例》</w:t>
      </w:r>
      <w:r>
        <w:rPr>
          <w:rFonts w:hint="eastAsia" w:ascii="仿宋_GB2312" w:hAnsi="Times New Roman" w:eastAsia="仿宋_GB2312" w:cs="Times New Roman"/>
          <w:kern w:val="2"/>
          <w:sz w:val="32"/>
          <w:szCs w:val="32"/>
          <w:lang w:val="en-US" w:eastAsia="zh-CN"/>
        </w:rPr>
        <w:t>《安徽省林业有害生物防治条例》</w:t>
      </w:r>
      <w:r>
        <w:rPr>
          <w:rFonts w:hint="default" w:ascii="仿宋_GB2312" w:hAnsi="宋体" w:eastAsia="仿宋_GB2312" w:cs="Times New Roman"/>
          <w:sz w:val="32"/>
          <w:szCs w:val="32"/>
          <w:lang w:eastAsia="zh-CN"/>
        </w:rPr>
        <w:t>《松材线虫病疫区和疫木管理办法》《松材线虫病防治技术方案</w:t>
      </w:r>
      <w:r>
        <w:rPr>
          <w:rFonts w:hint="eastAsia" w:ascii="仿宋_GB2312" w:hAnsi="宋体" w:eastAsia="仿宋_GB2312" w:cs="Times New Roman"/>
          <w:sz w:val="32"/>
          <w:szCs w:val="32"/>
          <w:lang w:eastAsia="zh-CN"/>
        </w:rPr>
        <w:t>(202</w:t>
      </w:r>
      <w:r>
        <w:rPr>
          <w:rFonts w:hint="eastAsia" w:ascii="仿宋_GB2312" w:hAnsi="宋体" w:eastAsia="仿宋_GB2312" w:cs="Times New Roman"/>
          <w:sz w:val="32"/>
          <w:szCs w:val="32"/>
          <w:lang w:val="en-US" w:eastAsia="zh-CN"/>
        </w:rPr>
        <w:t>4</w:t>
      </w:r>
      <w:r>
        <w:rPr>
          <w:rFonts w:hint="default" w:ascii="仿宋_GB2312" w:hAnsi="宋体" w:eastAsia="仿宋_GB2312" w:cs="Times New Roman"/>
          <w:sz w:val="32"/>
          <w:szCs w:val="32"/>
          <w:lang w:eastAsia="zh-CN"/>
        </w:rPr>
        <w:t>年版</w:t>
      </w:r>
      <w:r>
        <w:rPr>
          <w:rFonts w:hint="eastAsia" w:ascii="仿宋_GB2312" w:hAnsi="宋体" w:eastAsia="仿宋_GB2312" w:cs="Times New Roman"/>
          <w:sz w:val="32"/>
          <w:szCs w:val="32"/>
          <w:lang w:eastAsia="zh-CN"/>
        </w:rPr>
        <w:t>)</w:t>
      </w:r>
      <w:r>
        <w:rPr>
          <w:rFonts w:hint="default" w:ascii="仿宋_GB2312" w:hAnsi="宋体" w:eastAsia="仿宋_GB2312" w:cs="Times New Roman"/>
          <w:sz w:val="32"/>
          <w:szCs w:val="32"/>
          <w:lang w:eastAsia="zh-CN"/>
        </w:rPr>
        <w:t>》《安徽省松材线虫病疫情防控五年攻坚行动方案》</w:t>
      </w:r>
      <w:r>
        <w:rPr>
          <w:rFonts w:hint="eastAsia" w:ascii="仿宋_GB2312" w:hAnsi="宋体" w:eastAsia="仿宋_GB2312" w:cs="Times New Roman"/>
          <w:sz w:val="32"/>
          <w:szCs w:val="32"/>
          <w:lang w:val="en-US" w:eastAsia="zh-CN"/>
        </w:rPr>
        <w:t>等法规、方案、文件规定和要求</w:t>
      </w:r>
      <w:r>
        <w:rPr>
          <w:rFonts w:hint="eastAsia" w:ascii="仿宋_GB2312" w:hAnsi="仿宋_GB2312" w:eastAsia="仿宋_GB2312" w:cs="仿宋_GB2312"/>
          <w:sz w:val="32"/>
          <w:szCs w:val="32"/>
          <w:lang w:val="en-US" w:eastAsia="zh-CN"/>
        </w:rPr>
        <w:t>，结合我区各地当前疫情除治和零星枯死松树清理等情况，</w:t>
      </w:r>
      <w:r>
        <w:rPr>
          <w:rFonts w:hint="eastAsia" w:ascii="仿宋_GB2312" w:hAnsi="仿宋_GB2312" w:eastAsia="仿宋_GB2312" w:cs="仿宋_GB2312"/>
          <w:sz w:val="32"/>
          <w:szCs w:val="32"/>
        </w:rPr>
        <w:t>现就</w:t>
      </w:r>
      <w:r>
        <w:rPr>
          <w:rFonts w:hint="eastAsia" w:ascii="仿宋_GB2312" w:hAnsi="仿宋_GB2312" w:eastAsia="仿宋_GB2312" w:cs="仿宋_GB2312"/>
          <w:sz w:val="32"/>
          <w:szCs w:val="32"/>
          <w:lang w:val="en-US" w:eastAsia="zh-CN"/>
        </w:rPr>
        <w:t>进一步</w:t>
      </w:r>
      <w:r>
        <w:rPr>
          <w:rFonts w:hint="eastAsia" w:ascii="仿宋_GB2312" w:hAnsi="仿宋_GB2312" w:eastAsia="仿宋_GB2312" w:cs="仿宋_GB2312"/>
          <w:sz w:val="32"/>
          <w:szCs w:val="32"/>
        </w:rPr>
        <w:t>做好</w:t>
      </w:r>
      <w:r>
        <w:rPr>
          <w:rFonts w:hint="eastAsia" w:ascii="仿宋_GB2312" w:hAnsi="仿宋_GB2312" w:eastAsia="仿宋_GB2312" w:cs="仿宋_GB2312"/>
          <w:sz w:val="32"/>
          <w:szCs w:val="32"/>
          <w:lang w:val="en-US" w:eastAsia="zh-CN"/>
        </w:rPr>
        <w:t>全区2025年</w:t>
      </w:r>
      <w:r>
        <w:rPr>
          <w:rFonts w:hint="eastAsia" w:ascii="仿宋_GB2312" w:hAnsi="仿宋_GB2312" w:eastAsia="仿宋_GB2312" w:cs="仿宋_GB2312"/>
          <w:sz w:val="32"/>
          <w:szCs w:val="32"/>
        </w:rPr>
        <w:t>松材线虫病疫情</w:t>
      </w:r>
      <w:r>
        <w:rPr>
          <w:rFonts w:hint="eastAsia" w:ascii="仿宋_GB2312" w:hAnsi="仿宋_GB2312" w:eastAsia="仿宋_GB2312" w:cs="仿宋_GB2312"/>
          <w:sz w:val="32"/>
          <w:szCs w:val="32"/>
          <w:lang w:val="en-US" w:eastAsia="zh-CN"/>
        </w:rPr>
        <w:t>防控及相</w:t>
      </w:r>
      <w:r>
        <w:rPr>
          <w:rFonts w:hint="eastAsia" w:ascii="仿宋_GB2312" w:hAnsi="仿宋_GB2312" w:eastAsia="仿宋_GB2312" w:cs="仿宋_GB2312"/>
          <w:sz w:val="32"/>
          <w:szCs w:val="32"/>
        </w:rPr>
        <w:t>关工作通知如下：</w:t>
      </w:r>
    </w:p>
    <w:p w14:paraId="26804ECC">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sectPr>
          <w:pgSz w:w="11906" w:h="16838"/>
          <w:pgMar w:top="1723" w:right="1800" w:bottom="1497" w:left="1800" w:header="851" w:footer="992" w:gutter="0"/>
          <w:pgNumType w:fmt="decimal" w:start="1"/>
          <w:cols w:space="425" w:num="1"/>
          <w:docGrid w:type="lines" w:linePitch="312" w:charSpace="0"/>
        </w:sectPr>
      </w:pPr>
    </w:p>
    <w:p w14:paraId="680BAEA8">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加强组织领导</w:t>
      </w:r>
    </w:p>
    <w:p w14:paraId="14E9280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Times New Roman" w:eastAsia="仿宋_GB2312" w:cs="Times New Roman"/>
          <w:kern w:val="2"/>
          <w:sz w:val="32"/>
          <w:szCs w:val="32"/>
          <w:lang w:val="en-US" w:eastAsia="zh-CN"/>
        </w:rPr>
      </w:pPr>
      <w:r>
        <w:rPr>
          <w:rFonts w:hint="eastAsia" w:ascii="仿宋_GB2312" w:hAnsi="仿宋_GB2312" w:eastAsia="仿宋_GB2312" w:cs="仿宋_GB2312"/>
          <w:sz w:val="32"/>
          <w:szCs w:val="32"/>
          <w:lang w:val="en-US" w:eastAsia="zh-CN"/>
        </w:rPr>
        <w:t>松材线虫病是极具危险性的森林病害，是重大植物疫情</w:t>
      </w:r>
      <w:r>
        <w:rPr>
          <w:rFonts w:hint="eastAsia" w:ascii="仿宋_GB2312" w:hAnsi="仿宋" w:eastAsia="仿宋_GB2312" w:cs="仿宋"/>
          <w:kern w:val="2"/>
          <w:sz w:val="32"/>
          <w:szCs w:val="32"/>
          <w:lang w:val="en-US" w:eastAsia="zh-CN"/>
        </w:rPr>
        <w:t>。</w:t>
      </w:r>
      <w:r>
        <w:rPr>
          <w:rFonts w:hint="eastAsia" w:ascii="仿宋_GB2312" w:hAnsi="Times New Roman" w:eastAsia="仿宋_GB2312" w:cs="Times New Roman"/>
          <w:kern w:val="2"/>
          <w:sz w:val="32"/>
          <w:szCs w:val="32"/>
          <w:lang w:val="en-US" w:eastAsia="zh-CN"/>
        </w:rPr>
        <w:t>《安徽省林业有害生物防治条例》规定林业有害生物防治实行“政府主导、属地管理、部门协作、社会参与”的工作机制。</w:t>
      </w:r>
      <w:r>
        <w:rPr>
          <w:rFonts w:hint="eastAsia" w:ascii="仿宋_GB2312" w:hAnsi="仿宋_GB2312" w:eastAsia="仿宋_GB2312" w:cs="仿宋_GB2312"/>
          <w:sz w:val="32"/>
          <w:szCs w:val="32"/>
          <w:lang w:val="en-US" w:eastAsia="zh-CN"/>
        </w:rPr>
        <w:t>《安徽省松材线虫病疫情防控五年攻坚行动方案》明确了松材线虫病防控实行“内防扩散、外防输出、全面攻坚”的行动策略，对疫情实施全面清剿，</w:t>
      </w:r>
      <w:r>
        <w:rPr>
          <w:rFonts w:hint="eastAsia" w:ascii="仿宋_GB2312" w:hAnsi="仿宋" w:eastAsia="仿宋_GB2312" w:cs="仿宋"/>
          <w:kern w:val="2"/>
          <w:sz w:val="32"/>
          <w:szCs w:val="32"/>
          <w:lang w:val="en-US" w:eastAsia="zh-CN"/>
        </w:rPr>
        <w:t>严格管控疫木，</w:t>
      </w:r>
      <w:r>
        <w:rPr>
          <w:rFonts w:hint="eastAsia" w:ascii="仿宋_GB2312" w:hAnsi="仿宋_GB2312" w:eastAsia="仿宋_GB2312" w:cs="仿宋_GB2312"/>
          <w:sz w:val="32"/>
          <w:szCs w:val="32"/>
        </w:rPr>
        <w:t>持续保持疫情发展下降趋势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松材线虫病防治工作是一项长期而艰巨的任务，我区是松材线虫病疫情重型疫区，</w:t>
      </w:r>
      <w:r>
        <w:rPr>
          <w:rFonts w:hint="eastAsia" w:ascii="仿宋_GB2312" w:hAnsi="Times New Roman" w:eastAsia="仿宋_GB2312" w:cs="Times New Roman"/>
          <w:kern w:val="2"/>
          <w:sz w:val="32"/>
          <w:szCs w:val="32"/>
          <w:lang w:val="en-US" w:eastAsia="zh-CN"/>
        </w:rPr>
        <w:t>各地和有关部门要高度重视，</w:t>
      </w:r>
      <w:r>
        <w:rPr>
          <w:rFonts w:hint="eastAsia" w:ascii="仿宋_GB2312" w:hAnsi="仿宋_GB2312" w:eastAsia="仿宋_GB2312" w:cs="仿宋_GB2312"/>
          <w:sz w:val="32"/>
          <w:szCs w:val="32"/>
        </w:rPr>
        <w:t>加强组织领导，依法履行职责，将松材线虫病防治作为重要工作</w:t>
      </w:r>
      <w:r>
        <w:rPr>
          <w:rFonts w:hint="eastAsia" w:ascii="仿宋_GB2312" w:hAnsi="仿宋_GB2312" w:eastAsia="仿宋_GB2312" w:cs="仿宋_GB2312"/>
          <w:sz w:val="32"/>
          <w:szCs w:val="32"/>
          <w:lang w:val="en-US" w:eastAsia="zh-CN"/>
        </w:rPr>
        <w:t>内容纳入议事日程</w:t>
      </w:r>
      <w:r>
        <w:rPr>
          <w:rFonts w:hint="eastAsia" w:ascii="仿宋_GB2312" w:hAnsi="仿宋_GB2312" w:eastAsia="仿宋_GB2312" w:cs="仿宋_GB2312"/>
          <w:sz w:val="32"/>
          <w:szCs w:val="32"/>
        </w:rPr>
        <w:t>，</w:t>
      </w:r>
      <w:r>
        <w:rPr>
          <w:rFonts w:hint="eastAsia" w:ascii="仿宋_GB2312" w:hAnsi="Times New Roman" w:eastAsia="仿宋_GB2312" w:cs="Times New Roman"/>
          <w:kern w:val="2"/>
          <w:sz w:val="32"/>
          <w:szCs w:val="32"/>
          <w:lang w:val="en-US" w:eastAsia="zh-CN"/>
        </w:rPr>
        <w:t>及时研究辖区内病死（枯死、濒死）松树清理除治事项，明确落实清理除治单位。</w:t>
      </w:r>
    </w:p>
    <w:p w14:paraId="4F0764C0">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加强日常监测</w:t>
      </w:r>
    </w:p>
    <w:p w14:paraId="4902706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各地要根据</w:t>
      </w:r>
      <w:r>
        <w:rPr>
          <w:rFonts w:hint="default" w:ascii="仿宋_GB2312" w:hAnsi="仿宋_GB2312" w:eastAsia="仿宋_GB2312" w:cs="仿宋_GB2312"/>
          <w:sz w:val="32"/>
          <w:szCs w:val="32"/>
          <w:lang w:val="en-US" w:eastAsia="zh-CN"/>
        </w:rPr>
        <w:t>《松材线虫病防治技术方案(202</w:t>
      </w: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lang w:val="en-US" w:eastAsia="zh-CN"/>
        </w:rPr>
        <w:t>年版)》</w:t>
      </w:r>
      <w:r>
        <w:rPr>
          <w:rFonts w:hint="eastAsia" w:ascii="仿宋_GB2312" w:hAnsi="仿宋_GB2312" w:eastAsia="仿宋_GB2312" w:cs="仿宋_GB2312"/>
          <w:sz w:val="32"/>
          <w:szCs w:val="32"/>
          <w:lang w:val="en-US" w:eastAsia="zh-CN"/>
        </w:rPr>
        <w:t>技术</w:t>
      </w:r>
      <w:r>
        <w:rPr>
          <w:rFonts w:hint="default" w:ascii="仿宋_GB2312" w:hAnsi="仿宋_GB2312" w:eastAsia="仿宋_GB2312" w:cs="仿宋_GB2312"/>
          <w:sz w:val="32"/>
          <w:szCs w:val="32"/>
          <w:lang w:val="en-US" w:eastAsia="zh-CN"/>
        </w:rPr>
        <w:t>规</w:t>
      </w:r>
      <w:r>
        <w:rPr>
          <w:rFonts w:hint="eastAsia" w:ascii="仿宋_GB2312" w:hAnsi="仿宋_GB2312" w:eastAsia="仿宋_GB2312" w:cs="仿宋_GB2312"/>
          <w:sz w:val="32"/>
          <w:szCs w:val="32"/>
          <w:lang w:val="en-US" w:eastAsia="zh-CN"/>
        </w:rPr>
        <w:t>程要求，组织林业技术人员和乡村护林员，对未发生疫情、已实现无疫情的松林和散生松树进行常年监测，一般2—3个月至少监测一遍。电网和通信线路沿线，通信基站、公路、铁路等建设工程施工区域和城区周边等人为活动密集区域附近，木材集散地周边，以及疫区毗邻地区等风险高的重点区域，应加大监测频次。疫木集中除治期间，日常监测工作与其他相关工作统筹开展。监测中发现松树枯死、松针变色等异常情况，及时报送区林业局。</w:t>
      </w:r>
    </w:p>
    <w:p w14:paraId="06FB63E7">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及时规范清理除治</w:t>
      </w:r>
    </w:p>
    <w:p w14:paraId="155AC06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各地要严格按照《松材线虫病疫区和疫木管理办法》《松材线虫病防治技术方案(202</w:t>
      </w: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lang w:val="en-US" w:eastAsia="zh-CN"/>
        </w:rPr>
        <w:t>年版)》</w:t>
      </w:r>
      <w:r>
        <w:rPr>
          <w:rFonts w:hint="eastAsia" w:ascii="仿宋_GB2312" w:hAnsi="仿宋_GB2312" w:eastAsia="仿宋_GB2312" w:cs="仿宋_GB2312"/>
          <w:sz w:val="32"/>
          <w:szCs w:val="32"/>
          <w:lang w:val="en-US" w:eastAsia="zh-CN"/>
        </w:rPr>
        <w:t>要求</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在</w:t>
      </w:r>
      <w:r>
        <w:rPr>
          <w:rFonts w:hint="eastAsia" w:ascii="仿宋_GB2312" w:hAnsi="仿宋" w:eastAsia="仿宋_GB2312" w:cs="仿宋"/>
          <w:kern w:val="2"/>
          <w:sz w:val="32"/>
          <w:szCs w:val="32"/>
          <w:lang w:eastAsia="zh-CN"/>
        </w:rPr>
        <w:t>202</w:t>
      </w:r>
      <w:r>
        <w:rPr>
          <w:rFonts w:hint="eastAsia" w:ascii="仿宋_GB2312" w:hAnsi="仿宋" w:eastAsia="仿宋_GB2312" w:cs="仿宋"/>
          <w:kern w:val="2"/>
          <w:sz w:val="32"/>
          <w:szCs w:val="32"/>
          <w:lang w:val="en-US" w:eastAsia="zh-CN"/>
        </w:rPr>
        <w:t>5</w:t>
      </w:r>
      <w:r>
        <w:rPr>
          <w:rFonts w:hint="eastAsia" w:ascii="仿宋_GB2312" w:hAnsi="仿宋" w:eastAsia="仿宋_GB2312" w:cs="仿宋"/>
          <w:kern w:val="2"/>
          <w:sz w:val="32"/>
          <w:szCs w:val="32"/>
          <w:lang w:eastAsia="zh-CN"/>
        </w:rPr>
        <w:t>年</w:t>
      </w:r>
      <w:r>
        <w:rPr>
          <w:rFonts w:hint="eastAsia" w:ascii="仿宋_GB2312" w:hAnsi="仿宋" w:eastAsia="仿宋_GB2312" w:cs="仿宋"/>
          <w:kern w:val="2"/>
          <w:sz w:val="32"/>
          <w:szCs w:val="32"/>
          <w:lang w:val="en-US" w:eastAsia="zh-CN"/>
        </w:rPr>
        <w:t>3</w:t>
      </w:r>
      <w:r>
        <w:rPr>
          <w:rFonts w:hint="eastAsia" w:ascii="仿宋_GB2312" w:hAnsi="仿宋" w:eastAsia="仿宋_GB2312" w:cs="仿宋"/>
          <w:kern w:val="2"/>
          <w:sz w:val="32"/>
          <w:szCs w:val="32"/>
          <w:lang w:eastAsia="zh-CN"/>
        </w:rPr>
        <w:t>月底</w:t>
      </w:r>
      <w:r>
        <w:rPr>
          <w:rFonts w:hint="eastAsia" w:ascii="仿宋_GB2312" w:hAnsi="仿宋" w:eastAsia="仿宋_GB2312" w:cs="仿宋"/>
          <w:kern w:val="2"/>
          <w:sz w:val="32"/>
          <w:szCs w:val="32"/>
          <w:lang w:val="en-US" w:eastAsia="zh-CN"/>
        </w:rPr>
        <w:t>前，全面完成</w:t>
      </w:r>
      <w:r>
        <w:rPr>
          <w:rFonts w:hint="eastAsia" w:ascii="仿宋_GB2312" w:hAnsi="仿宋" w:eastAsia="仿宋_GB2312" w:cs="仿宋"/>
          <w:kern w:val="2"/>
          <w:sz w:val="32"/>
          <w:szCs w:val="32"/>
          <w:lang w:eastAsia="zh-CN"/>
        </w:rPr>
        <w:t>辖区内</w:t>
      </w:r>
      <w:r>
        <w:rPr>
          <w:rFonts w:hint="eastAsia" w:ascii="仿宋_GB2312" w:hAnsi="仿宋_GB2312" w:eastAsia="仿宋_GB2312" w:cs="仿宋_GB2312"/>
          <w:sz w:val="32"/>
          <w:szCs w:val="32"/>
          <w:lang w:val="en-US" w:eastAsia="zh-CN"/>
        </w:rPr>
        <w:t>疫情小班</w:t>
      </w:r>
      <w:r>
        <w:rPr>
          <w:rFonts w:hint="eastAsia" w:ascii="仿宋_GB2312" w:hAnsi="仿宋" w:eastAsia="仿宋_GB2312" w:cs="仿宋"/>
          <w:kern w:val="2"/>
          <w:sz w:val="32"/>
          <w:szCs w:val="32"/>
        </w:rPr>
        <w:t>病死</w:t>
      </w:r>
      <w:r>
        <w:rPr>
          <w:rFonts w:hint="eastAsia" w:ascii="仿宋_GB2312" w:hAnsi="仿宋" w:eastAsia="仿宋_GB2312" w:cs="仿宋"/>
          <w:kern w:val="2"/>
          <w:sz w:val="32"/>
          <w:szCs w:val="32"/>
          <w:lang w:val="en-US" w:eastAsia="zh-CN"/>
        </w:rPr>
        <w:t>松树和</w:t>
      </w:r>
      <w:r>
        <w:rPr>
          <w:rFonts w:hint="eastAsia" w:ascii="仿宋_GB2312" w:hAnsi="仿宋_GB2312" w:eastAsia="仿宋_GB2312" w:cs="仿宋_GB2312"/>
          <w:sz w:val="32"/>
          <w:szCs w:val="32"/>
          <w:lang w:val="en-US" w:eastAsia="zh-CN"/>
        </w:rPr>
        <w:t>非疫情小班</w:t>
      </w:r>
      <w:r>
        <w:rPr>
          <w:rFonts w:hint="eastAsia" w:ascii="仿宋_GB2312" w:hAnsi="仿宋" w:eastAsia="仿宋_GB2312" w:cs="仿宋"/>
          <w:kern w:val="2"/>
          <w:sz w:val="32"/>
          <w:szCs w:val="32"/>
          <w:lang w:eastAsia="zh-CN"/>
        </w:rPr>
        <w:t>枯死（濒死）</w:t>
      </w:r>
      <w:r>
        <w:rPr>
          <w:rFonts w:hint="eastAsia" w:ascii="仿宋_GB2312" w:hAnsi="仿宋" w:eastAsia="仿宋_GB2312" w:cs="仿宋"/>
          <w:kern w:val="2"/>
          <w:sz w:val="32"/>
          <w:szCs w:val="32"/>
        </w:rPr>
        <w:t>松树</w:t>
      </w:r>
      <w:r>
        <w:rPr>
          <w:rFonts w:hint="eastAsia" w:ascii="仿宋_GB2312" w:hAnsi="仿宋" w:eastAsia="仿宋_GB2312" w:cs="仿宋"/>
          <w:kern w:val="2"/>
          <w:sz w:val="32"/>
          <w:szCs w:val="32"/>
          <w:lang w:val="en-US" w:eastAsia="zh-CN"/>
        </w:rPr>
        <w:t>清理除治工作。非疫情小班重点加强交通要道沿线、风景名胜区、自然保护区、城镇周边等重要路段和重要区域内零星枯死（濒死）松树清理</w:t>
      </w:r>
      <w:r>
        <w:rPr>
          <w:rFonts w:hint="eastAsia" w:ascii="仿宋_GB2312" w:hAnsi="仿宋" w:eastAsia="仿宋_GB2312" w:cs="仿宋"/>
          <w:kern w:val="2"/>
          <w:sz w:val="32"/>
          <w:szCs w:val="32"/>
          <w:lang w:eastAsia="zh-CN"/>
        </w:rPr>
        <w:t>。</w:t>
      </w:r>
      <w:r>
        <w:rPr>
          <w:rFonts w:hint="eastAsia" w:ascii="仿宋_GB2312" w:hAnsi="仿宋" w:eastAsia="仿宋_GB2312" w:cs="仿宋"/>
          <w:kern w:val="2"/>
          <w:sz w:val="32"/>
          <w:szCs w:val="32"/>
          <w:lang w:val="en-US" w:eastAsia="zh-CN"/>
        </w:rPr>
        <w:t>采伐清理的</w:t>
      </w:r>
      <w:r>
        <w:rPr>
          <w:rFonts w:hint="eastAsia" w:ascii="仿宋_GB2312" w:hAnsi="仿宋" w:eastAsia="仿宋_GB2312" w:cs="仿宋"/>
          <w:kern w:val="2"/>
          <w:sz w:val="32"/>
          <w:szCs w:val="32"/>
        </w:rPr>
        <w:t>病死（濒死、枯死）松树</w:t>
      </w:r>
      <w:r>
        <w:rPr>
          <w:rFonts w:hint="eastAsia" w:ascii="仿宋_GB2312" w:hAnsi="仿宋" w:eastAsia="仿宋_GB2312" w:cs="仿宋"/>
          <w:kern w:val="2"/>
          <w:sz w:val="32"/>
          <w:szCs w:val="32"/>
          <w:lang w:val="en-US" w:eastAsia="zh-CN"/>
        </w:rPr>
        <w:t>一律视为松材线虫病疫木，</w:t>
      </w:r>
      <w:r>
        <w:rPr>
          <w:rFonts w:hint="default" w:ascii="仿宋_GB2312" w:hAnsi="仿宋_GB2312" w:eastAsia="仿宋_GB2312" w:cs="仿宋_GB2312"/>
          <w:sz w:val="32"/>
          <w:szCs w:val="32"/>
          <w:lang w:val="en-US" w:eastAsia="zh-CN"/>
        </w:rPr>
        <w:t>疫木以及1厘米以上的枝丫一律就地就近</w:t>
      </w:r>
      <w:r>
        <w:rPr>
          <w:rFonts w:hint="eastAsia" w:ascii="仿宋_GB2312" w:hAnsi="仿宋" w:eastAsia="仿宋_GB2312" w:cs="仿宋"/>
          <w:kern w:val="2"/>
          <w:sz w:val="32"/>
          <w:szCs w:val="32"/>
          <w:lang w:val="en-US" w:eastAsia="zh-CN"/>
        </w:rPr>
        <w:t>采取</w:t>
      </w:r>
      <w:r>
        <w:rPr>
          <w:rFonts w:hint="default" w:ascii="仿宋_GB2312" w:hAnsi="仿宋" w:eastAsia="仿宋_GB2312" w:cs="仿宋"/>
          <w:kern w:val="2"/>
          <w:sz w:val="32"/>
          <w:szCs w:val="32"/>
          <w:lang w:val="en-US" w:eastAsia="zh-CN"/>
        </w:rPr>
        <w:t>削片、粉碎</w:t>
      </w:r>
      <w:r>
        <w:rPr>
          <w:rFonts w:hint="eastAsia" w:ascii="仿宋_GB2312" w:hAnsi="仿宋" w:eastAsia="仿宋_GB2312" w:cs="仿宋"/>
          <w:kern w:val="2"/>
          <w:sz w:val="32"/>
          <w:szCs w:val="32"/>
          <w:lang w:val="en-US" w:eastAsia="zh-CN"/>
        </w:rPr>
        <w:t>、旋切</w:t>
      </w:r>
      <w:r>
        <w:rPr>
          <w:rFonts w:hint="eastAsia" w:ascii="仿宋_GB2312" w:hAnsi="仿宋_GB2312" w:eastAsia="仿宋_GB2312" w:cs="仿宋_GB2312"/>
          <w:sz w:val="32"/>
          <w:szCs w:val="32"/>
          <w:lang w:val="en-US" w:eastAsia="zh-CN"/>
        </w:rPr>
        <w:t>或</w:t>
      </w:r>
      <w:r>
        <w:rPr>
          <w:rFonts w:hint="default" w:ascii="仿宋_GB2312" w:hAnsi="仿宋_GB2312" w:eastAsia="仿宋_GB2312" w:cs="仿宋_GB2312"/>
          <w:sz w:val="32"/>
          <w:szCs w:val="32"/>
          <w:lang w:val="en-US" w:eastAsia="zh-CN"/>
        </w:rPr>
        <w:t>烧毁</w:t>
      </w:r>
      <w:r>
        <w:rPr>
          <w:rFonts w:hint="eastAsia" w:ascii="仿宋_GB2312" w:hAnsi="仿宋" w:eastAsia="仿宋_GB2312" w:cs="仿宋"/>
          <w:kern w:val="2"/>
          <w:sz w:val="32"/>
          <w:szCs w:val="32"/>
          <w:lang w:val="en-US" w:eastAsia="zh-CN"/>
        </w:rPr>
        <w:t>方式进行除害</w:t>
      </w:r>
      <w:r>
        <w:rPr>
          <w:rFonts w:hint="default" w:ascii="仿宋_GB2312" w:hAnsi="仿宋_GB2312" w:eastAsia="仿宋_GB2312" w:cs="仿宋_GB2312"/>
          <w:sz w:val="32"/>
          <w:szCs w:val="32"/>
          <w:lang w:val="en-US" w:eastAsia="zh-CN"/>
        </w:rPr>
        <w:t>处理</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山高坡陡、不通道路、</w:t>
      </w:r>
      <w:r>
        <w:rPr>
          <w:rFonts w:hint="eastAsia" w:ascii="仿宋_GB2312" w:hAnsi="仿宋_GB2312" w:eastAsia="仿宋_GB2312" w:cs="仿宋_GB2312"/>
          <w:sz w:val="32"/>
          <w:szCs w:val="32"/>
          <w:lang w:val="en-US" w:eastAsia="zh-CN"/>
        </w:rPr>
        <w:t>人迹罕至</w:t>
      </w:r>
      <w:r>
        <w:rPr>
          <w:rFonts w:hint="default" w:ascii="仿宋_GB2312" w:hAnsi="仿宋_GB2312" w:eastAsia="仿宋_GB2312" w:cs="仿宋_GB2312"/>
          <w:sz w:val="32"/>
          <w:szCs w:val="32"/>
          <w:lang w:val="en-US" w:eastAsia="zh-CN"/>
        </w:rPr>
        <w:t>，疫木不</w:t>
      </w:r>
      <w:r>
        <w:rPr>
          <w:rFonts w:hint="eastAsia" w:ascii="仿宋_GB2312" w:hAnsi="仿宋_GB2312" w:eastAsia="仿宋_GB2312" w:cs="仿宋_GB2312"/>
          <w:sz w:val="32"/>
          <w:szCs w:val="32"/>
          <w:lang w:val="en-US" w:eastAsia="zh-CN"/>
        </w:rPr>
        <w:t>具备</w:t>
      </w:r>
      <w:r>
        <w:rPr>
          <w:rFonts w:hint="default" w:ascii="仿宋_GB2312" w:hAnsi="仿宋_GB2312" w:eastAsia="仿宋_GB2312" w:cs="仿宋_GB2312"/>
          <w:sz w:val="32"/>
          <w:szCs w:val="32"/>
          <w:lang w:val="en-US" w:eastAsia="zh-CN"/>
        </w:rPr>
        <w:t>采取削片、</w:t>
      </w:r>
      <w:r>
        <w:rPr>
          <w:rFonts w:hint="eastAsia" w:ascii="仿宋_GB2312" w:hAnsi="仿宋_GB2312" w:eastAsia="仿宋_GB2312" w:cs="仿宋_GB2312"/>
          <w:sz w:val="32"/>
          <w:szCs w:val="32"/>
          <w:lang w:val="en-US" w:eastAsia="zh-CN"/>
        </w:rPr>
        <w:t>粉碎、旋切或</w:t>
      </w:r>
      <w:r>
        <w:rPr>
          <w:rFonts w:hint="default" w:ascii="仿宋_GB2312" w:hAnsi="仿宋_GB2312" w:eastAsia="仿宋_GB2312" w:cs="仿宋_GB2312"/>
          <w:sz w:val="32"/>
          <w:szCs w:val="32"/>
          <w:lang w:val="en-US" w:eastAsia="zh-CN"/>
        </w:rPr>
        <w:t>烧毁等</w:t>
      </w:r>
      <w:r>
        <w:rPr>
          <w:rFonts w:hint="eastAsia" w:ascii="仿宋_GB2312" w:hAnsi="仿宋_GB2312" w:eastAsia="仿宋_GB2312" w:cs="仿宋_GB2312"/>
          <w:sz w:val="32"/>
          <w:szCs w:val="32"/>
          <w:lang w:val="en-US" w:eastAsia="zh-CN"/>
        </w:rPr>
        <w:t>除害</w:t>
      </w:r>
      <w:r>
        <w:rPr>
          <w:rFonts w:hint="default" w:ascii="仿宋_GB2312" w:hAnsi="仿宋_GB2312" w:eastAsia="仿宋_GB2312" w:cs="仿宋_GB2312"/>
          <w:sz w:val="32"/>
          <w:szCs w:val="32"/>
          <w:lang w:val="en-US" w:eastAsia="zh-CN"/>
        </w:rPr>
        <w:t>处理</w:t>
      </w:r>
      <w:r>
        <w:rPr>
          <w:rFonts w:hint="eastAsia" w:ascii="仿宋_GB2312" w:hAnsi="仿宋_GB2312" w:eastAsia="仿宋_GB2312" w:cs="仿宋_GB2312"/>
          <w:sz w:val="32"/>
          <w:szCs w:val="32"/>
          <w:lang w:val="en-US" w:eastAsia="zh-CN"/>
        </w:rPr>
        <w:t>条件</w:t>
      </w:r>
      <w:r>
        <w:rPr>
          <w:rFonts w:hint="default"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lang w:val="en-US" w:eastAsia="zh-CN"/>
        </w:rPr>
        <w:t>疫情除治区域</w:t>
      </w:r>
      <w:r>
        <w:rPr>
          <w:rFonts w:hint="default" w:ascii="仿宋_GB2312" w:hAnsi="仿宋_GB2312" w:eastAsia="仿宋_GB2312" w:cs="仿宋_GB2312"/>
          <w:sz w:val="32"/>
          <w:szCs w:val="32"/>
          <w:lang w:val="en-US" w:eastAsia="zh-CN"/>
        </w:rPr>
        <w:t>，可以使用钢丝网罩处理。伐桩高度不得超过5厘米，</w:t>
      </w:r>
      <w:r>
        <w:rPr>
          <w:rFonts w:hint="eastAsia" w:ascii="仿宋_GB2312" w:hAnsi="仿宋_GB2312" w:eastAsia="仿宋_GB2312" w:cs="仿宋_GB2312"/>
          <w:sz w:val="32"/>
          <w:szCs w:val="32"/>
          <w:lang w:val="en-US" w:eastAsia="zh-CN"/>
        </w:rPr>
        <w:t>清理除治的山场不得残留疫木和直径1厘米以上松树枝丫。</w:t>
      </w:r>
    </w:p>
    <w:p w14:paraId="265366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牛头山镇、殷汇镇、牌楼镇原疫情小班内清理的枯死（濒死）松树伐桩，一律要求采取钢丝网罩方式进行处理。钢丝网要符合</w:t>
      </w:r>
      <w:r>
        <w:rPr>
          <w:rFonts w:hint="default" w:ascii="仿宋_GB2312" w:hAnsi="仿宋_GB2312" w:eastAsia="仿宋_GB2312" w:cs="仿宋_GB2312"/>
          <w:sz w:val="32"/>
          <w:szCs w:val="32"/>
          <w:lang w:val="en-US" w:eastAsia="zh-CN"/>
        </w:rPr>
        <w:t>《松材线虫病防治技术方案(202</w:t>
      </w: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lang w:val="en-US" w:eastAsia="zh-CN"/>
        </w:rPr>
        <w:t>年版)》</w:t>
      </w:r>
      <w:r>
        <w:rPr>
          <w:rFonts w:hint="eastAsia" w:ascii="仿宋_GB2312" w:hAnsi="仿宋_GB2312" w:eastAsia="仿宋_GB2312" w:cs="仿宋_GB2312"/>
          <w:sz w:val="32"/>
          <w:szCs w:val="32"/>
          <w:lang w:val="en-US" w:eastAsia="zh-CN"/>
        </w:rPr>
        <w:t>中相关规定要求。</w:t>
      </w:r>
    </w:p>
    <w:p w14:paraId="4BBE6E85">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加强疫木监管</w:t>
      </w:r>
    </w:p>
    <w:p w14:paraId="368F1BEC">
      <w:pPr>
        <w:keepNext w:val="0"/>
        <w:keepLines w:val="0"/>
        <w:pageBreakBefore w:val="0"/>
        <w:widowControl w:val="0"/>
        <w:kinsoku/>
        <w:wordWrap/>
        <w:overflowPunct/>
        <w:topLinePunct w:val="0"/>
        <w:autoSpaceDE/>
        <w:autoSpaceDN/>
        <w:bidi w:val="0"/>
        <w:adjustRightInd/>
        <w:snapToGrid/>
        <w:spacing w:after="0" w:line="600" w:lineRule="exact"/>
        <w:ind w:firstLine="570"/>
        <w:jc w:val="both"/>
        <w:textAlignment w:val="auto"/>
        <w:rPr>
          <w:rFonts w:hint="eastAsia" w:ascii="仿宋_GB2312" w:hAnsi="仿宋" w:eastAsia="仿宋_GB2312" w:cs="仿宋"/>
          <w:kern w:val="2"/>
          <w:sz w:val="32"/>
          <w:szCs w:val="32"/>
          <w:lang w:val="en-US" w:eastAsia="zh-CN"/>
        </w:rPr>
      </w:pPr>
      <w:r>
        <w:rPr>
          <w:rFonts w:hint="eastAsia" w:ascii="仿宋_GB2312" w:hAnsi="仿宋" w:eastAsia="仿宋_GB2312" w:cs="仿宋"/>
          <w:kern w:val="2"/>
          <w:sz w:val="32"/>
          <w:szCs w:val="32"/>
          <w:lang w:val="en-US" w:eastAsia="zh-CN"/>
        </w:rPr>
        <w:t>各地和有关部门要</w:t>
      </w:r>
      <w:r>
        <w:rPr>
          <w:rFonts w:hint="eastAsia" w:ascii="仿宋_GB2312" w:hAnsi="仿宋" w:eastAsia="仿宋_GB2312" w:cs="仿宋"/>
          <w:kern w:val="2"/>
          <w:sz w:val="32"/>
          <w:szCs w:val="32"/>
        </w:rPr>
        <w:t>严格落实疫木源头管理，切实把疫木清理现场监管制度落细落实，将监管责任落实到具体的人和山头地块。</w:t>
      </w:r>
      <w:r>
        <w:rPr>
          <w:rFonts w:hint="eastAsia" w:ascii="仿宋_GB2312" w:hAnsi="仿宋" w:eastAsia="仿宋_GB2312" w:cs="仿宋"/>
          <w:kern w:val="2"/>
          <w:sz w:val="32"/>
          <w:szCs w:val="32"/>
          <w:lang w:val="en-US" w:eastAsia="zh-CN"/>
        </w:rPr>
        <w:t>各地要定期排查</w:t>
      </w:r>
      <w:r>
        <w:rPr>
          <w:rFonts w:hint="eastAsia" w:ascii="仿宋_GB2312" w:hAnsi="仿宋" w:eastAsia="仿宋_GB2312" w:cs="仿宋"/>
          <w:kern w:val="2"/>
          <w:sz w:val="32"/>
          <w:szCs w:val="32"/>
        </w:rPr>
        <w:t>居民房前屋后松木、</w:t>
      </w:r>
      <w:r>
        <w:rPr>
          <w:rFonts w:hint="eastAsia" w:ascii="仿宋_GB2312" w:hAnsi="仿宋" w:eastAsia="仿宋_GB2312" w:cs="仿宋"/>
          <w:kern w:val="2"/>
          <w:sz w:val="32"/>
          <w:szCs w:val="32"/>
          <w:lang w:eastAsia="zh-CN"/>
        </w:rPr>
        <w:t>枝丫</w:t>
      </w:r>
      <w:r>
        <w:rPr>
          <w:rFonts w:hint="eastAsia" w:ascii="仿宋_GB2312" w:hAnsi="仿宋" w:eastAsia="仿宋_GB2312" w:cs="仿宋"/>
          <w:kern w:val="2"/>
          <w:sz w:val="32"/>
          <w:szCs w:val="32"/>
        </w:rPr>
        <w:t>收集堆放现象</w:t>
      </w:r>
      <w:r>
        <w:rPr>
          <w:rFonts w:hint="eastAsia" w:ascii="仿宋_GB2312" w:hAnsi="仿宋" w:eastAsia="仿宋_GB2312" w:cs="仿宋"/>
          <w:kern w:val="2"/>
          <w:sz w:val="32"/>
          <w:szCs w:val="32"/>
          <w:lang w:val="en-US" w:eastAsia="zh-CN"/>
        </w:rPr>
        <w:t>,</w:t>
      </w:r>
      <w:r>
        <w:rPr>
          <w:rFonts w:hint="eastAsia" w:ascii="仿宋_GB2312" w:hAnsi="仿宋" w:eastAsia="仿宋_GB2312" w:cs="仿宋"/>
          <w:kern w:val="2"/>
          <w:sz w:val="32"/>
          <w:szCs w:val="32"/>
        </w:rPr>
        <w:t>全面阻断疫情人为传播</w:t>
      </w:r>
      <w:r>
        <w:rPr>
          <w:rFonts w:hint="eastAsia" w:ascii="仿宋_GB2312" w:hAnsi="仿宋" w:eastAsia="仿宋_GB2312" w:cs="仿宋"/>
          <w:kern w:val="2"/>
          <w:sz w:val="32"/>
          <w:szCs w:val="32"/>
          <w:lang w:val="en-US" w:eastAsia="zh-CN"/>
        </w:rPr>
        <w:t>途径</w:t>
      </w:r>
      <w:r>
        <w:rPr>
          <w:rFonts w:hint="eastAsia" w:ascii="仿宋_GB2312" w:hAnsi="仿宋" w:eastAsia="仿宋_GB2312" w:cs="仿宋"/>
          <w:kern w:val="2"/>
          <w:sz w:val="32"/>
          <w:szCs w:val="32"/>
        </w:rPr>
        <w:t>。实行疫木除害处理全过程监管和资料存档，严防疫木流失，确保除治效果。</w:t>
      </w:r>
      <w:r>
        <w:rPr>
          <w:rFonts w:hint="eastAsia" w:ascii="仿宋_GB2312" w:hAnsi="仿宋" w:eastAsia="仿宋_GB2312" w:cs="仿宋"/>
          <w:kern w:val="2"/>
          <w:sz w:val="32"/>
          <w:szCs w:val="32"/>
          <w:lang w:val="en-US" w:eastAsia="zh-CN"/>
        </w:rPr>
        <w:t>定期开展检疫</w:t>
      </w:r>
      <w:r>
        <w:rPr>
          <w:rFonts w:hint="eastAsia" w:ascii="仿宋_GB2312" w:hAnsi="仿宋" w:eastAsia="仿宋_GB2312" w:cs="仿宋"/>
          <w:kern w:val="2"/>
          <w:sz w:val="32"/>
          <w:szCs w:val="32"/>
        </w:rPr>
        <w:t>执法</w:t>
      </w:r>
      <w:r>
        <w:rPr>
          <w:rFonts w:hint="eastAsia" w:ascii="仿宋_GB2312" w:hAnsi="仿宋" w:eastAsia="仿宋_GB2312" w:cs="仿宋"/>
          <w:kern w:val="2"/>
          <w:sz w:val="32"/>
          <w:szCs w:val="32"/>
          <w:lang w:val="en-US" w:eastAsia="zh-CN"/>
        </w:rPr>
        <w:t>检查</w:t>
      </w:r>
      <w:r>
        <w:rPr>
          <w:rFonts w:hint="eastAsia" w:ascii="仿宋_GB2312" w:hAnsi="仿宋" w:eastAsia="仿宋_GB2312" w:cs="仿宋"/>
          <w:kern w:val="2"/>
          <w:sz w:val="32"/>
          <w:szCs w:val="32"/>
        </w:rPr>
        <w:t>，强化流通领域疫木监管</w:t>
      </w:r>
      <w:r>
        <w:rPr>
          <w:rFonts w:hint="eastAsia" w:ascii="仿宋_GB2312" w:hAnsi="仿宋" w:eastAsia="仿宋_GB2312" w:cs="仿宋"/>
          <w:kern w:val="2"/>
          <w:sz w:val="32"/>
          <w:szCs w:val="32"/>
          <w:lang w:eastAsia="zh-CN"/>
        </w:rPr>
        <w:t>。</w:t>
      </w:r>
      <w:r>
        <w:rPr>
          <w:rFonts w:hint="eastAsia" w:ascii="仿宋_GB2312" w:hAnsi="仿宋" w:eastAsia="仿宋_GB2312" w:cs="仿宋"/>
          <w:kern w:val="2"/>
          <w:sz w:val="32"/>
          <w:szCs w:val="32"/>
          <w:lang w:val="en-US" w:eastAsia="zh-CN"/>
        </w:rPr>
        <w:t>非疫木定点加工企业等不具备疫木除治资质条件的单位或个人一律不允许经营、加工、利用疫木，</w:t>
      </w:r>
      <w:r>
        <w:rPr>
          <w:rFonts w:hint="eastAsia" w:ascii="仿宋_GB2312" w:hAnsi="仿宋" w:eastAsia="仿宋_GB2312" w:cs="仿宋"/>
          <w:kern w:val="2"/>
          <w:sz w:val="32"/>
          <w:szCs w:val="32"/>
        </w:rPr>
        <w:t>严厉打击</w:t>
      </w:r>
      <w:r>
        <w:rPr>
          <w:rFonts w:hint="eastAsia" w:ascii="仿宋_GB2312" w:hAnsi="仿宋" w:eastAsia="仿宋_GB2312" w:cs="仿宋"/>
          <w:kern w:val="2"/>
          <w:sz w:val="32"/>
          <w:szCs w:val="32"/>
          <w:lang w:val="en-US" w:eastAsia="zh-CN"/>
        </w:rPr>
        <w:t>违</w:t>
      </w:r>
      <w:r>
        <w:rPr>
          <w:rFonts w:hint="eastAsia" w:ascii="仿宋_GB2312" w:hAnsi="仿宋" w:eastAsia="仿宋_GB2312" w:cs="仿宋"/>
          <w:kern w:val="2"/>
          <w:sz w:val="32"/>
          <w:szCs w:val="32"/>
        </w:rPr>
        <w:t>法采伐、收购、运输、经营</w:t>
      </w:r>
      <w:r>
        <w:rPr>
          <w:rFonts w:hint="eastAsia" w:ascii="仿宋_GB2312" w:hAnsi="仿宋" w:eastAsia="仿宋_GB2312" w:cs="仿宋"/>
          <w:kern w:val="2"/>
          <w:sz w:val="32"/>
          <w:szCs w:val="32"/>
          <w:lang w:eastAsia="zh-CN"/>
        </w:rPr>
        <w:t>、</w:t>
      </w:r>
      <w:r>
        <w:rPr>
          <w:rFonts w:hint="eastAsia" w:ascii="仿宋_GB2312" w:hAnsi="仿宋" w:eastAsia="仿宋_GB2312" w:cs="仿宋"/>
          <w:kern w:val="2"/>
          <w:sz w:val="32"/>
          <w:szCs w:val="32"/>
        </w:rPr>
        <w:t>加工</w:t>
      </w:r>
      <w:r>
        <w:rPr>
          <w:rFonts w:hint="eastAsia" w:ascii="仿宋_GB2312" w:hAnsi="仿宋" w:eastAsia="仿宋_GB2312" w:cs="仿宋"/>
          <w:kern w:val="2"/>
          <w:sz w:val="32"/>
          <w:szCs w:val="32"/>
          <w:lang w:eastAsia="zh-CN"/>
        </w:rPr>
        <w:t>、</w:t>
      </w:r>
      <w:r>
        <w:rPr>
          <w:rFonts w:hint="eastAsia" w:ascii="仿宋_GB2312" w:hAnsi="仿宋" w:eastAsia="仿宋_GB2312" w:cs="仿宋"/>
          <w:kern w:val="2"/>
          <w:sz w:val="32"/>
          <w:szCs w:val="32"/>
          <w:lang w:val="en-US" w:eastAsia="zh-CN"/>
        </w:rPr>
        <w:t>利用、使用</w:t>
      </w:r>
      <w:r>
        <w:rPr>
          <w:rFonts w:hint="eastAsia" w:ascii="仿宋_GB2312" w:hAnsi="仿宋" w:eastAsia="仿宋_GB2312" w:cs="仿宋"/>
          <w:kern w:val="2"/>
          <w:sz w:val="32"/>
          <w:szCs w:val="32"/>
        </w:rPr>
        <w:t>疫木及其制品等行为</w:t>
      </w:r>
      <w:r>
        <w:rPr>
          <w:rFonts w:hint="eastAsia" w:ascii="仿宋_GB2312" w:hAnsi="仿宋" w:eastAsia="仿宋_GB2312" w:cs="仿宋"/>
          <w:kern w:val="2"/>
          <w:sz w:val="32"/>
          <w:szCs w:val="32"/>
          <w:lang w:val="en-US" w:eastAsia="zh-CN"/>
        </w:rPr>
        <w:t>。疫木定点加工企业要严格按照</w:t>
      </w:r>
      <w:r>
        <w:rPr>
          <w:rFonts w:hint="default" w:ascii="仿宋_GB2312" w:hAnsi="宋体" w:eastAsia="仿宋_GB2312" w:cs="Times New Roman"/>
          <w:sz w:val="32"/>
          <w:szCs w:val="32"/>
          <w:lang w:eastAsia="zh-CN"/>
        </w:rPr>
        <w:t>《松材线虫病疫区和疫木管理办法》</w:t>
      </w:r>
      <w:r>
        <w:rPr>
          <w:rFonts w:hint="eastAsia" w:ascii="仿宋_GB2312" w:hAnsi="宋体" w:eastAsia="仿宋_GB2312" w:cs="Times New Roman"/>
          <w:sz w:val="32"/>
          <w:szCs w:val="32"/>
          <w:lang w:val="en-US" w:eastAsia="zh-CN"/>
        </w:rPr>
        <w:t>规定，规范经营、加工、利用、使用疫木及其制品</w:t>
      </w:r>
      <w:r>
        <w:rPr>
          <w:rFonts w:hint="eastAsia" w:ascii="仿宋_GB2312" w:hAnsi="仿宋" w:eastAsia="仿宋_GB2312" w:cs="仿宋"/>
          <w:kern w:val="2"/>
          <w:sz w:val="32"/>
          <w:szCs w:val="32"/>
          <w:lang w:eastAsia="zh-CN"/>
        </w:rPr>
        <w:t>。</w:t>
      </w:r>
    </w:p>
    <w:p w14:paraId="2F695380">
      <w:pPr>
        <w:keepNext w:val="0"/>
        <w:keepLines w:val="0"/>
        <w:pageBreakBefore w:val="0"/>
        <w:widowControl w:val="0"/>
        <w:kinsoku/>
        <w:wordWrap/>
        <w:overflowPunct/>
        <w:topLinePunct w:val="0"/>
        <w:autoSpaceDE/>
        <w:autoSpaceDN/>
        <w:bidi w:val="0"/>
        <w:adjustRightInd/>
        <w:snapToGrid/>
        <w:spacing w:after="0" w:line="600" w:lineRule="exact"/>
        <w:ind w:firstLine="570"/>
        <w:jc w:val="both"/>
        <w:textAlignment w:val="auto"/>
        <w:rPr>
          <w:rFonts w:hint="eastAsia" w:ascii="仿宋_GB2312" w:hAnsi="仿宋" w:eastAsia="仿宋_GB2312" w:cs="仿宋"/>
          <w:kern w:val="2"/>
          <w:sz w:val="32"/>
          <w:szCs w:val="32"/>
          <w:lang w:val="en-US" w:eastAsia="zh-CN"/>
        </w:rPr>
      </w:pPr>
    </w:p>
    <w:p w14:paraId="707E1F26">
      <w:pPr>
        <w:keepNext w:val="0"/>
        <w:keepLines w:val="0"/>
        <w:pageBreakBefore w:val="0"/>
        <w:widowControl w:val="0"/>
        <w:kinsoku/>
        <w:wordWrap/>
        <w:overflowPunct/>
        <w:topLinePunct w:val="0"/>
        <w:autoSpaceDE/>
        <w:autoSpaceDN/>
        <w:bidi w:val="0"/>
        <w:adjustRightInd/>
        <w:snapToGrid/>
        <w:spacing w:after="0" w:line="600" w:lineRule="exact"/>
        <w:ind w:firstLine="570"/>
        <w:jc w:val="both"/>
        <w:textAlignment w:val="auto"/>
        <w:rPr>
          <w:rFonts w:hint="eastAsia" w:ascii="仿宋_GB2312" w:hAnsi="仿宋" w:eastAsia="仿宋_GB2312" w:cs="仿宋"/>
          <w:kern w:val="2"/>
          <w:sz w:val="32"/>
          <w:szCs w:val="32"/>
          <w:lang w:val="en-US" w:eastAsia="zh-CN"/>
        </w:rPr>
      </w:pPr>
    </w:p>
    <w:p w14:paraId="5D4CB249">
      <w:pPr>
        <w:pStyle w:val="2"/>
        <w:keepNext w:val="0"/>
        <w:keepLines w:val="0"/>
        <w:pageBreakBefore w:val="0"/>
        <w:widowControl w:val="0"/>
        <w:kinsoku/>
        <w:overflowPunct/>
        <w:topLinePunct w:val="0"/>
        <w:autoSpaceDE/>
        <w:autoSpaceDN/>
        <w:bidi w:val="0"/>
        <w:adjustRightInd/>
        <w:snapToGrid/>
        <w:spacing w:line="600" w:lineRule="exact"/>
        <w:textAlignment w:val="auto"/>
        <w:rPr>
          <w:rFonts w:hint="eastAsia"/>
          <w:lang w:val="en-US" w:eastAsia="zh-CN"/>
        </w:rPr>
      </w:pPr>
    </w:p>
    <w:p w14:paraId="26F07BB6">
      <w:pPr>
        <w:keepNext w:val="0"/>
        <w:keepLines w:val="0"/>
        <w:pageBreakBefore w:val="0"/>
        <w:widowControl w:val="0"/>
        <w:kinsoku/>
        <w:wordWrap w:val="0"/>
        <w:overflowPunct/>
        <w:topLinePunct w:val="0"/>
        <w:autoSpaceDE/>
        <w:autoSpaceDN/>
        <w:bidi w:val="0"/>
        <w:adjustRightInd/>
        <w:snapToGrid/>
        <w:spacing w:line="600" w:lineRule="exact"/>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池州市贵池区</w:t>
      </w:r>
      <w:r>
        <w:rPr>
          <w:rFonts w:hint="eastAsia" w:ascii="仿宋_GB2312" w:hAnsi="仿宋_GB2312" w:eastAsia="仿宋_GB2312" w:cs="仿宋_GB2312"/>
          <w:sz w:val="32"/>
          <w:szCs w:val="32"/>
          <w:lang w:val="en-US" w:eastAsia="zh-CN"/>
        </w:rPr>
        <w:t xml:space="preserve">林业局  </w:t>
      </w:r>
    </w:p>
    <w:p w14:paraId="4B8ED95D">
      <w:pPr>
        <w:keepNext w:val="0"/>
        <w:keepLines w:val="0"/>
        <w:pageBreakBefore w:val="0"/>
        <w:widowControl w:val="0"/>
        <w:kinsoku/>
        <w:wordWrap w:val="0"/>
        <w:overflowPunct/>
        <w:topLinePunct w:val="0"/>
        <w:autoSpaceDE/>
        <w:autoSpaceDN/>
        <w:bidi w:val="0"/>
        <w:adjustRightInd/>
        <w:snapToGrid/>
        <w:spacing w:after="0" w:line="600" w:lineRule="exact"/>
        <w:ind w:firstLine="4067" w:firstLineChars="1271"/>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月</w:t>
      </w:r>
      <w:r>
        <w:rPr>
          <w:rFonts w:hint="eastAsia" w:ascii="仿宋_GB2312" w:hAnsi="仿宋_GB2312" w:eastAsia="仿宋_GB2312" w:cs="仿宋_GB2312"/>
          <w:sz w:val="32"/>
          <w:szCs w:val="32"/>
          <w:lang w:val="en-US" w:eastAsia="zh-CN"/>
        </w:rPr>
        <w:t>17</w:t>
      </w:r>
      <w:r>
        <w:rPr>
          <w:rFonts w:hint="eastAsia" w:ascii="仿宋_GB2312" w:hAnsi="仿宋_GB2312" w:eastAsia="仿宋_GB2312" w:cs="仿宋_GB2312"/>
          <w:sz w:val="32"/>
          <w:szCs w:val="32"/>
          <w:lang w:eastAsia="zh-CN"/>
        </w:rPr>
        <w:t>日</w:t>
      </w:r>
      <w:r>
        <w:rPr>
          <w:rFonts w:hint="eastAsia" w:ascii="仿宋_GB2312" w:hAnsi="仿宋_GB2312" w:eastAsia="仿宋_GB2312" w:cs="仿宋_GB2312"/>
          <w:sz w:val="32"/>
          <w:szCs w:val="32"/>
          <w:lang w:val="en-US" w:eastAsia="zh-CN"/>
        </w:rPr>
        <w:t xml:space="preserve">   </w:t>
      </w:r>
    </w:p>
    <w:p w14:paraId="2215579E">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1C9F1913">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60A6F328">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1691519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1CDEA7D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080D160C">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730B3FE5">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p>
    <w:p w14:paraId="0C9CADCC">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抄  报：市林业局、区政府</w:t>
      </w:r>
    </w:p>
    <w:p w14:paraId="346786A0">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抄  送：各林业站</w:t>
      </w:r>
    </w:p>
    <w:sectPr>
      <w:footerReference r:id="rId3" w:type="default"/>
      <w:pgSz w:w="11906" w:h="16838"/>
      <w:pgMar w:top="1723" w:right="1800" w:bottom="1497" w:left="1800"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C0BAC">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18749D">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18749D">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F1CDB6"/>
    <w:multiLevelType w:val="singleLevel"/>
    <w:tmpl w:val="5DF1CDB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1MWE3YTg0NDQ0YzA5MWFiYjI3MGM4NTI5YmY1MTUifQ=="/>
  </w:docVars>
  <w:rsids>
    <w:rsidRoot w:val="0C9717E1"/>
    <w:rsid w:val="013637D1"/>
    <w:rsid w:val="01BA7147"/>
    <w:rsid w:val="01ED4EBF"/>
    <w:rsid w:val="023E3A16"/>
    <w:rsid w:val="025B1C52"/>
    <w:rsid w:val="030516AD"/>
    <w:rsid w:val="034F2928"/>
    <w:rsid w:val="03866039"/>
    <w:rsid w:val="043B10FF"/>
    <w:rsid w:val="04776383"/>
    <w:rsid w:val="04AE4088"/>
    <w:rsid w:val="058D7738"/>
    <w:rsid w:val="05972365"/>
    <w:rsid w:val="062B1CFE"/>
    <w:rsid w:val="066927C8"/>
    <w:rsid w:val="067E2CFF"/>
    <w:rsid w:val="07611B9C"/>
    <w:rsid w:val="08BD0334"/>
    <w:rsid w:val="08F724F0"/>
    <w:rsid w:val="098D5F59"/>
    <w:rsid w:val="09AB78FB"/>
    <w:rsid w:val="09DA1ED2"/>
    <w:rsid w:val="09DF68E3"/>
    <w:rsid w:val="09EA6F07"/>
    <w:rsid w:val="09F55727"/>
    <w:rsid w:val="0A1C2E55"/>
    <w:rsid w:val="0A870606"/>
    <w:rsid w:val="0B13562F"/>
    <w:rsid w:val="0B7D1FFD"/>
    <w:rsid w:val="0C1F4AE7"/>
    <w:rsid w:val="0C9717E1"/>
    <w:rsid w:val="0CEC568C"/>
    <w:rsid w:val="0CFD0E3E"/>
    <w:rsid w:val="0D396D82"/>
    <w:rsid w:val="0DA0500B"/>
    <w:rsid w:val="0DD4230C"/>
    <w:rsid w:val="0DEB76F2"/>
    <w:rsid w:val="0E4C5449"/>
    <w:rsid w:val="0E6848C8"/>
    <w:rsid w:val="0EB9334C"/>
    <w:rsid w:val="0EDD6C59"/>
    <w:rsid w:val="0EFD09D9"/>
    <w:rsid w:val="0F647F1C"/>
    <w:rsid w:val="10562895"/>
    <w:rsid w:val="10E570DF"/>
    <w:rsid w:val="110A1970"/>
    <w:rsid w:val="115630D4"/>
    <w:rsid w:val="1159490B"/>
    <w:rsid w:val="12753A2E"/>
    <w:rsid w:val="128D0D77"/>
    <w:rsid w:val="130628F6"/>
    <w:rsid w:val="13C46A1B"/>
    <w:rsid w:val="14550A6E"/>
    <w:rsid w:val="14B51ED7"/>
    <w:rsid w:val="15115C90"/>
    <w:rsid w:val="15396F84"/>
    <w:rsid w:val="153B73D4"/>
    <w:rsid w:val="15787ABD"/>
    <w:rsid w:val="16201F02"/>
    <w:rsid w:val="162A0C4B"/>
    <w:rsid w:val="17127A9D"/>
    <w:rsid w:val="18A1571B"/>
    <w:rsid w:val="18DD33A6"/>
    <w:rsid w:val="197113F3"/>
    <w:rsid w:val="19D071CC"/>
    <w:rsid w:val="1A0D76C1"/>
    <w:rsid w:val="1B4D5C29"/>
    <w:rsid w:val="1C243530"/>
    <w:rsid w:val="1C2619BF"/>
    <w:rsid w:val="1C295FB5"/>
    <w:rsid w:val="1C450915"/>
    <w:rsid w:val="1D37200B"/>
    <w:rsid w:val="1E942AC0"/>
    <w:rsid w:val="1F114ADE"/>
    <w:rsid w:val="1F3F33F9"/>
    <w:rsid w:val="1F576995"/>
    <w:rsid w:val="1F784B5D"/>
    <w:rsid w:val="1F7D4B2B"/>
    <w:rsid w:val="2110329F"/>
    <w:rsid w:val="2126254C"/>
    <w:rsid w:val="21466CC1"/>
    <w:rsid w:val="21530BB8"/>
    <w:rsid w:val="21A165ED"/>
    <w:rsid w:val="2230171F"/>
    <w:rsid w:val="22504F86"/>
    <w:rsid w:val="237A5348"/>
    <w:rsid w:val="23A210F0"/>
    <w:rsid w:val="25137417"/>
    <w:rsid w:val="251B2213"/>
    <w:rsid w:val="25FA62CC"/>
    <w:rsid w:val="2681079B"/>
    <w:rsid w:val="290B7593"/>
    <w:rsid w:val="295C2DFA"/>
    <w:rsid w:val="295E35D7"/>
    <w:rsid w:val="298136C7"/>
    <w:rsid w:val="29FB2613"/>
    <w:rsid w:val="2B513F55"/>
    <w:rsid w:val="2B710DDE"/>
    <w:rsid w:val="2B921060"/>
    <w:rsid w:val="2BE2738B"/>
    <w:rsid w:val="2C230973"/>
    <w:rsid w:val="2C5E04DB"/>
    <w:rsid w:val="2CB90C8F"/>
    <w:rsid w:val="2CD560DC"/>
    <w:rsid w:val="2D5F4DF5"/>
    <w:rsid w:val="2DFE26D1"/>
    <w:rsid w:val="2E1369CC"/>
    <w:rsid w:val="2E7A1083"/>
    <w:rsid w:val="2F947791"/>
    <w:rsid w:val="308B2942"/>
    <w:rsid w:val="30EF46A8"/>
    <w:rsid w:val="31132938"/>
    <w:rsid w:val="31307046"/>
    <w:rsid w:val="336B6E3C"/>
    <w:rsid w:val="33C10429"/>
    <w:rsid w:val="34283B7B"/>
    <w:rsid w:val="342E4392"/>
    <w:rsid w:val="354B1863"/>
    <w:rsid w:val="35FB1282"/>
    <w:rsid w:val="36B6623F"/>
    <w:rsid w:val="36F72798"/>
    <w:rsid w:val="370B380F"/>
    <w:rsid w:val="37256F21"/>
    <w:rsid w:val="37490E61"/>
    <w:rsid w:val="37D7753B"/>
    <w:rsid w:val="37F60FE9"/>
    <w:rsid w:val="385775AE"/>
    <w:rsid w:val="385E4900"/>
    <w:rsid w:val="38C369F1"/>
    <w:rsid w:val="3A6B7E07"/>
    <w:rsid w:val="3AE6113C"/>
    <w:rsid w:val="3AFB6916"/>
    <w:rsid w:val="3B2F16B7"/>
    <w:rsid w:val="3B585B17"/>
    <w:rsid w:val="3C6D73A0"/>
    <w:rsid w:val="3C925059"/>
    <w:rsid w:val="3D962926"/>
    <w:rsid w:val="3DDD0555"/>
    <w:rsid w:val="3F443883"/>
    <w:rsid w:val="3FE21E53"/>
    <w:rsid w:val="3FEE29B5"/>
    <w:rsid w:val="40094FB8"/>
    <w:rsid w:val="40532D51"/>
    <w:rsid w:val="40ED65F8"/>
    <w:rsid w:val="412D2AD6"/>
    <w:rsid w:val="41A1392E"/>
    <w:rsid w:val="41B45389"/>
    <w:rsid w:val="41C31810"/>
    <w:rsid w:val="41F45E6E"/>
    <w:rsid w:val="424B1F31"/>
    <w:rsid w:val="42A550AF"/>
    <w:rsid w:val="434C4642"/>
    <w:rsid w:val="43925C61"/>
    <w:rsid w:val="444E7AB7"/>
    <w:rsid w:val="44DA20FE"/>
    <w:rsid w:val="460A70A5"/>
    <w:rsid w:val="46476EB4"/>
    <w:rsid w:val="465324E8"/>
    <w:rsid w:val="46CB3BE5"/>
    <w:rsid w:val="46DA3884"/>
    <w:rsid w:val="47294CC4"/>
    <w:rsid w:val="48401E0D"/>
    <w:rsid w:val="48A51C70"/>
    <w:rsid w:val="49100764"/>
    <w:rsid w:val="498C0E29"/>
    <w:rsid w:val="49921A69"/>
    <w:rsid w:val="49DE5CE3"/>
    <w:rsid w:val="4B110050"/>
    <w:rsid w:val="4B6D23E0"/>
    <w:rsid w:val="4B7F2C4C"/>
    <w:rsid w:val="4BB2163E"/>
    <w:rsid w:val="4C383620"/>
    <w:rsid w:val="4D4B380B"/>
    <w:rsid w:val="4DEE1E1C"/>
    <w:rsid w:val="4DF538F4"/>
    <w:rsid w:val="4EB573AF"/>
    <w:rsid w:val="4F0B150D"/>
    <w:rsid w:val="4F5D14F6"/>
    <w:rsid w:val="51040BDD"/>
    <w:rsid w:val="515802E8"/>
    <w:rsid w:val="51B922AB"/>
    <w:rsid w:val="523A1AA0"/>
    <w:rsid w:val="533D5319"/>
    <w:rsid w:val="533E33EC"/>
    <w:rsid w:val="534A7FE3"/>
    <w:rsid w:val="53947E49"/>
    <w:rsid w:val="543D25ED"/>
    <w:rsid w:val="5475790E"/>
    <w:rsid w:val="548F78E9"/>
    <w:rsid w:val="5576698E"/>
    <w:rsid w:val="558275C0"/>
    <w:rsid w:val="55A0038E"/>
    <w:rsid w:val="55FF3307"/>
    <w:rsid w:val="56717635"/>
    <w:rsid w:val="56D55E59"/>
    <w:rsid w:val="58136BF6"/>
    <w:rsid w:val="588A2FCE"/>
    <w:rsid w:val="58F76098"/>
    <w:rsid w:val="592C30B9"/>
    <w:rsid w:val="5A974823"/>
    <w:rsid w:val="5BAD2B6C"/>
    <w:rsid w:val="5BBE156E"/>
    <w:rsid w:val="5BBE3015"/>
    <w:rsid w:val="5C1955A8"/>
    <w:rsid w:val="5C56726C"/>
    <w:rsid w:val="5C995F8E"/>
    <w:rsid w:val="5D9F3F48"/>
    <w:rsid w:val="5DA121EF"/>
    <w:rsid w:val="5EA94A55"/>
    <w:rsid w:val="5EC56770"/>
    <w:rsid w:val="5EF86023"/>
    <w:rsid w:val="5F516557"/>
    <w:rsid w:val="5FBC78AE"/>
    <w:rsid w:val="5FD650D9"/>
    <w:rsid w:val="600219EF"/>
    <w:rsid w:val="604857C1"/>
    <w:rsid w:val="60CF461D"/>
    <w:rsid w:val="61FE734A"/>
    <w:rsid w:val="625E3163"/>
    <w:rsid w:val="63317B05"/>
    <w:rsid w:val="63FE3473"/>
    <w:rsid w:val="644E4D77"/>
    <w:rsid w:val="648A46E4"/>
    <w:rsid w:val="64AD676E"/>
    <w:rsid w:val="64AF6EF7"/>
    <w:rsid w:val="64CA4518"/>
    <w:rsid w:val="65E322FD"/>
    <w:rsid w:val="6646355C"/>
    <w:rsid w:val="66D17929"/>
    <w:rsid w:val="6741641A"/>
    <w:rsid w:val="678C4248"/>
    <w:rsid w:val="68BD733A"/>
    <w:rsid w:val="690D41FA"/>
    <w:rsid w:val="692F24FD"/>
    <w:rsid w:val="698D33B1"/>
    <w:rsid w:val="6A5F4C82"/>
    <w:rsid w:val="6CD802F2"/>
    <w:rsid w:val="6D365409"/>
    <w:rsid w:val="6D6467EB"/>
    <w:rsid w:val="6D68133A"/>
    <w:rsid w:val="6D8B0E84"/>
    <w:rsid w:val="6DE60F2E"/>
    <w:rsid w:val="6E0160D3"/>
    <w:rsid w:val="6E611F24"/>
    <w:rsid w:val="6ECF03B9"/>
    <w:rsid w:val="6FD42CB7"/>
    <w:rsid w:val="70903082"/>
    <w:rsid w:val="713A123F"/>
    <w:rsid w:val="715220E5"/>
    <w:rsid w:val="71573B9F"/>
    <w:rsid w:val="717604C9"/>
    <w:rsid w:val="71A2439B"/>
    <w:rsid w:val="739D6B77"/>
    <w:rsid w:val="74334957"/>
    <w:rsid w:val="74B36A84"/>
    <w:rsid w:val="753C5586"/>
    <w:rsid w:val="75687D74"/>
    <w:rsid w:val="75B72D40"/>
    <w:rsid w:val="7617162F"/>
    <w:rsid w:val="764010A6"/>
    <w:rsid w:val="76734792"/>
    <w:rsid w:val="77334767"/>
    <w:rsid w:val="776668EA"/>
    <w:rsid w:val="77901BB9"/>
    <w:rsid w:val="784F4642"/>
    <w:rsid w:val="78F26636"/>
    <w:rsid w:val="795E715A"/>
    <w:rsid w:val="79667075"/>
    <w:rsid w:val="798564B4"/>
    <w:rsid w:val="7A993117"/>
    <w:rsid w:val="7A9B23C6"/>
    <w:rsid w:val="7B034450"/>
    <w:rsid w:val="7B226FCC"/>
    <w:rsid w:val="7B51165F"/>
    <w:rsid w:val="7B736760"/>
    <w:rsid w:val="7BF546E1"/>
    <w:rsid w:val="7C4F2043"/>
    <w:rsid w:val="7C8617DD"/>
    <w:rsid w:val="7C8636A8"/>
    <w:rsid w:val="7CE241E0"/>
    <w:rsid w:val="7D307E9D"/>
    <w:rsid w:val="7D380D29"/>
    <w:rsid w:val="7D3E5C13"/>
    <w:rsid w:val="7D645518"/>
    <w:rsid w:val="7D862B9B"/>
    <w:rsid w:val="7D8D494A"/>
    <w:rsid w:val="7D9367A6"/>
    <w:rsid w:val="7DBA7990"/>
    <w:rsid w:val="7E231661"/>
    <w:rsid w:val="7E6F077A"/>
    <w:rsid w:val="7EC87E8B"/>
    <w:rsid w:val="7EE34863"/>
    <w:rsid w:val="7F394026"/>
    <w:rsid w:val="7FF025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ind w:firstLine="568" w:firstLineChars="203"/>
    </w:pPr>
    <w:rPr>
      <w:rFonts w:ascii="Times New Roman" w:hAnsi="Times New Roman" w:eastAsia="宋体" w:cs="Times New Roman"/>
      <w:sz w:val="28"/>
      <w:szCs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FollowedHyperlink"/>
    <w:basedOn w:val="8"/>
    <w:qFormat/>
    <w:uiPriority w:val="0"/>
    <w:rPr>
      <w:color w:val="800080"/>
      <w:u w:val="single"/>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1504</Words>
  <Characters>1534</Characters>
  <Lines>0</Lines>
  <Paragraphs>0</Paragraphs>
  <TotalTime>0</TotalTime>
  <ScaleCrop>false</ScaleCrop>
  <LinksUpToDate>false</LinksUpToDate>
  <CharactersWithSpaces>1543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2023-11-15T08:08:00Z</dcterms:created>
  <dc:creator>永远别说永远</dc:creator>
  <cp:lastModifiedBy>Administrator</cp:lastModifiedBy>
  <cp:lastPrinted>2025-03-17T00:59:00Z</cp:lastPrinted>
  <dcterms:modified xsi:type="dcterms:W3CDTF">2025-06-05T02:15:23Z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A908D25FC3914E64B9D28BF3380DFFEC_13</vt:lpwstr>
  </property>
  <property fmtid="{D5CDD505-2E9C-101B-9397-08002B2CF9AE}" pid="4" name="KSOTemplateDocerSaveRecord">
    <vt:lpwstr>eyJoZGlkIjoiYWQ0ZDMxNTRiM2IxNGU1ZWU3OTYwZWM2MmJiZjc5OTMifQ==</vt:lpwstr>
  </property>
</Properties>
</file>