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2C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4B75B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3C6B8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75A9C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 w14:paraId="778E1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里处[2024]30号</w:t>
      </w:r>
    </w:p>
    <w:p w14:paraId="3B6A5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</w:p>
    <w:p w14:paraId="3CBEB2C9">
      <w:pPr>
        <w:pStyle w:val="2"/>
        <w:rPr>
          <w:rFonts w:hint="eastAsia"/>
          <w:lang w:val="en-US" w:eastAsia="zh-CN"/>
        </w:rPr>
      </w:pPr>
    </w:p>
    <w:p w14:paraId="4C20C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highlight w:val="none"/>
          <w:lang w:val="en-US" w:eastAsia="zh-CN"/>
        </w:rPr>
        <w:t>关于印发《2024年里山街道生态环境领域信访事项“回头看”专项行动工作方案》的通知</w:t>
      </w:r>
    </w:p>
    <w:p w14:paraId="455734D2">
      <w:pPr>
        <w:bidi w:val="0"/>
        <w:rPr>
          <w:rFonts w:hint="eastAsia"/>
          <w:lang w:val="en-US" w:eastAsia="zh-CN"/>
        </w:rPr>
      </w:pPr>
    </w:p>
    <w:p w14:paraId="29AC5E7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各村（社区）、街道有关部门：</w:t>
      </w:r>
    </w:p>
    <w:p w14:paraId="11684D6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根据《2024年贵池区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生态环境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领域信访事项“回头看”专项行动工作方案》文件精神，结合里山街道实际，经街道研究，制定《2024年里山街道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生态环境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领域信访事项“回头看”专项行动工作方案》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，现印发给你们，请认真贯彻执行。</w:t>
      </w:r>
    </w:p>
    <w:p w14:paraId="3684C24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6B37B8D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                               </w:t>
      </w:r>
    </w:p>
    <w:p w14:paraId="2EF81B9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5760" w:firstLineChars="18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里山街道办事处</w:t>
      </w:r>
    </w:p>
    <w:p w14:paraId="1959B9B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                              2024年3月20日</w:t>
      </w:r>
    </w:p>
    <w:p w14:paraId="44AC2D3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1A34E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 w:right="840" w:rightChars="40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</w:p>
    <w:p w14:paraId="35B7D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auto"/>
          <w:spacing w:val="142"/>
          <w:kern w:val="11"/>
          <w:sz w:val="52"/>
          <w:szCs w:val="52"/>
          <w:lang w:eastAsia="zh-CN"/>
        </w:rPr>
      </w:pPr>
    </w:p>
    <w:p w14:paraId="7F15F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 w:right="840" w:rightChars="40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</w:pPr>
      <w:bookmarkStart w:id="0" w:name="_Toc25071"/>
    </w:p>
    <w:p w14:paraId="60B20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 w:right="840" w:rightChars="40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</w:pPr>
    </w:p>
    <w:p w14:paraId="3DCEB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 w:right="840" w:rightChars="40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  <w:t>2024年里山街道生态环境领域信访事项“回头看”专项行动工作方案</w:t>
      </w:r>
      <w:bookmarkEnd w:id="0"/>
    </w:p>
    <w:p w14:paraId="2AD18E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268EE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为深入贯彻落实习近平生态文明思想，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坚决扛起生态环境保护政治责任，切实将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区委区政府关于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生态环境保护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决策部署落到实处，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扎实做好生态环境领域信访事项办理工作，切实解决群众身边的“急难愁盼”的环境问题，提升信访事项办理的满意度。经研究，决定对2021年以来生态环境领域信访件开展“回头看”专项行动。现将有关要求通知如下：</w:t>
      </w:r>
    </w:p>
    <w:p w14:paraId="656241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一、目标任务</w:t>
      </w:r>
    </w:p>
    <w:p w14:paraId="151D2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集中利用30天的时间，以2021年以来受理的生态环境领域信访事项为重点，逐件开展现场核查和信访回访工作，以信访事项办理到位和“案结事了”为目标，不断提升人民群众信访事项的办理满意度，提升人民群众生态环境获得感。</w:t>
      </w:r>
    </w:p>
    <w:p w14:paraId="36FCF2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二、时间安排</w:t>
      </w:r>
    </w:p>
    <w:p w14:paraId="2495CDC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bidi w:val="0"/>
        <w:snapToGrid/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2024年3月15日—2024年4月15日</w:t>
      </w:r>
    </w:p>
    <w:p w14:paraId="51517D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三、工作内容</w:t>
      </w:r>
    </w:p>
    <w:p w14:paraId="7611149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bidi w:val="0"/>
        <w:snapToGrid/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（一）梳理信访事项台账。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2021年以来受理的信访事项共</w:t>
      </w:r>
      <w:r>
        <w:rPr>
          <w:rFonts w:hint="eastAsia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34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件，其中</w:t>
      </w:r>
      <w:r>
        <w:rPr>
          <w:rFonts w:hint="eastAsia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来电10件，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12345热线</w:t>
      </w:r>
      <w:r>
        <w:rPr>
          <w:rFonts w:hint="eastAsia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件，</w:t>
      </w:r>
      <w:r>
        <w:rPr>
          <w:rFonts w:hint="eastAsia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网络舆情7件，来访1件，人民网留言1件，信访1件，区网信办1件，便民热线10件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>。</w:t>
      </w:r>
    </w:p>
    <w:p w14:paraId="6664F0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（二）逐项核查办理情况。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各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村（社区）、街道有关部门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对梳理出的生态环境领域信访事项逐一开展现场核查，重点核查信访问题是否处理到位、所反映的问题有无反弹、信访人对办理结果是否满意，并举一反三核查信访对象是否还存在其他环境问题，确保群众信访事项真正得到有效解决，坚决杜绝反映问题处理不到位，死灰复燃等问题。</w:t>
      </w:r>
    </w:p>
    <w:p w14:paraId="02E995E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（三）开展攻坚化解工作。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围绕“案结事了”的目标，对未整改到位的、出现反弹的、新发现的问题，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制定“四项清单”（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附件</w:t>
      </w:r>
      <w:r>
        <w:rPr>
          <w:rFonts w:hint="eastAsia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），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纳入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1+1+N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”整改调度系统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，督促限期整改到位；拒不整改的或限期未整改到位的，移交执法部门依法依规严肃查处到位。</w:t>
      </w:r>
    </w:p>
    <w:p w14:paraId="1B941A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四、工作要求</w:t>
      </w:r>
    </w:p>
    <w:p w14:paraId="0B5FD62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（一）压实工作责任。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各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村（社区）、街道有关部门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要高度重视本次“回头看”专项核查工作，切实履行属地管理和部门监管责任，集中力量、专班推进，核查人员要深入细致开展核查，力戒搞形式、走过场，坚决杜绝表面整改、敷衍整改、虚假整改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。</w:t>
      </w:r>
    </w:p>
    <w:p w14:paraId="69517EFD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（二）强化信息报送。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各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村（社区）、街道有关部门要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强化工作跟踪调度，安排专人负责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每周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上午下班前将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eastAsia="zh-CN"/>
        </w:rPr>
        <w:t>“四项清单”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每周进展情况（附件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）报送至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街道生态环境站汇总上报区环委办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；4月1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前将问题核查清单（附件1）中的核查情况、核查人员等项目填写完善后报送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街道生态环境站汇总上报区环委办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0EE28AF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  <w:t>（三）坚持常态长效。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要坚持以人民为中心，畅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通信访渠道，强化生态环境有奖举报，认真倾听群众呼声和诉求，积极回应群众关心关切，把群众满意不满意作为检验信访事项办理成效的标准，做到件件有着落，事事有回音，巩固提升信访事项办理成效，切实维护群众环境权益。</w:t>
      </w:r>
    </w:p>
    <w:p w14:paraId="67F20466">
      <w:pPr>
        <w:pStyle w:val="13"/>
        <w:keepNext w:val="0"/>
        <w:keepLines w:val="0"/>
        <w:pageBreakBefore w:val="0"/>
        <w:widowControl w:val="0"/>
        <w:kinsoku/>
        <w:wordWrap/>
        <w:overflowPunct w:val="0"/>
        <w:topLinePunct w:val="0"/>
        <w:bidi w:val="0"/>
        <w:snapToGrid/>
        <w:spacing w:beforeLines="0" w:afterLines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</w:pPr>
    </w:p>
    <w:p w14:paraId="6B1B4FFA">
      <w:pPr>
        <w:pStyle w:val="13"/>
        <w:keepNext w:val="0"/>
        <w:keepLines w:val="0"/>
        <w:pageBreakBefore w:val="0"/>
        <w:widowControl w:val="0"/>
        <w:kinsoku/>
        <w:wordWrap/>
        <w:overflowPunct w:val="0"/>
        <w:topLinePunct w:val="0"/>
        <w:bidi w:val="0"/>
        <w:snapToGrid/>
        <w:spacing w:beforeLines="0" w:afterLines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联系人：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王章兴</w:t>
      </w:r>
    </w:p>
    <w:p w14:paraId="06B5156D">
      <w:pPr>
        <w:pStyle w:val="13"/>
        <w:keepNext w:val="0"/>
        <w:keepLines w:val="0"/>
        <w:pageBreakBefore w:val="0"/>
        <w:widowControl w:val="0"/>
        <w:kinsoku/>
        <w:wordWrap/>
        <w:overflowPunct w:val="0"/>
        <w:topLinePunct w:val="0"/>
        <w:bidi w:val="0"/>
        <w:snapToGrid/>
        <w:spacing w:beforeLines="0" w:afterLines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附件：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.“回头看”专项行动问题清单</w:t>
      </w:r>
    </w:p>
    <w:p w14:paraId="0222105A">
      <w:pPr>
        <w:pStyle w:val="13"/>
        <w:keepNext w:val="0"/>
        <w:keepLines w:val="0"/>
        <w:pageBreakBefore w:val="0"/>
        <w:widowControl w:val="0"/>
        <w:kinsoku/>
        <w:wordWrap/>
        <w:overflowPunct w:val="0"/>
        <w:topLinePunct w:val="0"/>
        <w:bidi w:val="0"/>
        <w:snapToGrid/>
        <w:spacing w:beforeLines="0" w:afterLines="0" w:line="580" w:lineRule="exact"/>
        <w:ind w:firstLine="1600" w:firstLineChars="5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.“回头看”专项行动工作开展情况一览表</w:t>
      </w:r>
    </w:p>
    <w:p w14:paraId="5208AC11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6" w:afterLines="1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 w14:paraId="7CC35278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6" w:afterLines="1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 w14:paraId="7AAF6DE5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6" w:afterLines="1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 w14:paraId="03C42022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6" w:afterLines="1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sectPr>
          <w:footerReference r:id="rId3" w:type="default"/>
          <w:pgSz w:w="11906" w:h="16838"/>
          <w:pgMar w:top="2041" w:right="1474" w:bottom="1587" w:left="1587" w:header="851" w:footer="1502" w:gutter="0"/>
          <w:pgNumType w:fmt="decimal"/>
          <w:cols w:space="720" w:num="1"/>
          <w:rtlGutter w:val="0"/>
          <w:docGrid w:type="lines" w:linePitch="312" w:charSpace="0"/>
        </w:sectPr>
      </w:pPr>
    </w:p>
    <w:p w14:paraId="58557D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1</w:t>
      </w:r>
    </w:p>
    <w:p w14:paraId="1E304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75" w:beforeLines="120" w:after="188" w:afterLines="6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lang w:val="en-US" w:eastAsia="zh-CN"/>
        </w:rPr>
        <w:t>2024年贵池区生态环境领域信访事项“回头看”</w:t>
      </w:r>
      <w:r>
        <w:rPr>
          <w:rFonts w:hint="eastAsia" w:ascii="方正小标宋简体" w:hAnsi="方正小标宋简体" w:eastAsia="方正小标宋简体" w:cs="方正小标宋简体"/>
          <w:color w:val="000000"/>
          <w:kern w:val="2"/>
          <w:sz w:val="44"/>
          <w:szCs w:val="44"/>
          <w:u w:val="none"/>
          <w:lang w:val="en-US" w:eastAsia="zh-CN" w:bidi="ar-SA"/>
        </w:rPr>
        <w:t>专项行动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11"/>
          <w:sz w:val="44"/>
          <w:szCs w:val="44"/>
          <w:lang w:val="en-US" w:eastAsia="zh-CN"/>
        </w:rPr>
        <w:t>问题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lang w:eastAsia="zh-CN"/>
        </w:rPr>
        <w:t>清单</w:t>
      </w:r>
    </w:p>
    <w:p w14:paraId="562E164B">
      <w:pPr>
        <w:widowControl w:val="0"/>
        <w:adjustRightInd w:val="0"/>
        <w:snapToGrid w:val="0"/>
        <w:spacing w:line="360" w:lineRule="auto"/>
        <w:ind w:firstLine="720" w:firstLineChars="300"/>
        <w:jc w:val="left"/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val="singl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 xml:space="preserve">填报单位：           </w:t>
      </w: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val="none"/>
          <w:lang w:val="en-US" w:eastAsia="zh-CN" w:bidi="ar-SA"/>
        </w:rPr>
        <w:t xml:space="preserve">                                                          填报时间：2024年  月  日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3" w:type="dxa"/>
          <w:bottom w:w="0" w:type="dxa"/>
          <w:right w:w="23" w:type="dxa"/>
        </w:tblCellMar>
      </w:tblPr>
      <w:tblGrid>
        <w:gridCol w:w="352"/>
        <w:gridCol w:w="887"/>
        <w:gridCol w:w="754"/>
        <w:gridCol w:w="995"/>
        <w:gridCol w:w="4594"/>
        <w:gridCol w:w="2395"/>
        <w:gridCol w:w="1020"/>
        <w:gridCol w:w="1460"/>
        <w:gridCol w:w="1593"/>
      </w:tblGrid>
      <w:tr w14:paraId="288BD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645" w:hRule="exact"/>
          <w:jc w:val="center"/>
        </w:trPr>
        <w:tc>
          <w:tcPr>
            <w:tcW w:w="0" w:type="auto"/>
            <w:noWrap w:val="0"/>
            <w:vAlign w:val="center"/>
          </w:tcPr>
          <w:p w14:paraId="75D6E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 w14:paraId="439D3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问题</w:t>
            </w:r>
          </w:p>
          <w:p w14:paraId="64C77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0" w:type="auto"/>
            <w:noWrap w:val="0"/>
            <w:vAlign w:val="center"/>
          </w:tcPr>
          <w:p w14:paraId="64D37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原交办具体问题</w:t>
            </w:r>
          </w:p>
        </w:tc>
        <w:tc>
          <w:tcPr>
            <w:tcW w:w="0" w:type="auto"/>
            <w:noWrap w:val="0"/>
            <w:vAlign w:val="center"/>
          </w:tcPr>
          <w:p w14:paraId="36B9B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新发现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问题</w:t>
            </w:r>
          </w:p>
        </w:tc>
        <w:tc>
          <w:tcPr>
            <w:tcW w:w="0" w:type="auto"/>
            <w:noWrap w:val="0"/>
            <w:vAlign w:val="center"/>
          </w:tcPr>
          <w:p w14:paraId="6A698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整改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措施</w:t>
            </w:r>
          </w:p>
        </w:tc>
        <w:tc>
          <w:tcPr>
            <w:tcW w:w="0" w:type="auto"/>
            <w:noWrap w:val="0"/>
            <w:vAlign w:val="center"/>
          </w:tcPr>
          <w:p w14:paraId="51583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目标任务（标准）</w:t>
            </w:r>
          </w:p>
        </w:tc>
        <w:tc>
          <w:tcPr>
            <w:tcW w:w="0" w:type="auto"/>
            <w:noWrap w:val="0"/>
            <w:vAlign w:val="center"/>
          </w:tcPr>
          <w:p w14:paraId="4F22F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整改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实施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主体</w:t>
            </w:r>
          </w:p>
        </w:tc>
        <w:tc>
          <w:tcPr>
            <w:tcW w:w="0" w:type="auto"/>
            <w:noWrap w:val="0"/>
            <w:vAlign w:val="center"/>
          </w:tcPr>
          <w:p w14:paraId="5D868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验收（监管）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0" w:type="auto"/>
            <w:noWrap w:val="0"/>
            <w:vAlign w:val="center"/>
          </w:tcPr>
          <w:p w14:paraId="75E0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完成</w:t>
            </w:r>
          </w:p>
          <w:p w14:paraId="6F6D9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时限</w:t>
            </w:r>
          </w:p>
        </w:tc>
      </w:tr>
      <w:tr w14:paraId="5F341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128" w:hRule="exact"/>
          <w:jc w:val="center"/>
        </w:trPr>
        <w:tc>
          <w:tcPr>
            <w:tcW w:w="0" w:type="auto"/>
            <w:noWrap w:val="0"/>
            <w:vAlign w:val="center"/>
          </w:tcPr>
          <w:p w14:paraId="66641182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6F107B8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按原交办问题来源填写</w:t>
            </w:r>
          </w:p>
        </w:tc>
        <w:tc>
          <w:tcPr>
            <w:tcW w:w="0" w:type="auto"/>
            <w:noWrap w:val="0"/>
            <w:vAlign w:val="center"/>
          </w:tcPr>
          <w:p w14:paraId="458D0A41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按原交办问题描述</w:t>
            </w:r>
          </w:p>
        </w:tc>
        <w:tc>
          <w:tcPr>
            <w:tcW w:w="0" w:type="auto"/>
            <w:noWrap w:val="0"/>
            <w:vAlign w:val="center"/>
          </w:tcPr>
          <w:p w14:paraId="1E5945B2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填写问题具体表述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0" w:type="auto"/>
            <w:noWrap w:val="0"/>
            <w:vAlign w:val="center"/>
          </w:tcPr>
          <w:p w14:paraId="33D33423"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填写问题整改所采取的具体工作举措，分条目填写。跨年实施整改的任务，需明确年度工作目标；当年完成整改的任务，需明确季度工作目标。</w:t>
            </w:r>
          </w:p>
        </w:tc>
        <w:tc>
          <w:tcPr>
            <w:tcW w:w="0" w:type="auto"/>
            <w:noWrap w:val="0"/>
            <w:vAlign w:val="center"/>
          </w:tcPr>
          <w:p w14:paraId="3D787CC6"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填写问题整改完成时所达到的状态，做到可调度、可验收、可考核。</w:t>
            </w:r>
          </w:p>
        </w:tc>
        <w:tc>
          <w:tcPr>
            <w:tcW w:w="0" w:type="auto"/>
            <w:noWrap w:val="0"/>
            <w:vAlign w:val="center"/>
          </w:tcPr>
          <w:p w14:paraId="51EB7F6A"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填写问题整改任务实施单位</w:t>
            </w:r>
          </w:p>
        </w:tc>
        <w:tc>
          <w:tcPr>
            <w:tcW w:w="0" w:type="auto"/>
            <w:noWrap w:val="0"/>
            <w:vAlign w:val="center"/>
          </w:tcPr>
          <w:p w14:paraId="3DA549D3"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填写问题整改的日常监管和验收单位</w:t>
            </w:r>
          </w:p>
        </w:tc>
        <w:tc>
          <w:tcPr>
            <w:tcW w:w="0" w:type="auto"/>
            <w:noWrap w:val="0"/>
            <w:vAlign w:val="center"/>
          </w:tcPr>
          <w:p w14:paraId="7ABC4C90"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填写问题整改完成验收销号的最后时限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</w:p>
        </w:tc>
      </w:tr>
    </w:tbl>
    <w:p w14:paraId="16F4E1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48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sectPr>
          <w:pgSz w:w="16838" w:h="11906" w:orient="landscape"/>
          <w:pgMar w:top="1587" w:right="1417" w:bottom="1474" w:left="1417" w:header="851" w:footer="1134" w:gutter="0"/>
          <w:pgNumType w:fmt="decimal"/>
          <w:cols w:space="0" w:num="1"/>
          <w:rtlGutter w:val="0"/>
          <w:docGrid w:type="lines" w:linePitch="312" w:charSpace="0"/>
        </w:sect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en-US" w:eastAsia="zh-CN"/>
        </w:rPr>
        <w:t>报送单位主要负责同志签字：</w:t>
      </w:r>
    </w:p>
    <w:p w14:paraId="78B65C4D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474" w:afterLines="150" w:line="580" w:lineRule="exact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2</w:t>
      </w:r>
    </w:p>
    <w:p w14:paraId="32FDB4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firstLine="0" w:firstLineChars="0"/>
        <w:jc w:val="center"/>
        <w:textAlignment w:val="baseline"/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2024年贵池区生态环境领域信访事项</w:t>
      </w:r>
    </w:p>
    <w:p w14:paraId="16F699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700" w:lineRule="exact"/>
        <w:ind w:left="0" w:leftChars="0" w:firstLine="0" w:firstLineChars="0"/>
        <w:jc w:val="center"/>
        <w:textAlignment w:val="baseline"/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“回头看”专项</w:t>
      </w: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行动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进展一栏表</w:t>
      </w:r>
    </w:p>
    <w:tbl>
      <w:tblPr>
        <w:tblStyle w:val="11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1794"/>
        <w:gridCol w:w="870"/>
        <w:gridCol w:w="1006"/>
        <w:gridCol w:w="1020"/>
        <w:gridCol w:w="1037"/>
        <w:gridCol w:w="991"/>
        <w:gridCol w:w="1096"/>
        <w:gridCol w:w="736"/>
      </w:tblGrid>
      <w:tr w14:paraId="22EC0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78" w:type="pct"/>
            <w:noWrap w:val="0"/>
            <w:vAlign w:val="center"/>
          </w:tcPr>
          <w:p w14:paraId="2034E4A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990" w:type="pct"/>
            <w:noWrap w:val="0"/>
            <w:vAlign w:val="center"/>
          </w:tcPr>
          <w:p w14:paraId="22482BB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核查</w:t>
            </w:r>
          </w:p>
          <w:p w14:paraId="56F7768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480" w:type="pct"/>
            <w:noWrap w:val="0"/>
            <w:vAlign w:val="center"/>
          </w:tcPr>
          <w:p w14:paraId="7F4549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信访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总数</w:t>
            </w:r>
          </w:p>
        </w:tc>
        <w:tc>
          <w:tcPr>
            <w:tcW w:w="555" w:type="pct"/>
            <w:noWrap w:val="0"/>
            <w:vAlign w:val="center"/>
          </w:tcPr>
          <w:p w14:paraId="3D13CF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本周</w:t>
            </w:r>
          </w:p>
          <w:p w14:paraId="5ECDDF6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核查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数</w:t>
            </w:r>
          </w:p>
        </w:tc>
        <w:tc>
          <w:tcPr>
            <w:tcW w:w="563" w:type="pct"/>
            <w:noWrap w:val="0"/>
            <w:vAlign w:val="center"/>
          </w:tcPr>
          <w:p w14:paraId="5F4522C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累计</w:t>
            </w:r>
          </w:p>
          <w:p w14:paraId="3C0A561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核查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数</w:t>
            </w:r>
          </w:p>
        </w:tc>
        <w:tc>
          <w:tcPr>
            <w:tcW w:w="572" w:type="pct"/>
            <w:noWrap w:val="0"/>
            <w:vAlign w:val="center"/>
          </w:tcPr>
          <w:p w14:paraId="6C98C1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完成率</w:t>
            </w:r>
          </w:p>
        </w:tc>
        <w:tc>
          <w:tcPr>
            <w:tcW w:w="547" w:type="pct"/>
            <w:noWrap w:val="0"/>
            <w:vAlign w:val="center"/>
          </w:tcPr>
          <w:p w14:paraId="33FF13A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新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发现问题数</w:t>
            </w:r>
          </w:p>
        </w:tc>
        <w:tc>
          <w:tcPr>
            <w:tcW w:w="605" w:type="pct"/>
            <w:noWrap w:val="0"/>
            <w:vAlign w:val="center"/>
          </w:tcPr>
          <w:p w14:paraId="3611604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累计</w:t>
            </w:r>
          </w:p>
          <w:p w14:paraId="211BC02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新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发现</w:t>
            </w:r>
          </w:p>
          <w:p w14:paraId="62EA2C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问题数</w:t>
            </w:r>
          </w:p>
        </w:tc>
        <w:tc>
          <w:tcPr>
            <w:tcW w:w="406" w:type="pct"/>
            <w:noWrap w:val="0"/>
            <w:vAlign w:val="center"/>
          </w:tcPr>
          <w:p w14:paraId="473D16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6274E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278" w:type="pct"/>
            <w:noWrap w:val="0"/>
            <w:vAlign w:val="center"/>
          </w:tcPr>
          <w:p w14:paraId="22E4125D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</w:p>
        </w:tc>
        <w:tc>
          <w:tcPr>
            <w:tcW w:w="990" w:type="pct"/>
            <w:noWrap w:val="0"/>
            <w:vAlign w:val="center"/>
          </w:tcPr>
          <w:p w14:paraId="1131A80A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80" w:type="pct"/>
            <w:noWrap w:val="0"/>
            <w:vAlign w:val="center"/>
          </w:tcPr>
          <w:p w14:paraId="30CC2E4E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55" w:type="pct"/>
            <w:noWrap w:val="0"/>
            <w:vAlign w:val="center"/>
          </w:tcPr>
          <w:p w14:paraId="736F0518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63" w:type="pct"/>
            <w:noWrap w:val="0"/>
            <w:vAlign w:val="center"/>
          </w:tcPr>
          <w:p w14:paraId="066FDAF1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72" w:type="pct"/>
            <w:noWrap w:val="0"/>
            <w:vAlign w:val="center"/>
          </w:tcPr>
          <w:p w14:paraId="076A34C3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47" w:type="pct"/>
            <w:noWrap w:val="0"/>
            <w:vAlign w:val="center"/>
          </w:tcPr>
          <w:p w14:paraId="76F7B7F2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605" w:type="pct"/>
            <w:noWrap w:val="0"/>
            <w:vAlign w:val="center"/>
          </w:tcPr>
          <w:p w14:paraId="394A926D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06" w:type="pct"/>
            <w:noWrap w:val="0"/>
            <w:vAlign w:val="center"/>
          </w:tcPr>
          <w:p w14:paraId="635C22F9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 w14:paraId="3F1FB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278" w:type="pct"/>
            <w:noWrap w:val="0"/>
            <w:vAlign w:val="center"/>
          </w:tcPr>
          <w:p w14:paraId="3A1ACB6D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</w:p>
        </w:tc>
        <w:tc>
          <w:tcPr>
            <w:tcW w:w="990" w:type="pct"/>
            <w:noWrap w:val="0"/>
            <w:vAlign w:val="center"/>
          </w:tcPr>
          <w:p w14:paraId="52C10899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80" w:type="pct"/>
            <w:noWrap w:val="0"/>
            <w:vAlign w:val="center"/>
          </w:tcPr>
          <w:p w14:paraId="49F86D35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55" w:type="pct"/>
            <w:noWrap w:val="0"/>
            <w:vAlign w:val="center"/>
          </w:tcPr>
          <w:p w14:paraId="28AC2286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63" w:type="pct"/>
            <w:noWrap w:val="0"/>
            <w:vAlign w:val="center"/>
          </w:tcPr>
          <w:p w14:paraId="41DC839E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72" w:type="pct"/>
            <w:noWrap w:val="0"/>
            <w:vAlign w:val="center"/>
          </w:tcPr>
          <w:p w14:paraId="5AA59833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547" w:type="pct"/>
            <w:noWrap w:val="0"/>
            <w:vAlign w:val="center"/>
          </w:tcPr>
          <w:p w14:paraId="077DAE8A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605" w:type="pct"/>
            <w:noWrap w:val="0"/>
            <w:vAlign w:val="center"/>
          </w:tcPr>
          <w:p w14:paraId="02465E82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06" w:type="pct"/>
            <w:noWrap w:val="0"/>
            <w:vAlign w:val="center"/>
          </w:tcPr>
          <w:p w14:paraId="605A84E1">
            <w:pPr>
              <w:pStyle w:val="2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 w14:paraId="7EFD15BB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6" w:afterLines="1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</w:p>
    <w:p w14:paraId="277C287B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before="159" w:beforeLines="50"/>
        <w:textAlignment w:val="auto"/>
        <w:rPr>
          <w:rFonts w:hint="default" w:ascii="Times New Roman" w:hAnsi="Times New Roman" w:eastAsia="仿宋_GB2312" w:cs="Times New Roman"/>
          <w:color w:val="auto"/>
          <w:lang w:val="en-US" w:eastAsia="zh-CN"/>
        </w:rPr>
        <w:sectPr>
          <w:pgSz w:w="11906" w:h="16838"/>
          <w:pgMar w:top="1701" w:right="1474" w:bottom="1587" w:left="1587" w:header="851" w:footer="1389" w:gutter="0"/>
          <w:pgNumType w:fmt="decimal"/>
          <w:cols w:space="0" w:num="1"/>
          <w:rtlGutter w:val="0"/>
          <w:docGrid w:type="lines" w:linePitch="315" w:charSpace="0"/>
        </w:sectPr>
      </w:pPr>
    </w:p>
    <w:p w14:paraId="1AF88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sectPr>
      <w:pgSz w:w="11906" w:h="16838"/>
      <w:pgMar w:top="1701" w:right="1474" w:bottom="1587" w:left="1587" w:header="851" w:footer="1389" w:gutter="0"/>
      <w:pgNumType w:fmt="decimal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FangSong_GB2312">
    <w:altName w:val="仿宋_GB2312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46895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DE4DB65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E4DB65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mirrorMargins w:val="1"/>
  <w:bordersDoNotSurroundHeader w:val="0"/>
  <w:bordersDoNotSurroundFooter w:val="0"/>
  <w:documentProtection w:enforcement="0"/>
  <w:defaultTabStop w:val="420"/>
  <w:drawingGridHorizontalSpacing w:val="210"/>
  <w:drawingGridVerticalSpacing w:val="158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4NTQ1NmViYzc2YjFhNDJlNjJkMTRiNzE5M2IxOGYifQ=="/>
  </w:docVars>
  <w:rsids>
    <w:rsidRoot w:val="00000000"/>
    <w:rsid w:val="001431BC"/>
    <w:rsid w:val="002F74F5"/>
    <w:rsid w:val="01E23011"/>
    <w:rsid w:val="0649045C"/>
    <w:rsid w:val="09434C42"/>
    <w:rsid w:val="0A277B47"/>
    <w:rsid w:val="0EAD498D"/>
    <w:rsid w:val="11BA6617"/>
    <w:rsid w:val="11DB304C"/>
    <w:rsid w:val="15DF754D"/>
    <w:rsid w:val="16AE1553"/>
    <w:rsid w:val="1D481133"/>
    <w:rsid w:val="1E2D340E"/>
    <w:rsid w:val="20217B8D"/>
    <w:rsid w:val="2151459E"/>
    <w:rsid w:val="280F58D3"/>
    <w:rsid w:val="28CF57EE"/>
    <w:rsid w:val="2D4F7981"/>
    <w:rsid w:val="2E701821"/>
    <w:rsid w:val="318C4BC4"/>
    <w:rsid w:val="35042CC3"/>
    <w:rsid w:val="35A10DB8"/>
    <w:rsid w:val="36326AC9"/>
    <w:rsid w:val="36BC0E41"/>
    <w:rsid w:val="3CAA2F7E"/>
    <w:rsid w:val="41214656"/>
    <w:rsid w:val="44743C10"/>
    <w:rsid w:val="458A584B"/>
    <w:rsid w:val="48F46980"/>
    <w:rsid w:val="4C0118B3"/>
    <w:rsid w:val="50482CEC"/>
    <w:rsid w:val="54814757"/>
    <w:rsid w:val="59D73420"/>
    <w:rsid w:val="5C737F2E"/>
    <w:rsid w:val="5F01496B"/>
    <w:rsid w:val="62657C19"/>
    <w:rsid w:val="636656B8"/>
    <w:rsid w:val="637C4AE9"/>
    <w:rsid w:val="63F65095"/>
    <w:rsid w:val="68190F08"/>
    <w:rsid w:val="6BA40E75"/>
    <w:rsid w:val="6D3F4D11"/>
    <w:rsid w:val="76620AFE"/>
    <w:rsid w:val="7A3525A4"/>
    <w:rsid w:val="7D14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qFormat="1" w:uiPriority="99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宋体" w:cs="仿宋_GB2312"/>
      <w:kern w:val="2"/>
      <w:sz w:val="21"/>
      <w:szCs w:val="32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Indent2"/>
    <w:basedOn w:val="1"/>
    <w:next w:val="1"/>
    <w:autoRedefine/>
    <w:qFormat/>
    <w:uiPriority w:val="0"/>
    <w:pPr>
      <w:spacing w:line="590" w:lineRule="exact"/>
      <w:ind w:firstLine="880" w:firstLineChars="200"/>
      <w:jc w:val="both"/>
      <w:textAlignment w:val="baseline"/>
    </w:pPr>
    <w:rPr>
      <w:rFonts w:ascii="Times New Roman" w:hAnsi="Times New Roman" w:eastAsia="方正仿宋_GBK"/>
      <w:kern w:val="2"/>
      <w:sz w:val="21"/>
      <w:szCs w:val="24"/>
      <w:lang w:val="en-US" w:eastAsia="zh-CN" w:bidi="ar-SA"/>
    </w:rPr>
  </w:style>
  <w:style w:type="paragraph" w:styleId="3">
    <w:name w:val="Normal Indent"/>
    <w:basedOn w:val="1"/>
    <w:autoRedefine/>
    <w:unhideWhenUsed/>
    <w:qFormat/>
    <w:uiPriority w:val="99"/>
    <w:pPr>
      <w:ind w:firstLine="420"/>
    </w:pPr>
    <w:rPr>
      <w:rFonts w:ascii="Times New Roman" w:hAnsi="Times New Roman" w:eastAsia="宋体" w:cs="Times New Roman"/>
      <w:sz w:val="21"/>
      <w:szCs w:val="21"/>
    </w:rPr>
  </w:style>
  <w:style w:type="paragraph" w:styleId="4">
    <w:name w:val="Body Text Indent 2"/>
    <w:basedOn w:val="1"/>
    <w:next w:val="1"/>
    <w:autoRedefine/>
    <w:qFormat/>
    <w:uiPriority w:val="0"/>
    <w:pPr>
      <w:ind w:firstLine="640" w:firstLineChars="200"/>
    </w:pPr>
    <w:rPr>
      <w:sz w:val="32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autoRedefine/>
    <w:qFormat/>
    <w:uiPriority w:val="0"/>
  </w:style>
  <w:style w:type="paragraph" w:styleId="8">
    <w:name w:val="footnote text"/>
    <w:basedOn w:val="1"/>
    <w:autoRedefine/>
    <w:unhideWhenUsed/>
    <w:qFormat/>
    <w:uiPriority w:val="99"/>
    <w:pPr>
      <w:adjustRightInd w:val="0"/>
      <w:spacing w:line="360" w:lineRule="auto"/>
      <w:ind w:firstLine="480"/>
      <w:jc w:val="left"/>
    </w:pPr>
    <w:rPr>
      <w:sz w:val="18"/>
      <w:szCs w:val="18"/>
    </w:rPr>
  </w:style>
  <w:style w:type="paragraph" w:styleId="9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Default"/>
    <w:autoRedefine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FangSong_GB2312" w:hAnsi="FangSong_GB2312" w:eastAsia="FangSong_GB2312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1509</Words>
  <Characters>1575</Characters>
  <Lines>0</Lines>
  <Paragraphs>0</Paragraphs>
  <TotalTime>4</TotalTime>
  <ScaleCrop>false</ScaleCrop>
  <LinksUpToDate>false</LinksUpToDate>
  <CharactersWithSpaces>1713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2023-06-19T08:08:00Z</dcterms:created>
  <dc:creator>Administrator</dc:creator>
  <cp:lastModifiedBy>WPS_1507787147</cp:lastModifiedBy>
  <cp:lastPrinted>2024-03-22T07:12:00Z</cp:lastPrinted>
  <dcterms:modified xsi:type="dcterms:W3CDTF">2024-12-13T03:42:41Z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1CE9B131EE6C40A48E9DC601914E7445_13</vt:lpwstr>
  </property>
</Properties>
</file>