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67F5B7">
      <w:pPr>
        <w:jc w:val="center"/>
        <w:rPr>
          <w:rFonts w:ascii="方正小标宋简体" w:hAnsi="TimesNewRomanPSMT" w:eastAsia="方正小标宋简体"/>
          <w:color w:val="000000"/>
          <w:sz w:val="44"/>
          <w:szCs w:val="44"/>
        </w:rPr>
      </w:pPr>
    </w:p>
    <w:p w14:paraId="60E23D25">
      <w:pPr>
        <w:jc w:val="center"/>
        <w:rPr>
          <w:rFonts w:ascii="方正小标宋简体" w:hAnsi="TimesNewRomanPSMT" w:eastAsia="方正小标宋简体"/>
          <w:color w:val="000000"/>
          <w:sz w:val="44"/>
          <w:szCs w:val="44"/>
        </w:rPr>
      </w:pPr>
    </w:p>
    <w:p w14:paraId="47D6AD2C">
      <w:pPr>
        <w:jc w:val="center"/>
        <w:rPr>
          <w:rFonts w:ascii="方正小标宋简体" w:hAnsi="TimesNewRomanPSMT" w:eastAsia="方正小标宋简体"/>
          <w:color w:val="000000"/>
          <w:sz w:val="44"/>
          <w:szCs w:val="44"/>
        </w:rPr>
      </w:pPr>
    </w:p>
    <w:p w14:paraId="4CFB8A4E">
      <w:pPr>
        <w:jc w:val="center"/>
        <w:rPr>
          <w:rFonts w:ascii="方正小标宋简体" w:hAnsi="TimesNewRomanPSMT" w:eastAsia="方正小标宋简体"/>
          <w:color w:val="000000"/>
          <w:sz w:val="44"/>
          <w:szCs w:val="44"/>
        </w:rPr>
      </w:pPr>
    </w:p>
    <w:p w14:paraId="35BDF64B">
      <w:pPr>
        <w:pStyle w:val="5"/>
        <w:overflowPunct w:val="0"/>
        <w:spacing w:line="540" w:lineRule="exact"/>
        <w:ind w:left="0" w:firstLine="0" w:firstLineChars="0"/>
        <w:jc w:val="center"/>
        <w:rPr>
          <w:rFonts w:ascii="仿宋_GB2312" w:hAnsi="仿宋" w:eastAsia="仿宋_GB2312" w:cs="仿宋_GB2312"/>
          <w:sz w:val="32"/>
          <w:szCs w:val="32"/>
        </w:rPr>
      </w:pPr>
      <w:r>
        <w:rPr>
          <w:rFonts w:ascii="仿宋_GB2312" w:hAnsi="仿宋" w:eastAsia="仿宋_GB2312" w:cs="仿宋_GB2312"/>
          <w:sz w:val="32"/>
          <w:szCs w:val="32"/>
        </w:rPr>
        <w:t>贵农工办〔202</w:t>
      </w:r>
      <w:r>
        <w:rPr>
          <w:rFonts w:hint="default" w:ascii="仿宋_GB2312" w:hAnsi="仿宋" w:eastAsia="仿宋_GB2312" w:cs="仿宋_GB2312"/>
          <w:sz w:val="32"/>
          <w:szCs w:val="32"/>
        </w:rPr>
        <w:t>4</w:t>
      </w:r>
      <w:r>
        <w:rPr>
          <w:rFonts w:ascii="仿宋_GB2312" w:hAnsi="仿宋" w:eastAsia="仿宋_GB2312" w:cs="仿宋_GB2312"/>
          <w:sz w:val="32"/>
          <w:szCs w:val="32"/>
        </w:rPr>
        <w:t>〕18号</w:t>
      </w:r>
    </w:p>
    <w:p w14:paraId="04D35122">
      <w:pPr>
        <w:spacing w:before="184" w:line="540" w:lineRule="exact"/>
        <w:ind w:right="244"/>
        <w:jc w:val="center"/>
        <w:rPr>
          <w:rFonts w:ascii="方正小标宋简体" w:hAnsi="微软雅黑" w:eastAsia="方正小标宋简体" w:cs="微软雅黑"/>
          <w:spacing w:val="8"/>
          <w:sz w:val="44"/>
          <w:szCs w:val="44"/>
        </w:rPr>
      </w:pPr>
    </w:p>
    <w:p w14:paraId="3AA686A4">
      <w:pPr>
        <w:spacing w:before="184" w:line="540" w:lineRule="exact"/>
        <w:ind w:right="244"/>
        <w:jc w:val="center"/>
        <w:rPr>
          <w:rFonts w:ascii="方正小标宋简体" w:hAnsi="微软雅黑" w:eastAsia="方正小标宋简体" w:cs="微软雅黑"/>
          <w:sz w:val="44"/>
          <w:szCs w:val="44"/>
        </w:rPr>
      </w:pPr>
      <w:bookmarkStart w:id="0" w:name="_GoBack"/>
      <w:r>
        <w:rPr>
          <w:rFonts w:hint="eastAsia" w:ascii="方正小标宋简体" w:hAnsi="微软雅黑" w:eastAsia="方正小标宋简体" w:cs="微软雅黑"/>
          <w:spacing w:val="8"/>
          <w:sz w:val="44"/>
          <w:szCs w:val="44"/>
        </w:rPr>
        <w:t>关于印</w:t>
      </w:r>
      <w:r>
        <w:rPr>
          <w:rFonts w:hint="eastAsia" w:ascii="方正小标宋简体" w:hAnsi="微软雅黑" w:eastAsia="方正小标宋简体" w:cs="微软雅黑"/>
          <w:spacing w:val="6"/>
          <w:sz w:val="44"/>
          <w:szCs w:val="44"/>
        </w:rPr>
        <w:t>发</w:t>
      </w:r>
      <w:r>
        <w:rPr>
          <w:rFonts w:hint="eastAsia" w:ascii="方正小标宋简体" w:hAnsi="Times New Roman" w:eastAsia="方正小标宋简体" w:cs="Times New Roman"/>
          <w:spacing w:val="6"/>
          <w:sz w:val="44"/>
          <w:szCs w:val="44"/>
        </w:rPr>
        <w:t>202</w:t>
      </w:r>
      <w:r>
        <w:rPr>
          <w:rFonts w:ascii="方正小标宋简体" w:hAnsi="Times New Roman" w:eastAsia="方正小标宋简体" w:cs="Times New Roman"/>
          <w:spacing w:val="6"/>
          <w:sz w:val="44"/>
          <w:szCs w:val="44"/>
        </w:rPr>
        <w:t>4</w:t>
      </w:r>
      <w:r>
        <w:rPr>
          <w:rFonts w:hint="eastAsia" w:ascii="方正小标宋简体" w:hAnsi="微软雅黑" w:eastAsia="方正小标宋简体" w:cs="微软雅黑"/>
          <w:spacing w:val="6"/>
          <w:sz w:val="44"/>
          <w:szCs w:val="44"/>
        </w:rPr>
        <w:t>年全区秋种工作意见的通知</w:t>
      </w:r>
    </w:p>
    <w:p w14:paraId="21881187">
      <w:pPr>
        <w:spacing w:line="540" w:lineRule="exact"/>
      </w:pPr>
    </w:p>
    <w:p w14:paraId="7C153A9C">
      <w:pPr>
        <w:pStyle w:val="5"/>
        <w:overflowPunct w:val="0"/>
        <w:spacing w:before="0" w:after="0" w:line="540" w:lineRule="exact"/>
        <w:ind w:left="0" w:firstLine="0" w:firstLineChars="0"/>
        <w:rPr>
          <w:rFonts w:hint="default" w:ascii="仿宋_GB2312" w:hAnsi="仿宋" w:eastAsia="仿宋_GB2312" w:cs="仿宋_GB2312"/>
          <w:sz w:val="32"/>
          <w:szCs w:val="32"/>
        </w:rPr>
      </w:pPr>
      <w:r>
        <w:rPr>
          <w:rFonts w:ascii="仿宋_GB2312" w:hAnsi="仿宋" w:eastAsia="仿宋_GB2312" w:cs="仿宋_GB2312"/>
          <w:sz w:val="32"/>
          <w:szCs w:val="32"/>
        </w:rPr>
        <w:t>各镇党委、街道党工委，镇人民政府、街道办事处：</w:t>
      </w:r>
    </w:p>
    <w:p w14:paraId="55767951">
      <w:pPr>
        <w:pStyle w:val="5"/>
        <w:overflowPunct w:val="0"/>
        <w:spacing w:line="540" w:lineRule="exact"/>
        <w:ind w:firstLine="640" w:firstLineChars="200"/>
        <w:rPr>
          <w:rFonts w:hint="default" w:ascii="仿宋_GB2312" w:hAnsi="仿宋" w:eastAsia="仿宋_GB2312" w:cs="仿宋_GB2312"/>
          <w:sz w:val="32"/>
          <w:szCs w:val="32"/>
        </w:rPr>
      </w:pPr>
      <w:r>
        <w:rPr>
          <w:rFonts w:ascii="仿宋_GB2312" w:hAnsi="仿宋" w:eastAsia="仿宋_GB2312" w:cs="仿宋_GB2312"/>
          <w:sz w:val="32"/>
          <w:szCs w:val="32"/>
        </w:rPr>
        <w:t>根据《安徽省农业农村厅关于印发202</w:t>
      </w:r>
      <w:r>
        <w:rPr>
          <w:rFonts w:hint="default" w:ascii="仿宋_GB2312" w:hAnsi="仿宋" w:eastAsia="仿宋_GB2312" w:cs="仿宋_GB2312"/>
          <w:sz w:val="32"/>
          <w:szCs w:val="32"/>
        </w:rPr>
        <w:t>4</w:t>
      </w:r>
      <w:r>
        <w:rPr>
          <w:rFonts w:ascii="仿宋_GB2312" w:hAnsi="仿宋" w:eastAsia="仿宋_GB2312" w:cs="仿宋_GB2312"/>
          <w:sz w:val="32"/>
          <w:szCs w:val="32"/>
        </w:rPr>
        <w:t>年全省秋种工作意见的通知》（皖农农函〔202</w:t>
      </w:r>
      <w:r>
        <w:rPr>
          <w:rFonts w:hint="default" w:ascii="仿宋_GB2312" w:hAnsi="仿宋" w:eastAsia="仿宋_GB2312" w:cs="仿宋_GB2312"/>
          <w:sz w:val="32"/>
          <w:szCs w:val="32"/>
        </w:rPr>
        <w:t>4</w:t>
      </w:r>
      <w:r>
        <w:rPr>
          <w:rFonts w:ascii="仿宋_GB2312" w:hAnsi="仿宋" w:eastAsia="仿宋_GB2312" w:cs="仿宋_GB2312"/>
          <w:sz w:val="32"/>
          <w:szCs w:val="32"/>
        </w:rPr>
        <w:t>〕</w:t>
      </w:r>
      <w:r>
        <w:rPr>
          <w:rFonts w:hint="default" w:ascii="仿宋_GB2312" w:hAnsi="仿宋" w:eastAsia="仿宋_GB2312" w:cs="仿宋_GB2312"/>
          <w:sz w:val="32"/>
          <w:szCs w:val="32"/>
        </w:rPr>
        <w:t>715</w:t>
      </w:r>
      <w:r>
        <w:rPr>
          <w:rFonts w:ascii="仿宋_GB2312" w:hAnsi="仿宋" w:eastAsia="仿宋_GB2312" w:cs="仿宋_GB2312"/>
          <w:sz w:val="32"/>
          <w:szCs w:val="32"/>
        </w:rPr>
        <w:t>号）要求，经研究，现将《2024年全区秋种工作意见》印发给你们，请结合实际，认真抓好贯彻落实。</w:t>
      </w:r>
    </w:p>
    <w:p w14:paraId="3D190200">
      <w:pPr>
        <w:pStyle w:val="5"/>
        <w:overflowPunct w:val="0"/>
        <w:spacing w:before="0" w:after="0" w:line="540" w:lineRule="exact"/>
        <w:ind w:left="0" w:firstLine="0" w:firstLineChars="0"/>
        <w:rPr>
          <w:rFonts w:hint="default" w:ascii="仿宋_GB2312" w:hAnsi="仿宋" w:eastAsia="仿宋_GB2312" w:cs="仿宋_GB2312"/>
          <w:sz w:val="32"/>
          <w:szCs w:val="32"/>
        </w:rPr>
      </w:pPr>
    </w:p>
    <w:p w14:paraId="036E9138">
      <w:pPr>
        <w:pStyle w:val="5"/>
        <w:overflowPunct w:val="0"/>
        <w:spacing w:before="0" w:after="0" w:line="540" w:lineRule="exact"/>
        <w:ind w:left="0" w:firstLine="0" w:firstLineChars="0"/>
        <w:rPr>
          <w:rFonts w:hint="default" w:ascii="仿宋_GB2312" w:hAnsi="仿宋" w:eastAsia="仿宋_GB2312" w:cs="仿宋_GB2312"/>
          <w:sz w:val="32"/>
          <w:szCs w:val="32"/>
        </w:rPr>
      </w:pPr>
    </w:p>
    <w:p w14:paraId="43C5D54E">
      <w:pPr>
        <w:pStyle w:val="5"/>
        <w:overflowPunct w:val="0"/>
        <w:spacing w:before="0" w:after="0" w:line="540" w:lineRule="exact"/>
        <w:ind w:left="0" w:firstLine="1600" w:firstLineChars="500"/>
        <w:rPr>
          <w:rFonts w:hint="default" w:ascii="仿宋_GB2312" w:hAnsi="仿宋" w:eastAsia="仿宋_GB2312" w:cs="仿宋_GB2312"/>
          <w:sz w:val="32"/>
          <w:szCs w:val="32"/>
        </w:rPr>
      </w:pPr>
      <w:r>
        <w:rPr>
          <w:rFonts w:ascii="仿宋_GB2312" w:hAnsi="仿宋" w:eastAsia="仿宋_GB2312" w:cs="仿宋_GB2312"/>
          <w:sz w:val="32"/>
          <w:szCs w:val="32"/>
        </w:rPr>
        <w:t>中共池州市贵池区委农村工作领导小组办公室</w:t>
      </w:r>
    </w:p>
    <w:p w14:paraId="1794E183">
      <w:pPr>
        <w:pStyle w:val="5"/>
        <w:overflowPunct w:val="0"/>
        <w:spacing w:before="0" w:after="0" w:line="540" w:lineRule="exact"/>
        <w:ind w:firstLine="3299" w:firstLineChars="1031"/>
        <w:rPr>
          <w:rFonts w:hint="default" w:ascii="仿宋_GB2312" w:hAnsi="仿宋" w:eastAsia="仿宋_GB2312" w:cs="仿宋_GB2312"/>
          <w:sz w:val="32"/>
          <w:szCs w:val="32"/>
        </w:rPr>
      </w:pPr>
      <w:r>
        <w:rPr>
          <w:rFonts w:ascii="仿宋_GB2312" w:hAnsi="仿宋" w:eastAsia="仿宋_GB2312" w:cs="仿宋_GB2312"/>
          <w:sz w:val="32"/>
          <w:szCs w:val="32"/>
        </w:rPr>
        <w:t>2024年</w:t>
      </w:r>
      <w:r>
        <w:rPr>
          <w:rFonts w:hint="default" w:ascii="仿宋_GB2312" w:hAnsi="仿宋" w:eastAsia="仿宋_GB2312" w:cs="仿宋_GB2312"/>
          <w:sz w:val="32"/>
          <w:szCs w:val="32"/>
        </w:rPr>
        <w:t>10</w:t>
      </w:r>
      <w:r>
        <w:rPr>
          <w:rFonts w:ascii="仿宋_GB2312" w:hAnsi="仿宋" w:eastAsia="仿宋_GB2312" w:cs="仿宋_GB2312"/>
          <w:sz w:val="32"/>
          <w:szCs w:val="32"/>
        </w:rPr>
        <w:t>月</w:t>
      </w:r>
      <w:r>
        <w:rPr>
          <w:rFonts w:hint="default" w:ascii="仿宋_GB2312" w:hAnsi="仿宋" w:eastAsia="仿宋_GB2312" w:cs="仿宋_GB2312"/>
          <w:sz w:val="32"/>
          <w:szCs w:val="32"/>
        </w:rPr>
        <w:t>14</w:t>
      </w:r>
      <w:r>
        <w:rPr>
          <w:rFonts w:ascii="仿宋_GB2312" w:hAnsi="仿宋" w:eastAsia="仿宋_GB2312" w:cs="仿宋_GB2312"/>
          <w:sz w:val="32"/>
          <w:szCs w:val="32"/>
        </w:rPr>
        <w:t>日</w:t>
      </w:r>
    </w:p>
    <w:p w14:paraId="459C1FB4">
      <w:pPr>
        <w:pStyle w:val="5"/>
        <w:overflowPunct w:val="0"/>
        <w:spacing w:before="0" w:after="0" w:line="540" w:lineRule="exact"/>
        <w:ind w:left="0" w:firstLine="0" w:firstLineChars="0"/>
        <w:rPr>
          <w:rFonts w:hint="default" w:ascii="仿宋_GB2312" w:hAnsi="仿宋" w:eastAsia="仿宋_GB2312" w:cs="仿宋_GB2312"/>
          <w:sz w:val="32"/>
          <w:szCs w:val="32"/>
        </w:rPr>
      </w:pPr>
    </w:p>
    <w:p w14:paraId="210F32A8">
      <w:pPr>
        <w:jc w:val="center"/>
        <w:rPr>
          <w:rFonts w:hint="eastAsia" w:ascii="仿宋_GB2312" w:hAnsi="TimesNewRomanPSMT" w:eastAsia="仿宋_GB2312"/>
          <w:color w:val="000000"/>
          <w:sz w:val="44"/>
          <w:szCs w:val="44"/>
        </w:rPr>
      </w:pPr>
    </w:p>
    <w:p w14:paraId="17EA75A2">
      <w:pPr>
        <w:jc w:val="center"/>
        <w:rPr>
          <w:rFonts w:hint="eastAsia" w:ascii="方正小标宋简体" w:hAnsi="FZXBSJW--GB1-0" w:eastAsia="方正小标宋简体"/>
          <w:color w:val="000000"/>
          <w:sz w:val="44"/>
          <w:szCs w:val="44"/>
        </w:rPr>
      </w:pPr>
      <w:r>
        <w:rPr>
          <w:rFonts w:hint="eastAsia" w:ascii="方正小标宋简体" w:hAnsi="TimesNewRomanPSMT" w:eastAsia="方正小标宋简体"/>
          <w:color w:val="000000"/>
          <w:sz w:val="44"/>
          <w:szCs w:val="44"/>
        </w:rPr>
        <w:t>2024</w:t>
      </w:r>
      <w:r>
        <w:rPr>
          <w:rFonts w:hint="eastAsia" w:ascii="方正小标宋简体" w:hAnsi="FZXBSJW--GB1-0" w:eastAsia="方正小标宋简体"/>
          <w:color w:val="000000"/>
          <w:sz w:val="44"/>
          <w:szCs w:val="44"/>
        </w:rPr>
        <w:t>年全区秋种工作意见</w:t>
      </w:r>
    </w:p>
    <w:p w14:paraId="37830822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秋种是全年农业生产和种植业结构调整的基础。抓好今年秋种工作，对夺取明年夏季粮油丰收、增加农民收入、促进农村经济发展，具有十分重要意义。为切实抓好今年的秋种工作，现提出如下意见：</w:t>
      </w:r>
    </w:p>
    <w:p w14:paraId="31D64123">
      <w:pPr>
        <w:ind w:firstLine="640" w:firstLineChars="200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一、指导思想</w:t>
      </w:r>
    </w:p>
    <w:p w14:paraId="46DBB54C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以习近平关于</w:t>
      </w:r>
      <w:r>
        <w:rPr>
          <w:rFonts w:ascii="TimesNewRomanPSMT" w:hAnsi="TimesNewRomanPSMT"/>
          <w:color w:val="000000"/>
          <w:sz w:val="32"/>
          <w:szCs w:val="32"/>
        </w:rPr>
        <w:t>“</w:t>
      </w:r>
      <w:r>
        <w:rPr>
          <w:rFonts w:hint="eastAsia" w:ascii="仿宋_GB2312" w:eastAsia="仿宋_GB2312"/>
          <w:color w:val="000000"/>
          <w:sz w:val="32"/>
          <w:szCs w:val="32"/>
        </w:rPr>
        <w:t>三农</w:t>
      </w:r>
      <w:r>
        <w:rPr>
          <w:rFonts w:ascii="TimesNewRomanPSMT" w:hAnsi="TimesNewRomanPSMT"/>
          <w:color w:val="000000"/>
          <w:sz w:val="32"/>
          <w:szCs w:val="32"/>
        </w:rPr>
        <w:t>”</w:t>
      </w:r>
      <w:r>
        <w:rPr>
          <w:rFonts w:hint="eastAsia" w:ascii="仿宋_GB2312" w:eastAsia="仿宋_GB2312"/>
          <w:color w:val="000000"/>
          <w:sz w:val="32"/>
          <w:szCs w:val="32"/>
        </w:rPr>
        <w:t>工作的重要论述为引领，以稳定粮油面积、提升单产水平、优化供给质量、增加农民收入为主攻方向，狠抓精耕细作和关键技术推广，努力提高秋种质量，持续推进主要农作物大面积单产提升，力争实现夏季粮油生产新突破，为实现</w:t>
      </w:r>
      <w:r>
        <w:rPr>
          <w:rFonts w:ascii="TimesNewRomanPSMT" w:hAnsi="TimesNewRomanPSMT"/>
          <w:color w:val="000000"/>
          <w:sz w:val="32"/>
          <w:szCs w:val="32"/>
        </w:rPr>
        <w:t>“</w:t>
      </w:r>
      <w:r>
        <w:rPr>
          <w:rFonts w:hint="eastAsia" w:ascii="仿宋_GB2312" w:eastAsia="仿宋_GB2312"/>
          <w:color w:val="000000"/>
          <w:sz w:val="32"/>
          <w:szCs w:val="32"/>
        </w:rPr>
        <w:t>六个新提升</w:t>
      </w:r>
      <w:r>
        <w:rPr>
          <w:rFonts w:ascii="TimesNewRomanPSMT" w:hAnsi="TimesNewRomanPSMT"/>
          <w:color w:val="000000"/>
          <w:sz w:val="32"/>
          <w:szCs w:val="32"/>
        </w:rPr>
        <w:t>”</w:t>
      </w:r>
      <w:r>
        <w:rPr>
          <w:rFonts w:hint="eastAsia" w:ascii="仿宋_GB2312" w:eastAsia="仿宋_GB2312"/>
          <w:color w:val="000000"/>
          <w:sz w:val="32"/>
          <w:szCs w:val="32"/>
        </w:rPr>
        <w:t>、做到</w:t>
      </w:r>
      <w:r>
        <w:rPr>
          <w:rFonts w:ascii="TimesNewRomanPSMT" w:hAnsi="TimesNewRomanPSMT"/>
          <w:color w:val="000000"/>
          <w:sz w:val="32"/>
          <w:szCs w:val="32"/>
        </w:rPr>
        <w:t>“</w:t>
      </w:r>
      <w:r>
        <w:rPr>
          <w:rFonts w:hint="eastAsia" w:ascii="仿宋_GB2312" w:eastAsia="仿宋_GB2312"/>
          <w:color w:val="000000"/>
          <w:sz w:val="32"/>
          <w:szCs w:val="32"/>
        </w:rPr>
        <w:t>六个当先锋</w:t>
      </w:r>
      <w:r>
        <w:rPr>
          <w:rFonts w:ascii="TimesNewRomanPSMT" w:hAnsi="TimesNewRomanPSMT"/>
          <w:color w:val="000000"/>
          <w:sz w:val="32"/>
          <w:szCs w:val="32"/>
        </w:rPr>
        <w:t>”</w:t>
      </w:r>
      <w:r>
        <w:rPr>
          <w:rFonts w:hint="eastAsia" w:ascii="仿宋_GB2312" w:eastAsia="仿宋_GB2312"/>
          <w:color w:val="000000"/>
          <w:sz w:val="32"/>
          <w:szCs w:val="32"/>
        </w:rPr>
        <w:t>作出更大</w:t>
      </w:r>
      <w:r>
        <w:rPr>
          <w:rFonts w:ascii="TimesNewRomanPSMT" w:hAnsi="TimesNewRomanPSMT"/>
          <w:color w:val="000000"/>
          <w:sz w:val="32"/>
          <w:szCs w:val="32"/>
        </w:rPr>
        <w:t>“</w:t>
      </w:r>
      <w:r>
        <w:rPr>
          <w:rFonts w:hint="eastAsia" w:ascii="仿宋_GB2312" w:eastAsia="仿宋_GB2312"/>
          <w:color w:val="000000"/>
          <w:sz w:val="32"/>
          <w:szCs w:val="32"/>
        </w:rPr>
        <w:t>三农</w:t>
      </w:r>
      <w:r>
        <w:rPr>
          <w:rFonts w:ascii="TimesNewRomanPSMT" w:hAnsi="TimesNewRomanPSMT"/>
          <w:color w:val="000000"/>
          <w:sz w:val="32"/>
          <w:szCs w:val="32"/>
        </w:rPr>
        <w:t>”</w:t>
      </w:r>
      <w:r>
        <w:rPr>
          <w:rFonts w:hint="eastAsia" w:ascii="仿宋_GB2312" w:eastAsia="仿宋_GB2312"/>
          <w:color w:val="000000"/>
          <w:sz w:val="32"/>
          <w:szCs w:val="32"/>
        </w:rPr>
        <w:t>贡献。</w:t>
      </w:r>
    </w:p>
    <w:p w14:paraId="70F92141">
      <w:pPr>
        <w:ind w:firstLine="640" w:firstLineChars="200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二、任务目标</w:t>
      </w:r>
    </w:p>
    <w:p w14:paraId="2BAA96EC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小麦、油菜播种面积不低于上年（今年夏收面积），分别达到</w:t>
      </w:r>
      <w:r>
        <w:rPr>
          <w:rFonts w:ascii="TimesNewRomanPSMT" w:hAnsi="TimesNewRomanPSMT"/>
          <w:color w:val="000000"/>
          <w:sz w:val="32"/>
          <w:szCs w:val="32"/>
        </w:rPr>
        <w:t>10.23</w:t>
      </w:r>
      <w:r>
        <w:rPr>
          <w:rFonts w:hint="eastAsia" w:ascii="仿宋_GB2312" w:eastAsia="仿宋_GB2312"/>
          <w:color w:val="000000"/>
          <w:sz w:val="32"/>
          <w:szCs w:val="32"/>
        </w:rPr>
        <w:t>万亩、</w:t>
      </w:r>
      <w:r>
        <w:rPr>
          <w:rFonts w:ascii="TimesNewRomanPSMT" w:hAnsi="TimesNewRomanPSMT"/>
          <w:color w:val="000000"/>
          <w:sz w:val="32"/>
          <w:szCs w:val="32"/>
        </w:rPr>
        <w:t>22.2</w:t>
      </w:r>
      <w:r>
        <w:rPr>
          <w:rFonts w:hint="eastAsia" w:ascii="仿宋_GB2312" w:eastAsia="仿宋_GB2312"/>
          <w:color w:val="000000"/>
          <w:sz w:val="32"/>
          <w:szCs w:val="32"/>
        </w:rPr>
        <w:t>万亩以上，力争多增加（如后续有新的工作要求，任务再作调整，以新要求为准）；秋冬季蔬菜</w:t>
      </w:r>
      <w:r>
        <w:rPr>
          <w:rFonts w:ascii="TimesNewRomanPSMT" w:hAnsi="TimesNewRomanPSMT"/>
          <w:color w:val="000000"/>
          <w:sz w:val="32"/>
          <w:szCs w:val="32"/>
        </w:rPr>
        <w:t>8.1</w:t>
      </w:r>
      <w:r>
        <w:rPr>
          <w:rFonts w:hint="eastAsia" w:ascii="仿宋_GB2312" w:eastAsia="仿宋_GB2312"/>
          <w:color w:val="000000"/>
          <w:sz w:val="32"/>
          <w:szCs w:val="32"/>
        </w:rPr>
        <w:t>万亩（含复种）左右。</w:t>
      </w:r>
    </w:p>
    <w:p w14:paraId="69A63322">
      <w:pPr>
        <w:ind w:firstLine="640" w:firstLineChars="200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三、工作重点</w:t>
      </w:r>
    </w:p>
    <w:p w14:paraId="52370914">
      <w:pPr>
        <w:ind w:firstLine="640" w:firstLineChars="200"/>
        <w:rPr>
          <w:rFonts w:ascii="楷体_GB2312" w:hAnsi="黑体" w:eastAsia="楷体_GB2312"/>
          <w:color w:val="000000"/>
          <w:sz w:val="32"/>
          <w:szCs w:val="32"/>
        </w:rPr>
      </w:pPr>
      <w:r>
        <w:rPr>
          <w:rFonts w:hint="eastAsia" w:ascii="楷体_GB2312" w:hAnsi="黑体" w:eastAsia="楷体_GB2312"/>
          <w:color w:val="000000"/>
          <w:sz w:val="32"/>
          <w:szCs w:val="32"/>
        </w:rPr>
        <w:t>（一）扛稳政治责任，全面落实面积任务</w:t>
      </w:r>
    </w:p>
    <w:p w14:paraId="20822C51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1</w:t>
      </w:r>
      <w:r>
        <w:rPr>
          <w:rFonts w:hint="eastAsia" w:ascii="仿宋_GB2312" w:eastAsia="仿宋_GB2312"/>
          <w:b/>
          <w:bCs/>
          <w:color w:val="000000"/>
          <w:sz w:val="32"/>
          <w:szCs w:val="32"/>
        </w:rPr>
        <w:t>．推进收获腾茬。</w:t>
      </w:r>
      <w:r>
        <w:rPr>
          <w:rFonts w:hint="eastAsia" w:ascii="仿宋_GB2312" w:eastAsia="仿宋_GB2312"/>
          <w:color w:val="000000"/>
          <w:sz w:val="32"/>
          <w:szCs w:val="32"/>
        </w:rPr>
        <w:t>组织好跨区作业，选择合适机具和适宜收割期，最大限度降低收获损失，实现颗粒归仓。积极推广玉米适时晚收后熟技术，增加秋粮产量。充分发挥粮食烘干机作用，为群众提供粮食烘干服务。缺少烘干条件的地方，帮助农户开辟一切可利用场所，抢晴翻晾。密切关注粮食市场行情，指导农民科学储粮、择机售粮，确保不出现卖粮难，特别是卖豆难。严厉打击违法经营磷化铝行为，确保不出现中毒事件。</w:t>
      </w:r>
    </w:p>
    <w:p w14:paraId="4AF61B8D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2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．落实小麦面积。</w:t>
      </w:r>
      <w:r>
        <w:rPr>
          <w:rFonts w:hint="eastAsia" w:ascii="仿宋_GB2312" w:eastAsia="仿宋_GB2312"/>
          <w:color w:val="000000"/>
          <w:sz w:val="32"/>
          <w:szCs w:val="32"/>
        </w:rPr>
        <w:t>牢牢把握建设千亿斤江淮粮仓的行动方向，坚决稳住秋种小麦面积，确保不低于上年，筑牢明年夏粮丰收的基础，有条件的地方要努力挖潜扩面，力争实现新的突破。要加强耕地种植用途管控，防止耕地</w:t>
      </w:r>
      <w:r>
        <w:rPr>
          <w:rFonts w:ascii="TimesNewRomanPSMT" w:hAnsi="TimesNewRomanPSMT"/>
          <w:color w:val="000000"/>
          <w:sz w:val="32"/>
          <w:szCs w:val="32"/>
        </w:rPr>
        <w:t>“</w:t>
      </w:r>
      <w:r>
        <w:rPr>
          <w:rFonts w:hint="eastAsia" w:ascii="仿宋_GB2312" w:eastAsia="仿宋_GB2312"/>
          <w:color w:val="000000"/>
          <w:sz w:val="32"/>
          <w:szCs w:val="32"/>
        </w:rPr>
        <w:t>非粮化</w:t>
      </w:r>
      <w:r>
        <w:rPr>
          <w:rFonts w:ascii="TimesNewRomanPSMT" w:hAnsi="TimesNewRomanPSMT"/>
          <w:color w:val="000000"/>
          <w:sz w:val="32"/>
          <w:szCs w:val="32"/>
        </w:rPr>
        <w:t>”</w:t>
      </w:r>
      <w:r>
        <w:rPr>
          <w:rFonts w:hint="eastAsia" w:ascii="仿宋_GB2312" w:eastAsia="仿宋_GB2312"/>
          <w:color w:val="000000"/>
          <w:sz w:val="32"/>
          <w:szCs w:val="32"/>
        </w:rPr>
        <w:t>，及早安排播种地块，把耕地资源用足用好、种足种满。大力推进</w:t>
      </w:r>
      <w:r>
        <w:rPr>
          <w:rFonts w:ascii="TimesNewRomanPSMT" w:hAnsi="TimesNewRomanPSMT"/>
          <w:color w:val="000000"/>
          <w:sz w:val="32"/>
          <w:szCs w:val="32"/>
        </w:rPr>
        <w:t>“</w:t>
      </w:r>
      <w:r>
        <w:rPr>
          <w:rFonts w:hint="eastAsia" w:ascii="仿宋_GB2312" w:eastAsia="仿宋_GB2312"/>
          <w:color w:val="000000"/>
          <w:sz w:val="32"/>
          <w:szCs w:val="32"/>
        </w:rPr>
        <w:t>按图索粮</w:t>
      </w:r>
      <w:r>
        <w:rPr>
          <w:rFonts w:ascii="TimesNewRomanPSMT" w:hAnsi="TimesNewRomanPSMT"/>
          <w:color w:val="000000"/>
          <w:sz w:val="32"/>
          <w:szCs w:val="32"/>
        </w:rPr>
        <w:t>”</w:t>
      </w:r>
      <w:r>
        <w:rPr>
          <w:rFonts w:hint="eastAsia" w:ascii="仿宋_GB2312" w:eastAsia="仿宋_GB2312"/>
          <w:color w:val="000000"/>
          <w:sz w:val="32"/>
          <w:szCs w:val="32"/>
        </w:rPr>
        <w:t>，开展优质专用小麦单一品种整建制规模化种植，全区优质专用小麦面积占比要保持在</w:t>
      </w:r>
      <w:r>
        <w:rPr>
          <w:rFonts w:ascii="TimesNewRomanPSMT" w:hAnsi="TimesNewRomanPSMT"/>
          <w:color w:val="000000"/>
          <w:sz w:val="32"/>
          <w:szCs w:val="32"/>
        </w:rPr>
        <w:t>80%</w:t>
      </w:r>
      <w:r>
        <w:rPr>
          <w:rFonts w:hint="eastAsia" w:ascii="仿宋_GB2312" w:eastAsia="仿宋_GB2312"/>
          <w:color w:val="000000"/>
          <w:sz w:val="32"/>
          <w:szCs w:val="32"/>
        </w:rPr>
        <w:t>以上。</w:t>
      </w:r>
    </w:p>
    <w:p w14:paraId="7FF68985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3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．巩固油菜扩种。</w:t>
      </w:r>
      <w:r>
        <w:rPr>
          <w:rFonts w:hint="eastAsia" w:ascii="仿宋_GB2312" w:eastAsia="仿宋_GB2312"/>
          <w:color w:val="000000"/>
          <w:sz w:val="32"/>
          <w:szCs w:val="32"/>
        </w:rPr>
        <w:t>秋种油菜是扩大油料作物播种面积，提高食用植物油自给率的最大潜力所在。巩固油菜扩种的好势头，确保今年油菜播种面积不低于上年</w:t>
      </w:r>
      <w:r>
        <w:rPr>
          <w:rFonts w:hint="eastAsia" w:ascii="仿宋_GB2312" w:eastAsia="仿宋_GB2312"/>
          <w:sz w:val="32"/>
          <w:szCs w:val="32"/>
        </w:rPr>
        <w:t>。以秋江、墩上、殷汇、乌沙等镇街为重点，统筹利用好冬闲田资源，高质量实施耕地轮作、油菜扩种等项目，切实发挥奖补资金的推动作</w:t>
      </w:r>
      <w:r>
        <w:rPr>
          <w:rFonts w:hint="eastAsia" w:ascii="仿宋_GB2312" w:eastAsia="仿宋_GB2312"/>
          <w:color w:val="000000"/>
          <w:sz w:val="32"/>
          <w:szCs w:val="32"/>
        </w:rPr>
        <w:t>用，提高农民种植积极性和生产效益，推动任务落实落细落地。</w:t>
      </w:r>
    </w:p>
    <w:p w14:paraId="2E5DBFBB">
      <w:pPr>
        <w:ind w:firstLine="640" w:firstLineChars="200"/>
        <w:rPr>
          <w:rFonts w:ascii="楷体_GB2312" w:hAnsi="黑体" w:eastAsia="楷体_GB2312"/>
          <w:color w:val="000000"/>
          <w:sz w:val="32"/>
          <w:szCs w:val="32"/>
        </w:rPr>
      </w:pPr>
      <w:r>
        <w:rPr>
          <w:rFonts w:hint="eastAsia" w:ascii="楷体_GB2312" w:hAnsi="黑体" w:eastAsia="楷体_GB2312"/>
          <w:color w:val="000000"/>
          <w:sz w:val="32"/>
          <w:szCs w:val="32"/>
        </w:rPr>
        <w:t>（二）坚持绿色导向，深入推进结构调整</w:t>
      </w:r>
    </w:p>
    <w:p w14:paraId="4ECB2B15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4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．优化粮油布局。</w:t>
      </w:r>
      <w:r>
        <w:rPr>
          <w:rFonts w:hint="eastAsia" w:ascii="仿宋_GB2312" w:eastAsia="仿宋_GB2312"/>
          <w:color w:val="000000"/>
          <w:sz w:val="32"/>
          <w:szCs w:val="32"/>
        </w:rPr>
        <w:t>以秋种为重要契机，深入推进种植业结构调整，着力构建粮经饲统筹、农牧渔结合、种养加一体、一二三产业融合的现代农业结构。稳固我区秋种粮油的生产格局，进一步提高粮油供给质量和效率，根据市场需求和资源条件，扩大优质强筋、弱筋小麦和</w:t>
      </w:r>
      <w:r>
        <w:rPr>
          <w:rFonts w:ascii="TimesNewRomanPSMT" w:hAnsi="TimesNewRomanPSMT"/>
          <w:color w:val="000000"/>
          <w:sz w:val="32"/>
          <w:szCs w:val="32"/>
        </w:rPr>
        <w:t>“</w:t>
      </w:r>
      <w:r>
        <w:rPr>
          <w:rFonts w:hint="eastAsia" w:ascii="仿宋_GB2312" w:eastAsia="仿宋_GB2312"/>
          <w:color w:val="000000"/>
          <w:sz w:val="32"/>
          <w:szCs w:val="32"/>
        </w:rPr>
        <w:t>双低</w:t>
      </w:r>
      <w:r>
        <w:rPr>
          <w:rFonts w:ascii="TimesNewRomanPSMT" w:hAnsi="TimesNewRomanPSMT"/>
          <w:color w:val="000000"/>
          <w:sz w:val="32"/>
          <w:szCs w:val="32"/>
        </w:rPr>
        <w:t>”</w:t>
      </w:r>
      <w:r>
        <w:rPr>
          <w:rFonts w:hint="eastAsia" w:ascii="仿宋_GB2312" w:eastAsia="仿宋_GB2312"/>
          <w:color w:val="000000"/>
          <w:sz w:val="32"/>
          <w:szCs w:val="32"/>
        </w:rPr>
        <w:t>油菜的比例，提升优质化水平。积极拓展油菜的油用、菜用、肥用、观光等多功能性和提高油菜种植综合效益，实现农文旅结合，扮靓乡村、助农增收。</w:t>
      </w:r>
    </w:p>
    <w:p w14:paraId="358397FA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5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．推行</w:t>
      </w: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“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按图索粮</w:t>
      </w: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”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。</w:t>
      </w:r>
      <w:r>
        <w:rPr>
          <w:rFonts w:hint="eastAsia" w:ascii="仿宋_GB2312" w:eastAsia="仿宋_GB2312"/>
          <w:color w:val="000000"/>
          <w:sz w:val="32"/>
          <w:szCs w:val="32"/>
        </w:rPr>
        <w:t>全面推行</w:t>
      </w:r>
      <w:r>
        <w:rPr>
          <w:rFonts w:ascii="TimesNewRomanPSMT" w:hAnsi="TimesNewRomanPSMT"/>
          <w:color w:val="000000"/>
          <w:sz w:val="32"/>
          <w:szCs w:val="32"/>
        </w:rPr>
        <w:t>“</w:t>
      </w:r>
      <w:r>
        <w:rPr>
          <w:rFonts w:hint="eastAsia" w:ascii="仿宋_GB2312" w:eastAsia="仿宋_GB2312"/>
          <w:color w:val="000000"/>
          <w:sz w:val="32"/>
          <w:szCs w:val="32"/>
        </w:rPr>
        <w:t>按图索粮（油）</w:t>
      </w:r>
      <w:r>
        <w:rPr>
          <w:rFonts w:ascii="TimesNewRomanPSMT" w:hAnsi="TimesNewRomanPSMT"/>
          <w:color w:val="000000"/>
          <w:sz w:val="32"/>
          <w:szCs w:val="32"/>
        </w:rPr>
        <w:t>”</w:t>
      </w:r>
      <w:r>
        <w:rPr>
          <w:rFonts w:hint="eastAsia" w:ascii="仿宋_GB2312" w:eastAsia="仿宋_GB2312"/>
          <w:color w:val="000000"/>
          <w:sz w:val="32"/>
          <w:szCs w:val="32"/>
        </w:rPr>
        <w:t>模式，大力推进专用小麦、优质油菜单一品种的整建制规模化种植，鼓励整镇、整村推进。围绕市场需求和品牌要求，加大优质专用粮食原料生产基地建设，实行单一品种种植，标准化生产，确保产品单收单贮单加工。组织引导龙头企业与合作社、家庭农场、基地农户发展粮食订单生产，建立紧密产销合作关系，提高种粮农民收益。加强对用粮企业、新型经营主体及农户的政策、市场、技术等方面的服务，规范订单生产双方合作内容、合作方式，监督订单履约。</w:t>
      </w:r>
    </w:p>
    <w:p w14:paraId="1BDE885C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6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．调整产业结构。</w:t>
      </w:r>
      <w:r>
        <w:rPr>
          <w:rFonts w:hint="eastAsia" w:ascii="仿宋_GB2312" w:eastAsia="仿宋_GB2312"/>
          <w:color w:val="000000"/>
          <w:sz w:val="32"/>
          <w:szCs w:val="32"/>
        </w:rPr>
        <w:t>加大秋冬种蔬菜生产力度，重点发展设施蔬菜和食用菌产业，保障大宗蔬菜供应，提高特色蔬菜、应急保供蔬菜供给水平。利用茶桑果等经果园间套种蚕豆、豌豆、绿肥等作物。积极推广粮经高效耕作、稻田综合种养和稻田马铃薯连作模式，扩大绿肥、饲草及马铃薯等的种植面积。发展产品加工、休闲观光、农事体验等新业态，拓展农业多功能性，促进产业结构调整。打造知名区域公共品牌和一批乡土品牌，创建农产品地理标志培育样板，提升绿色食品品牌价值。</w:t>
      </w:r>
    </w:p>
    <w:p w14:paraId="0D812852">
      <w:pPr>
        <w:ind w:firstLine="640" w:firstLineChars="200"/>
        <w:rPr>
          <w:rFonts w:ascii="楷体_GB2312" w:hAnsi="黑体" w:eastAsia="楷体_GB2312"/>
          <w:color w:val="000000"/>
          <w:sz w:val="32"/>
          <w:szCs w:val="32"/>
        </w:rPr>
      </w:pPr>
      <w:r>
        <w:rPr>
          <w:rFonts w:hint="eastAsia" w:ascii="楷体_GB2312" w:hAnsi="黑体" w:eastAsia="楷体_GB2312"/>
          <w:color w:val="000000"/>
          <w:sz w:val="32"/>
          <w:szCs w:val="32"/>
        </w:rPr>
        <w:t>（三）狠抓秋种质量，加快大面积单产提升</w:t>
      </w:r>
    </w:p>
    <w:p w14:paraId="2515F31A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7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．提高整地水平。</w:t>
      </w:r>
      <w:r>
        <w:rPr>
          <w:rFonts w:hint="eastAsia" w:ascii="仿宋_GB2312" w:eastAsia="仿宋_GB2312"/>
          <w:color w:val="000000"/>
          <w:sz w:val="32"/>
          <w:szCs w:val="32"/>
        </w:rPr>
        <w:t>加大智慧农机应用，根据不同作物茬口，推广秸秆离田或适量粉碎均匀还田培肥地力。开展精准整地作业，扩大旋耕施肥播种镇压一体化作业面积，根据机具配备、天气条件、土壤质地等因素，采取旋耕或耕翻深埋等方式，旋耕埋草深度</w:t>
      </w:r>
      <w:r>
        <w:rPr>
          <w:rFonts w:ascii="TimesNewRomanPSMT" w:hAnsi="TimesNewRomanPSMT"/>
          <w:color w:val="000000"/>
          <w:sz w:val="32"/>
          <w:szCs w:val="32"/>
        </w:rPr>
        <w:t>15</w:t>
      </w:r>
      <w:r>
        <w:rPr>
          <w:rFonts w:hint="eastAsia" w:ascii="仿宋_GB2312" w:eastAsia="仿宋_GB2312"/>
          <w:color w:val="000000"/>
          <w:sz w:val="32"/>
          <w:szCs w:val="32"/>
        </w:rPr>
        <w:t>厘米以上，提高秸秆还田质量和耕整地质量。耕作层较浅的地块，耕深要逐年增加，并及时进行耙耢、镇压，避免耕层土壤悬松。稻茬田块或易出现涝渍的地区要做到</w:t>
      </w:r>
      <w:r>
        <w:rPr>
          <w:rFonts w:ascii="TimesNewRomanPSMT" w:hAnsi="TimesNewRomanPSMT"/>
          <w:color w:val="000000"/>
          <w:sz w:val="32"/>
          <w:szCs w:val="32"/>
        </w:rPr>
        <w:t>“</w:t>
      </w:r>
      <w:r>
        <w:rPr>
          <w:rFonts w:hint="eastAsia" w:ascii="仿宋_GB2312" w:eastAsia="仿宋_GB2312"/>
          <w:color w:val="000000"/>
          <w:sz w:val="32"/>
          <w:szCs w:val="32"/>
        </w:rPr>
        <w:t>三沟</w:t>
      </w:r>
      <w:r>
        <w:rPr>
          <w:rFonts w:ascii="TimesNewRomanPSMT" w:hAnsi="TimesNewRomanPSMT"/>
          <w:color w:val="000000"/>
          <w:sz w:val="32"/>
          <w:szCs w:val="32"/>
        </w:rPr>
        <w:t>”</w:t>
      </w:r>
      <w:r>
        <w:rPr>
          <w:rFonts w:hint="eastAsia" w:ascii="仿宋_GB2312" w:eastAsia="仿宋_GB2312"/>
          <w:color w:val="000000"/>
          <w:sz w:val="32"/>
          <w:szCs w:val="32"/>
        </w:rPr>
        <w:t>相通，确保灌排通畅。</w:t>
      </w:r>
    </w:p>
    <w:p w14:paraId="6204D0B5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8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．落实科学播种。</w:t>
      </w:r>
      <w:r>
        <w:rPr>
          <w:rFonts w:hint="eastAsia" w:ascii="仿宋_GB2312" w:eastAsia="仿宋_GB2312"/>
          <w:color w:val="000000"/>
          <w:sz w:val="32"/>
          <w:szCs w:val="32"/>
        </w:rPr>
        <w:t>根据品种特性、气候条件、土壤墒情及种植制度、病虫害发生规律等特点，因地制宜选择高产、优质、多抗品种。播种前进行晒种，重点做好种子包衣或药剂拌种技术，提高成苗质量和抗逆性、抗病性。坚持</w:t>
      </w:r>
      <w:r>
        <w:rPr>
          <w:rFonts w:ascii="TimesNewRomanPSMT" w:hAnsi="TimesNewRomanPSMT"/>
          <w:color w:val="000000"/>
          <w:sz w:val="32"/>
          <w:szCs w:val="32"/>
        </w:rPr>
        <w:t>“</w:t>
      </w:r>
      <w:r>
        <w:rPr>
          <w:rFonts w:hint="eastAsia" w:ascii="仿宋_GB2312" w:eastAsia="仿宋_GB2312"/>
          <w:color w:val="000000"/>
          <w:sz w:val="32"/>
          <w:szCs w:val="32"/>
        </w:rPr>
        <w:t>有墒不等时，到时不等墒</w:t>
      </w:r>
      <w:r>
        <w:rPr>
          <w:rFonts w:ascii="TimesNewRomanPSMT" w:hAnsi="TimesNewRomanPSMT"/>
          <w:color w:val="000000"/>
          <w:sz w:val="32"/>
          <w:szCs w:val="32"/>
        </w:rPr>
        <w:t>”</w:t>
      </w:r>
      <w:r>
        <w:rPr>
          <w:rFonts w:hint="eastAsia" w:ascii="仿宋_GB2312" w:eastAsia="仿宋_GB2312"/>
          <w:color w:val="000000"/>
          <w:sz w:val="32"/>
          <w:szCs w:val="32"/>
        </w:rPr>
        <w:t>的原则，优先选用大型复式播种机，在适播期内，做到抢墒造墒尽量早播、一播全苗。适度控制小麦播量，采取适时晚播，防止冬前旺长，提高油菜种植密度，形成高产群体。密切关注出苗情况，及时查苗补苗，加强苗期管理，确保壮苗越冬。</w:t>
      </w:r>
    </w:p>
    <w:p w14:paraId="24F5F954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9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．发展绿色生产。</w:t>
      </w:r>
      <w:r>
        <w:rPr>
          <w:rFonts w:hint="eastAsia" w:ascii="仿宋_GB2312" w:eastAsia="仿宋_GB2312"/>
          <w:color w:val="000000"/>
          <w:sz w:val="32"/>
          <w:szCs w:val="32"/>
        </w:rPr>
        <w:t>推广绿色高产高效模式化技术和节水、节肥、节药生产模式，促进农药减量增效，实现小麦、油菜绿色保优提质高产栽培。持续推进科学施肥增效和有机肥替代化肥行动，改进施肥方式，促进施肥方法由撒施向深施、条施、穴施、水肥耦合发展。加快推进农药减量增效行动，推广科学安全用药。落实病虫害统防统治和绿色防控，加快高效低风险农药和高效植保机械推广应用，提高综合防控水平和效果。</w:t>
      </w:r>
    </w:p>
    <w:p w14:paraId="473E1073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10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．强化示范带动。</w:t>
      </w:r>
      <w:r>
        <w:rPr>
          <w:rFonts w:hint="eastAsia" w:ascii="仿宋_GB2312" w:eastAsia="仿宋_GB2312"/>
          <w:sz w:val="32"/>
          <w:szCs w:val="32"/>
        </w:rPr>
        <w:t>把抓好精耕细作示范点周年高产摆在重中之重位置，发挥典型示范的</w:t>
      </w:r>
      <w:r>
        <w:rPr>
          <w:rFonts w:hint="eastAsia" w:ascii="仿宋_GB2312" w:eastAsia="仿宋_GB2312"/>
          <w:color w:val="000000"/>
          <w:sz w:val="32"/>
          <w:szCs w:val="32"/>
        </w:rPr>
        <w:t>宣传、辐射和带动作用。做好优质专用粮油集中连片作业和统一管理，开展高产竞赛，挖掘单产潜力，打造一批高产百亩攻关田、千亩示范方、万亩示范片，通过抓大县、大片和大户建设，辐射带动大面积均衡增产。支持</w:t>
      </w:r>
      <w:r>
        <w:rPr>
          <w:rFonts w:ascii="TimesNewRomanPSMT" w:hAnsi="TimesNewRomanPSMT"/>
          <w:color w:val="000000"/>
          <w:sz w:val="32"/>
          <w:szCs w:val="32"/>
        </w:rPr>
        <w:t>300</w:t>
      </w:r>
      <w:r>
        <w:rPr>
          <w:rFonts w:hint="eastAsia" w:ascii="仿宋_GB2312" w:eastAsia="仿宋_GB2312"/>
          <w:color w:val="000000"/>
          <w:sz w:val="32"/>
          <w:szCs w:val="32"/>
        </w:rPr>
        <w:t>亩以上种粮大户等主体发展，带动广大小农户多种粮、种好粮。支持开展土地托管、农机作业、统防统治等经营性服务，提升社会化服务对小农户的覆盖率，提高秋种的组织化和标准化程度。</w:t>
      </w:r>
    </w:p>
    <w:p w14:paraId="747C4C32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11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．抓好防灾减灾。</w:t>
      </w:r>
      <w:r>
        <w:rPr>
          <w:rFonts w:hint="eastAsia" w:ascii="仿宋_GB2312" w:eastAsia="仿宋_GB2312"/>
          <w:color w:val="000000"/>
          <w:sz w:val="32"/>
          <w:szCs w:val="32"/>
        </w:rPr>
        <w:t>利用秋收秋种茬口衔接，加快高标准农田建设，增强抵御自然灾害的能力。针对可能影响秋种的不利天气，加强与气象等部门的联系会商，及早制定应急预案，做好防灾技术和各项工作准备，杜绝出现大面积因灾无法播种的情况。重点做好秋冬持续干旱、阴雨、冬季冰雪灾害和春季低温阴雨等灾害的预防应对。推广冬前除草技术，减轻杂草危害。总结推广小麦赤霉病、油菜菌核病等主要病虫害统防统治经验，防控关口前移，及早谋划推进。</w:t>
      </w:r>
    </w:p>
    <w:p w14:paraId="3D19B2D3">
      <w:pPr>
        <w:ind w:firstLine="640" w:firstLineChars="200"/>
        <w:rPr>
          <w:rFonts w:ascii="楷体_GB2312" w:hAnsi="黑体" w:eastAsia="楷体_GB2312"/>
          <w:color w:val="000000"/>
          <w:sz w:val="32"/>
          <w:szCs w:val="32"/>
        </w:rPr>
      </w:pPr>
      <w:r>
        <w:rPr>
          <w:rFonts w:hint="eastAsia" w:ascii="楷体_GB2312" w:hAnsi="黑体" w:eastAsia="楷体_GB2312"/>
          <w:color w:val="000000"/>
          <w:sz w:val="32"/>
          <w:szCs w:val="32"/>
        </w:rPr>
        <w:t>（四）强化组织领导，提升服务保障水平</w:t>
      </w:r>
    </w:p>
    <w:p w14:paraId="55DC382B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12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．强化责任落实。</w:t>
      </w:r>
      <w:r>
        <w:rPr>
          <w:rFonts w:hint="eastAsia" w:ascii="仿宋_GB2312" w:eastAsia="仿宋_GB2312"/>
          <w:color w:val="000000"/>
          <w:sz w:val="32"/>
          <w:szCs w:val="32"/>
        </w:rPr>
        <w:t>要从全局的高度充分认识抓好秋种生产的重要性，切实增强责任感和紧迫感，主动担当，攻坚克难，把秋种作为当前农业农村工作的中心任务，对照下达的秋种计划任务，细化工作措施，实行挂图作战，确保各项任务顺利完成。要用活用好中央、省级财政资金项目，积极出台本地的扶持政策，激发各类生产经营主体参与的积极性，促进农民持续稳定增收。要严守安全底线，确保不发生重大安全生产事故。</w:t>
      </w:r>
    </w:p>
    <w:p w14:paraId="413D7531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13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．提高服务水平。</w:t>
      </w:r>
      <w:r>
        <w:rPr>
          <w:rFonts w:hint="eastAsia" w:ascii="仿宋_GB2312" w:eastAsia="仿宋_GB2312"/>
          <w:color w:val="000000"/>
          <w:sz w:val="32"/>
          <w:szCs w:val="32"/>
        </w:rPr>
        <w:t>根据秋种需要，及早备足备好农资，指导农民科学选购使用化肥农药。开展放心农资下乡进村和农资打假专项治理行动，严厉打击哄抬物价、生产经营假劣农资等违法行为，维护农民合法利益。加强技术指导服务，分区域、分品种制定发布技术指导意见，组织农业专家和农技人员深入生产一线，重点围绕种粮大户等新型经营主体，包村联户、开展技术培训。利用明白纸、技术手册、微信群、网络视频等方式，提高服务覆盖范围和效率。</w:t>
      </w:r>
    </w:p>
    <w:p w14:paraId="49551CFD">
      <w:pPr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1</w:t>
      </w:r>
      <w:r>
        <w:rPr>
          <w:rFonts w:ascii="仿宋_GB2312" w:hAnsi="TimesNewRomanPSMT" w:eastAsia="仿宋_GB2312"/>
          <w:b/>
          <w:bCs/>
          <w:color w:val="000000"/>
          <w:sz w:val="32"/>
          <w:szCs w:val="32"/>
        </w:rPr>
        <w:t>4.</w:t>
      </w:r>
      <w:r>
        <w:rPr>
          <w:rFonts w:hint="eastAsia" w:ascii="仿宋_GB2312" w:hAnsi="TimesNewRomanPSMT" w:eastAsia="仿宋_GB2312"/>
          <w:b/>
          <w:bCs/>
          <w:color w:val="000000"/>
          <w:sz w:val="32"/>
          <w:szCs w:val="32"/>
        </w:rPr>
        <w:t>强化责任落实。</w:t>
      </w:r>
      <w:r>
        <w:rPr>
          <w:rFonts w:hint="eastAsia" w:ascii="仿宋_GB2312" w:eastAsia="仿宋_GB2312"/>
          <w:color w:val="000000"/>
          <w:sz w:val="32"/>
          <w:szCs w:val="32"/>
        </w:rPr>
        <w:t>充分发挥粮食安全考核的激励和鞭策作用，</w:t>
      </w:r>
      <w:r>
        <w:rPr>
          <w:rFonts w:ascii="仿宋_GB2312" w:eastAsia="仿宋_GB2312"/>
          <w:color w:val="000000"/>
          <w:sz w:val="32"/>
          <w:szCs w:val="32"/>
        </w:rPr>
        <w:t>各地要按照秋种总体目标，要进一步分解细化任务，明确责任，分工负责，抓好落实</w:t>
      </w:r>
      <w:r>
        <w:rPr>
          <w:rFonts w:hint="eastAsia" w:ascii="仿宋_GB2312" w:eastAsia="仿宋_GB2312"/>
          <w:color w:val="000000"/>
          <w:sz w:val="32"/>
          <w:szCs w:val="32"/>
        </w:rPr>
        <w:t>，并请各镇街将任务分解到村、到组、到地块，于1</w:t>
      </w:r>
      <w:r>
        <w:rPr>
          <w:rFonts w:ascii="仿宋_GB2312" w:eastAsia="仿宋_GB2312"/>
          <w:color w:val="000000"/>
          <w:sz w:val="32"/>
          <w:szCs w:val="32"/>
        </w:rPr>
        <w:t>0</w:t>
      </w:r>
      <w:r>
        <w:rPr>
          <w:rFonts w:hint="eastAsia" w:ascii="仿宋_GB2312" w:eastAsia="仿宋_GB2312"/>
          <w:color w:val="000000"/>
          <w:sz w:val="32"/>
          <w:szCs w:val="32"/>
        </w:rPr>
        <w:t>月</w:t>
      </w:r>
      <w:r>
        <w:rPr>
          <w:rFonts w:ascii="仿宋_GB2312" w:eastAsia="仿宋_GB2312"/>
          <w:color w:val="000000"/>
          <w:sz w:val="32"/>
          <w:szCs w:val="32"/>
        </w:rPr>
        <w:t>25</w:t>
      </w:r>
      <w:r>
        <w:rPr>
          <w:rFonts w:hint="eastAsia" w:ascii="仿宋_GB2312" w:eastAsia="仿宋_GB2312"/>
          <w:color w:val="000000"/>
          <w:sz w:val="32"/>
          <w:szCs w:val="32"/>
        </w:rPr>
        <w:t>日前将任务分解表报送至区农业农村局</w:t>
      </w:r>
      <w:r>
        <w:rPr>
          <w:rFonts w:ascii="仿宋_GB2312" w:eastAsia="仿宋_GB2312"/>
          <w:color w:val="000000"/>
          <w:sz w:val="32"/>
          <w:szCs w:val="32"/>
        </w:rPr>
        <w:t>。</w:t>
      </w:r>
      <w:r>
        <w:rPr>
          <w:rFonts w:hint="eastAsia" w:ascii="仿宋_GB2312" w:eastAsia="仿宋_GB2312"/>
          <w:color w:val="000000"/>
          <w:sz w:val="32"/>
          <w:szCs w:val="32"/>
        </w:rPr>
        <w:t>区级将</w:t>
      </w:r>
      <w:r>
        <w:rPr>
          <w:rFonts w:ascii="仿宋_GB2312" w:eastAsia="仿宋_GB2312"/>
          <w:color w:val="000000"/>
          <w:sz w:val="32"/>
          <w:szCs w:val="32"/>
        </w:rPr>
        <w:t>组织秋种督导服务，加强对秋种质量、品种应用，落实订单、技术推广等重点环节和任务措施的调度，强化结果运用，对落实不力的</w:t>
      </w:r>
      <w:r>
        <w:rPr>
          <w:rFonts w:hint="eastAsia" w:ascii="仿宋_GB2312" w:eastAsia="仿宋_GB2312"/>
          <w:color w:val="000000"/>
          <w:sz w:val="32"/>
          <w:szCs w:val="32"/>
        </w:rPr>
        <w:t>镇街</w:t>
      </w:r>
      <w:r>
        <w:rPr>
          <w:rFonts w:ascii="仿宋_GB2312" w:eastAsia="仿宋_GB2312"/>
          <w:color w:val="000000"/>
          <w:sz w:val="32"/>
          <w:szCs w:val="32"/>
        </w:rPr>
        <w:t>将进行通报，</w:t>
      </w:r>
      <w:r>
        <w:rPr>
          <w:rFonts w:hint="eastAsia" w:ascii="仿宋_GB2312" w:eastAsia="仿宋_GB2312"/>
          <w:color w:val="000000"/>
          <w:sz w:val="32"/>
          <w:szCs w:val="32"/>
        </w:rPr>
        <w:t>各地</w:t>
      </w:r>
      <w:r>
        <w:rPr>
          <w:rFonts w:ascii="仿宋_GB2312" w:eastAsia="仿宋_GB2312"/>
          <w:color w:val="000000"/>
          <w:sz w:val="32"/>
          <w:szCs w:val="32"/>
        </w:rPr>
        <w:t>要及时发现问题、解决问题，</w:t>
      </w:r>
      <w:r>
        <w:rPr>
          <w:rFonts w:hint="eastAsia" w:ascii="仿宋_GB2312" w:eastAsia="仿宋_GB2312"/>
          <w:color w:val="000000"/>
          <w:sz w:val="32"/>
          <w:szCs w:val="32"/>
        </w:rPr>
        <w:t>推动任务全面完成。</w:t>
      </w:r>
      <w:r>
        <w:rPr>
          <w:rFonts w:ascii="仿宋_GB2312" w:eastAsia="仿宋_GB2312"/>
          <w:color w:val="000000"/>
          <w:sz w:val="32"/>
          <w:szCs w:val="32"/>
        </w:rPr>
        <w:t>要加大宣传力度，</w:t>
      </w:r>
      <w:r>
        <w:rPr>
          <w:rFonts w:hint="eastAsia" w:ascii="仿宋_GB2312" w:eastAsia="仿宋_GB2312"/>
          <w:color w:val="000000"/>
          <w:sz w:val="32"/>
          <w:szCs w:val="32"/>
        </w:rPr>
        <w:t>积极</w:t>
      </w:r>
      <w:r>
        <w:rPr>
          <w:rFonts w:ascii="仿宋_GB2312" w:eastAsia="仿宋_GB2312"/>
          <w:color w:val="000000"/>
          <w:sz w:val="32"/>
          <w:szCs w:val="32"/>
        </w:rPr>
        <w:t>报道各地涌现出的好经验、好做法和好模式，营造良好社会舆论氛围</w:t>
      </w:r>
      <w:r>
        <w:rPr>
          <w:rFonts w:hint="eastAsia" w:ascii="仿宋_GB2312" w:eastAsia="仿宋_GB2312"/>
          <w:color w:val="000000"/>
          <w:sz w:val="32"/>
          <w:szCs w:val="32"/>
        </w:rPr>
        <w:t>。</w:t>
      </w:r>
    </w:p>
    <w:p w14:paraId="6145F6CA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联系人：姜飞，施六八；电话：</w:t>
      </w:r>
      <w:r>
        <w:rPr>
          <w:rFonts w:ascii="仿宋_GB2312" w:eastAsia="仿宋_GB2312"/>
          <w:color w:val="000000"/>
          <w:sz w:val="32"/>
          <w:szCs w:val="32"/>
        </w:rPr>
        <w:t>2620030</w:t>
      </w:r>
      <w:r>
        <w:rPr>
          <w:rFonts w:hint="eastAsia" w:ascii="仿宋_GB2312" w:eastAsia="仿宋_GB2312"/>
          <w:color w:val="000000"/>
          <w:sz w:val="32"/>
          <w:szCs w:val="32"/>
        </w:rPr>
        <w:t>。</w:t>
      </w:r>
    </w:p>
    <w:p w14:paraId="54199E44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附件：各镇街秋种任务清单</w:t>
      </w:r>
    </w:p>
    <w:p w14:paraId="2BDAF721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183A6ECB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1AEBD1B3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01E194F2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2E335C8F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61400B60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57AA49A9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26BEB386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16D2001A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5E0ACBFD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4A210332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47A03FA8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26908035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79E91519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65BE8E9B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p w14:paraId="794E0839">
      <w:pPr>
        <w:spacing w:before="101" w:line="230" w:lineRule="auto"/>
        <w:ind w:left="142"/>
        <w:rPr>
          <w:rFonts w:ascii="黑体" w:hAnsi="黑体" w:eastAsia="黑体" w:cs="黑体"/>
          <w:spacing w:val="-6"/>
          <w:sz w:val="31"/>
          <w:szCs w:val="31"/>
        </w:rPr>
      </w:pPr>
      <w:r>
        <w:rPr>
          <w:rFonts w:ascii="黑体" w:hAnsi="黑体" w:eastAsia="黑体" w:cs="黑体"/>
          <w:spacing w:val="-6"/>
          <w:sz w:val="31"/>
          <w:szCs w:val="31"/>
        </w:rPr>
        <w:t>附件</w:t>
      </w:r>
    </w:p>
    <w:p w14:paraId="57F6FE4D">
      <w:pPr>
        <w:spacing w:before="101" w:line="230" w:lineRule="auto"/>
        <w:ind w:left="142"/>
        <w:jc w:val="center"/>
        <w:rPr>
          <w:rFonts w:ascii="方正小标宋简体" w:hAnsi="黑体" w:eastAsia="方正小标宋简体" w:cs="黑体"/>
          <w:spacing w:val="-6"/>
          <w:sz w:val="44"/>
          <w:szCs w:val="44"/>
        </w:rPr>
      </w:pPr>
      <w:r>
        <w:rPr>
          <w:rFonts w:hint="eastAsia" w:ascii="方正小标宋简体" w:hAnsi="微软雅黑" w:eastAsia="方正小标宋简体" w:cs="微软雅黑"/>
          <w:spacing w:val="10"/>
          <w:sz w:val="44"/>
          <w:szCs w:val="44"/>
        </w:rPr>
        <w:t>各镇街秋种任务清单</w:t>
      </w:r>
    </w:p>
    <w:tbl>
      <w:tblPr>
        <w:tblStyle w:val="14"/>
        <w:tblW w:w="8490" w:type="dxa"/>
        <w:tblInd w:w="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46"/>
        <w:gridCol w:w="1796"/>
        <w:gridCol w:w="1809"/>
        <w:gridCol w:w="2339"/>
      </w:tblGrid>
      <w:tr w14:paraId="7411D8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546" w:type="dxa"/>
            <w:tcBorders>
              <w:tl2br w:val="single" w:color="000000" w:sz="4" w:space="0"/>
            </w:tcBorders>
          </w:tcPr>
          <w:p w14:paraId="77822E09">
            <w:pPr>
              <w:spacing w:before="160" w:line="233" w:lineRule="auto"/>
              <w:ind w:right="155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spacing w:val="5"/>
                <w:kern w:val="0"/>
                <w:sz w:val="32"/>
                <w:szCs w:val="32"/>
              </w:rPr>
              <w:t>镇街</w:t>
            </w: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 xml:space="preserve">    </w:t>
            </w:r>
            <w:r>
              <w:rPr>
                <w:rFonts w:hint="eastAsia" w:ascii="仿宋_GB2312" w:hAnsi="仿宋" w:eastAsia="仿宋_GB2312" w:cs="仿宋"/>
                <w:snapToGrid w:val="0"/>
                <w:color w:val="000000"/>
                <w:spacing w:val="1"/>
                <w:kern w:val="0"/>
                <w:sz w:val="32"/>
                <w:szCs w:val="32"/>
              </w:rPr>
              <w:t xml:space="preserve">作物类 </w:t>
            </w:r>
          </w:p>
        </w:tc>
        <w:tc>
          <w:tcPr>
            <w:tcW w:w="1796" w:type="dxa"/>
          </w:tcPr>
          <w:p w14:paraId="582D02E2">
            <w:pPr>
              <w:spacing w:before="241" w:line="201" w:lineRule="auto"/>
              <w:ind w:right="55"/>
              <w:rPr>
                <w:rFonts w:ascii="仿宋_GB2312" w:hAnsi="仿宋" w:eastAsia="仿宋_GB2312" w:cs="仿宋"/>
                <w:snapToGrid w:val="0"/>
                <w:color w:val="000000"/>
                <w:spacing w:val="-6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spacing w:val="-6"/>
                <w:kern w:val="0"/>
                <w:sz w:val="32"/>
                <w:szCs w:val="32"/>
              </w:rPr>
              <w:t>油菜</w:t>
            </w:r>
            <w:r>
              <w:rPr>
                <w:rFonts w:hint="eastAsia" w:ascii="仿宋_GB2312" w:hAnsi="仿宋" w:eastAsia="仿宋_GB2312" w:cs="仿宋"/>
                <w:snapToGrid w:val="0"/>
                <w:color w:val="000000"/>
                <w:spacing w:val="-21"/>
                <w:kern w:val="0"/>
                <w:sz w:val="32"/>
                <w:szCs w:val="32"/>
              </w:rPr>
              <w:t>(万亩</w:t>
            </w:r>
            <w:r>
              <w:rPr>
                <w:rFonts w:hint="eastAsia" w:ascii="仿宋_GB2312" w:hAnsi="仿宋" w:eastAsia="仿宋_GB2312" w:cs="仿宋"/>
                <w:snapToGrid w:val="0"/>
                <w:color w:val="000000"/>
                <w:spacing w:val="-20"/>
                <w:kern w:val="0"/>
                <w:sz w:val="32"/>
                <w:szCs w:val="32"/>
              </w:rPr>
              <w:t>)</w:t>
            </w:r>
          </w:p>
        </w:tc>
        <w:tc>
          <w:tcPr>
            <w:tcW w:w="1809" w:type="dxa"/>
          </w:tcPr>
          <w:p w14:paraId="51D47C6E">
            <w:pPr>
              <w:spacing w:before="241" w:line="201" w:lineRule="auto"/>
              <w:ind w:left="109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小麦</w:t>
            </w:r>
            <w:r>
              <w:rPr>
                <w:rFonts w:hint="eastAsia" w:ascii="仿宋_GB2312" w:hAnsi="仿宋" w:eastAsia="仿宋_GB2312" w:cs="仿宋"/>
                <w:snapToGrid w:val="0"/>
                <w:color w:val="000000"/>
                <w:spacing w:val="-25"/>
                <w:kern w:val="0"/>
                <w:sz w:val="32"/>
                <w:szCs w:val="32"/>
              </w:rPr>
              <w:t>(</w:t>
            </w:r>
            <w:r>
              <w:rPr>
                <w:rFonts w:hint="eastAsia" w:ascii="仿宋_GB2312" w:hAnsi="仿宋" w:eastAsia="仿宋_GB2312" w:cs="仿宋"/>
                <w:snapToGrid w:val="0"/>
                <w:color w:val="000000"/>
                <w:spacing w:val="-21"/>
                <w:kern w:val="0"/>
                <w:sz w:val="32"/>
                <w:szCs w:val="32"/>
              </w:rPr>
              <w:t>万亩)</w:t>
            </w:r>
          </w:p>
        </w:tc>
        <w:tc>
          <w:tcPr>
            <w:tcW w:w="2339" w:type="dxa"/>
          </w:tcPr>
          <w:p w14:paraId="5FB66A1E">
            <w:pPr>
              <w:spacing w:before="240" w:line="96" w:lineRule="auto"/>
              <w:ind w:left="125" w:firstLine="6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spacing w:val="-1"/>
                <w:kern w:val="0"/>
                <w:sz w:val="32"/>
                <w:szCs w:val="32"/>
              </w:rPr>
              <w:t>备注</w:t>
            </w:r>
          </w:p>
        </w:tc>
      </w:tr>
      <w:tr w14:paraId="2BDFE0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2546" w:type="dxa"/>
          </w:tcPr>
          <w:p w14:paraId="6BB699B1">
            <w:pPr>
              <w:spacing w:before="156" w:line="223" w:lineRule="auto"/>
              <w:ind w:left="622"/>
              <w:rPr>
                <w:rFonts w:ascii="仿宋_GB2312" w:hAnsi="仿宋" w:eastAsia="仿宋_GB2312" w:cs="仿宋"/>
                <w:b/>
                <w:bCs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snapToGrid w:val="0"/>
                <w:color w:val="000000"/>
                <w:spacing w:val="3"/>
                <w:kern w:val="0"/>
                <w:sz w:val="32"/>
                <w:szCs w:val="32"/>
              </w:rPr>
              <w:t>贵池区</w:t>
            </w:r>
          </w:p>
        </w:tc>
        <w:tc>
          <w:tcPr>
            <w:tcW w:w="1796" w:type="dxa"/>
          </w:tcPr>
          <w:p w14:paraId="5733131C">
            <w:pPr>
              <w:spacing w:before="197" w:line="190" w:lineRule="auto"/>
              <w:ind w:left="419"/>
              <w:rPr>
                <w:rFonts w:ascii="仿宋_GB2312" w:hAnsi="仿宋" w:eastAsia="仿宋_GB2312" w:cs="仿宋"/>
                <w:b/>
                <w:bCs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snapToGrid w:val="0"/>
                <w:color w:val="auto"/>
                <w:spacing w:val="5"/>
                <w:kern w:val="0"/>
                <w:sz w:val="32"/>
                <w:szCs w:val="32"/>
              </w:rPr>
              <w:t>2</w:t>
            </w:r>
            <w:r>
              <w:rPr>
                <w:rFonts w:hint="eastAsia" w:ascii="仿宋_GB2312" w:hAnsi="仿宋" w:eastAsia="仿宋_GB2312" w:cs="仿宋"/>
                <w:b/>
                <w:bCs/>
                <w:snapToGrid w:val="0"/>
                <w:color w:val="auto"/>
                <w:spacing w:val="4"/>
                <w:kern w:val="0"/>
                <w:sz w:val="32"/>
                <w:szCs w:val="32"/>
              </w:rPr>
              <w:t>2.2</w:t>
            </w:r>
          </w:p>
        </w:tc>
        <w:tc>
          <w:tcPr>
            <w:tcW w:w="1809" w:type="dxa"/>
          </w:tcPr>
          <w:p w14:paraId="5D710418">
            <w:pPr>
              <w:spacing w:before="197" w:line="190" w:lineRule="auto"/>
              <w:ind w:left="399"/>
              <w:rPr>
                <w:rFonts w:ascii="仿宋_GB2312" w:hAnsi="仿宋" w:eastAsia="仿宋_GB2312" w:cs="仿宋"/>
                <w:b/>
                <w:bCs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snapToGrid w:val="0"/>
                <w:color w:val="000000"/>
                <w:spacing w:val="2"/>
                <w:kern w:val="0"/>
                <w:sz w:val="32"/>
                <w:szCs w:val="32"/>
              </w:rPr>
              <w:t>10.</w:t>
            </w:r>
            <w:r>
              <w:rPr>
                <w:rFonts w:hint="eastAsia" w:ascii="仿宋_GB2312" w:hAnsi="仿宋" w:eastAsia="仿宋_GB2312" w:cs="仿宋"/>
                <w:b/>
                <w:bCs/>
                <w:snapToGrid w:val="0"/>
                <w:color w:val="000000"/>
                <w:spacing w:val="1"/>
                <w:kern w:val="0"/>
                <w:sz w:val="32"/>
                <w:szCs w:val="32"/>
              </w:rPr>
              <w:t>23</w:t>
            </w:r>
          </w:p>
        </w:tc>
        <w:tc>
          <w:tcPr>
            <w:tcW w:w="2339" w:type="dxa"/>
          </w:tcPr>
          <w:p w14:paraId="53B6EE46">
            <w:pPr>
              <w:spacing w:before="131" w:line="224" w:lineRule="auto"/>
              <w:ind w:left="132"/>
              <w:jc w:val="center"/>
              <w:rPr>
                <w:rFonts w:ascii="仿宋_GB2312" w:hAnsi="仿宋" w:eastAsia="仿宋_GB2312" w:cs="仿宋"/>
                <w:b/>
                <w:bCs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35ADCB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546" w:type="dxa"/>
          </w:tcPr>
          <w:p w14:paraId="46ACC0E4">
            <w:pPr>
              <w:spacing w:before="159" w:line="223" w:lineRule="auto"/>
              <w:ind w:left="624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墩上街道</w:t>
            </w:r>
          </w:p>
        </w:tc>
        <w:tc>
          <w:tcPr>
            <w:tcW w:w="1796" w:type="dxa"/>
            <w:vAlign w:val="center"/>
          </w:tcPr>
          <w:p w14:paraId="6C70B947">
            <w:pPr>
              <w:spacing w:before="197" w:line="192" w:lineRule="auto"/>
              <w:ind w:left="41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2.11</w:t>
            </w:r>
          </w:p>
        </w:tc>
        <w:tc>
          <w:tcPr>
            <w:tcW w:w="1809" w:type="dxa"/>
            <w:vAlign w:val="center"/>
          </w:tcPr>
          <w:p w14:paraId="3B80B973">
            <w:pPr>
              <w:spacing w:before="200" w:line="190" w:lineRule="auto"/>
              <w:ind w:left="399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0.635</w:t>
            </w:r>
          </w:p>
        </w:tc>
        <w:tc>
          <w:tcPr>
            <w:tcW w:w="2339" w:type="dxa"/>
          </w:tcPr>
          <w:p w14:paraId="545756E7">
            <w:pPr>
              <w:spacing w:before="132" w:line="224" w:lineRule="auto"/>
              <w:ind w:left="132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5A5ACB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2546" w:type="dxa"/>
          </w:tcPr>
          <w:p w14:paraId="67729EFF">
            <w:pPr>
              <w:spacing w:before="159" w:line="223" w:lineRule="auto"/>
              <w:ind w:left="624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江口街道</w:t>
            </w:r>
          </w:p>
        </w:tc>
        <w:tc>
          <w:tcPr>
            <w:tcW w:w="1796" w:type="dxa"/>
            <w:vAlign w:val="center"/>
          </w:tcPr>
          <w:p w14:paraId="334A81F1">
            <w:pPr>
              <w:spacing w:before="197" w:line="192" w:lineRule="auto"/>
              <w:ind w:left="41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0.45</w:t>
            </w:r>
          </w:p>
        </w:tc>
        <w:tc>
          <w:tcPr>
            <w:tcW w:w="1809" w:type="dxa"/>
            <w:vAlign w:val="center"/>
          </w:tcPr>
          <w:p w14:paraId="4C67C434">
            <w:pPr>
              <w:spacing w:before="200" w:line="190" w:lineRule="auto"/>
              <w:ind w:left="399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0.092</w:t>
            </w:r>
          </w:p>
        </w:tc>
        <w:tc>
          <w:tcPr>
            <w:tcW w:w="2339" w:type="dxa"/>
          </w:tcPr>
          <w:p w14:paraId="43DEEDEF">
            <w:pPr>
              <w:spacing w:before="132" w:line="224" w:lineRule="auto"/>
              <w:ind w:left="132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09C58E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2546" w:type="dxa"/>
          </w:tcPr>
          <w:p w14:paraId="682AD5C1">
            <w:pPr>
              <w:spacing w:before="159" w:line="223" w:lineRule="auto"/>
              <w:ind w:left="624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涓桥镇</w:t>
            </w:r>
          </w:p>
        </w:tc>
        <w:tc>
          <w:tcPr>
            <w:tcW w:w="1796" w:type="dxa"/>
            <w:vAlign w:val="center"/>
          </w:tcPr>
          <w:p w14:paraId="4E5738A3">
            <w:pPr>
              <w:spacing w:before="197" w:line="192" w:lineRule="auto"/>
              <w:ind w:left="41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1.39</w:t>
            </w:r>
          </w:p>
        </w:tc>
        <w:tc>
          <w:tcPr>
            <w:tcW w:w="1809" w:type="dxa"/>
            <w:vAlign w:val="center"/>
          </w:tcPr>
          <w:p w14:paraId="032491CC">
            <w:pPr>
              <w:spacing w:before="200" w:line="190" w:lineRule="auto"/>
              <w:ind w:left="399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0.85</w:t>
            </w:r>
          </w:p>
        </w:tc>
        <w:tc>
          <w:tcPr>
            <w:tcW w:w="2339" w:type="dxa"/>
          </w:tcPr>
          <w:p w14:paraId="2CF9E4A6">
            <w:pPr>
              <w:spacing w:before="132" w:line="224" w:lineRule="auto"/>
              <w:ind w:left="132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2958AC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2546" w:type="dxa"/>
          </w:tcPr>
          <w:p w14:paraId="7AEDE9FC">
            <w:pPr>
              <w:spacing w:before="159" w:line="223" w:lineRule="auto"/>
              <w:ind w:left="624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里山街道</w:t>
            </w:r>
          </w:p>
        </w:tc>
        <w:tc>
          <w:tcPr>
            <w:tcW w:w="1796" w:type="dxa"/>
            <w:vAlign w:val="center"/>
          </w:tcPr>
          <w:p w14:paraId="14365B1E">
            <w:pPr>
              <w:spacing w:before="197" w:line="192" w:lineRule="auto"/>
              <w:ind w:left="41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0.67</w:t>
            </w:r>
          </w:p>
        </w:tc>
        <w:tc>
          <w:tcPr>
            <w:tcW w:w="1809" w:type="dxa"/>
            <w:vAlign w:val="center"/>
          </w:tcPr>
          <w:p w14:paraId="0452370A">
            <w:pPr>
              <w:spacing w:before="200" w:line="190" w:lineRule="auto"/>
              <w:ind w:left="399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0.21</w:t>
            </w:r>
          </w:p>
        </w:tc>
        <w:tc>
          <w:tcPr>
            <w:tcW w:w="2339" w:type="dxa"/>
          </w:tcPr>
          <w:p w14:paraId="61162364">
            <w:pPr>
              <w:spacing w:before="132" w:line="224" w:lineRule="auto"/>
              <w:ind w:left="132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3068F2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2546" w:type="dxa"/>
          </w:tcPr>
          <w:p w14:paraId="49D8467E">
            <w:pPr>
              <w:spacing w:before="159" w:line="223" w:lineRule="auto"/>
              <w:ind w:left="624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马衙街道</w:t>
            </w:r>
          </w:p>
        </w:tc>
        <w:tc>
          <w:tcPr>
            <w:tcW w:w="1796" w:type="dxa"/>
            <w:vAlign w:val="center"/>
          </w:tcPr>
          <w:p w14:paraId="09153528">
            <w:pPr>
              <w:spacing w:before="197" w:line="192" w:lineRule="auto"/>
              <w:ind w:left="41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0.945</w:t>
            </w:r>
          </w:p>
        </w:tc>
        <w:tc>
          <w:tcPr>
            <w:tcW w:w="1809" w:type="dxa"/>
            <w:vAlign w:val="center"/>
          </w:tcPr>
          <w:p w14:paraId="0DA4E9CB">
            <w:pPr>
              <w:spacing w:before="200" w:line="190" w:lineRule="auto"/>
              <w:ind w:left="399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</w:t>
            </w:r>
            <w:r>
              <w:rPr>
                <w:rFonts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07</w:t>
            </w:r>
          </w:p>
        </w:tc>
        <w:tc>
          <w:tcPr>
            <w:tcW w:w="2339" w:type="dxa"/>
          </w:tcPr>
          <w:p w14:paraId="0AA9D54F">
            <w:pPr>
              <w:spacing w:before="132" w:line="224" w:lineRule="auto"/>
              <w:ind w:left="132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21EDA5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2546" w:type="dxa"/>
          </w:tcPr>
          <w:p w14:paraId="453B01B3">
            <w:pPr>
              <w:spacing w:before="159" w:line="223" w:lineRule="auto"/>
              <w:ind w:left="624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梅村镇</w:t>
            </w:r>
          </w:p>
        </w:tc>
        <w:tc>
          <w:tcPr>
            <w:tcW w:w="1796" w:type="dxa"/>
            <w:vAlign w:val="center"/>
          </w:tcPr>
          <w:p w14:paraId="03BD06F3">
            <w:pPr>
              <w:spacing w:before="197" w:line="192" w:lineRule="auto"/>
              <w:ind w:left="41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0.8</w:t>
            </w:r>
          </w:p>
        </w:tc>
        <w:tc>
          <w:tcPr>
            <w:tcW w:w="1809" w:type="dxa"/>
            <w:vAlign w:val="center"/>
          </w:tcPr>
          <w:p w14:paraId="05C0405E">
            <w:pPr>
              <w:spacing w:before="200" w:line="190" w:lineRule="auto"/>
              <w:ind w:left="399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0.097</w:t>
            </w:r>
          </w:p>
        </w:tc>
        <w:tc>
          <w:tcPr>
            <w:tcW w:w="2339" w:type="dxa"/>
          </w:tcPr>
          <w:p w14:paraId="3B721071">
            <w:pPr>
              <w:spacing w:before="132" w:line="224" w:lineRule="auto"/>
              <w:ind w:left="132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624846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2546" w:type="dxa"/>
          </w:tcPr>
          <w:p w14:paraId="34E0DF8D">
            <w:pPr>
              <w:spacing w:before="159" w:line="223" w:lineRule="auto"/>
              <w:ind w:left="624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梅龙街道</w:t>
            </w:r>
          </w:p>
        </w:tc>
        <w:tc>
          <w:tcPr>
            <w:tcW w:w="1796" w:type="dxa"/>
            <w:vAlign w:val="center"/>
          </w:tcPr>
          <w:p w14:paraId="31ECEE2E">
            <w:pPr>
              <w:spacing w:before="197" w:line="192" w:lineRule="auto"/>
              <w:ind w:left="41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2.018</w:t>
            </w:r>
          </w:p>
        </w:tc>
        <w:tc>
          <w:tcPr>
            <w:tcW w:w="1809" w:type="dxa"/>
            <w:vAlign w:val="center"/>
          </w:tcPr>
          <w:p w14:paraId="697A18E6">
            <w:pPr>
              <w:spacing w:before="200" w:line="190" w:lineRule="auto"/>
              <w:ind w:left="399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0.985</w:t>
            </w:r>
          </w:p>
        </w:tc>
        <w:tc>
          <w:tcPr>
            <w:tcW w:w="2339" w:type="dxa"/>
          </w:tcPr>
          <w:p w14:paraId="0C1A269F">
            <w:pPr>
              <w:spacing w:before="132" w:line="224" w:lineRule="auto"/>
              <w:ind w:left="132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6115BF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2546" w:type="dxa"/>
          </w:tcPr>
          <w:p w14:paraId="09D5CF89">
            <w:pPr>
              <w:spacing w:before="159" w:line="223" w:lineRule="auto"/>
              <w:ind w:left="624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梅街镇</w:t>
            </w:r>
          </w:p>
        </w:tc>
        <w:tc>
          <w:tcPr>
            <w:tcW w:w="1796" w:type="dxa"/>
            <w:vAlign w:val="center"/>
          </w:tcPr>
          <w:p w14:paraId="6A8781A6">
            <w:pPr>
              <w:spacing w:before="197" w:line="192" w:lineRule="auto"/>
              <w:ind w:left="41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0.404</w:t>
            </w:r>
          </w:p>
        </w:tc>
        <w:tc>
          <w:tcPr>
            <w:tcW w:w="1809" w:type="dxa"/>
            <w:vAlign w:val="center"/>
          </w:tcPr>
          <w:p w14:paraId="6B85B710">
            <w:pPr>
              <w:spacing w:before="200" w:line="190" w:lineRule="auto"/>
              <w:ind w:left="399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0.117</w:t>
            </w:r>
          </w:p>
        </w:tc>
        <w:tc>
          <w:tcPr>
            <w:tcW w:w="2339" w:type="dxa"/>
          </w:tcPr>
          <w:p w14:paraId="03CCC106">
            <w:pPr>
              <w:spacing w:before="132" w:line="224" w:lineRule="auto"/>
              <w:ind w:left="132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4D1FBF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2546" w:type="dxa"/>
          </w:tcPr>
          <w:p w14:paraId="1A5A8DB4">
            <w:pPr>
              <w:spacing w:before="160" w:line="221" w:lineRule="auto"/>
              <w:ind w:left="627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牛头山镇</w:t>
            </w:r>
          </w:p>
        </w:tc>
        <w:tc>
          <w:tcPr>
            <w:tcW w:w="1796" w:type="dxa"/>
            <w:vAlign w:val="center"/>
          </w:tcPr>
          <w:p w14:paraId="1EFAFA19">
            <w:pPr>
              <w:spacing w:before="200" w:line="192" w:lineRule="auto"/>
              <w:ind w:left="49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2.145</w:t>
            </w:r>
          </w:p>
        </w:tc>
        <w:tc>
          <w:tcPr>
            <w:tcW w:w="1809" w:type="dxa"/>
            <w:vAlign w:val="center"/>
          </w:tcPr>
          <w:p w14:paraId="1D596468">
            <w:pPr>
              <w:spacing w:before="201" w:line="190" w:lineRule="auto"/>
              <w:ind w:left="480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1.4</w:t>
            </w:r>
            <w:r>
              <w:rPr>
                <w:rFonts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1</w:t>
            </w: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2339" w:type="dxa"/>
          </w:tcPr>
          <w:p w14:paraId="096D9CA9">
            <w:pPr>
              <w:spacing w:before="136" w:line="224" w:lineRule="auto"/>
              <w:ind w:left="130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19F102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2546" w:type="dxa"/>
          </w:tcPr>
          <w:p w14:paraId="56097091">
            <w:pPr>
              <w:spacing w:before="160" w:line="221" w:lineRule="auto"/>
              <w:ind w:left="627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牌楼镇</w:t>
            </w:r>
          </w:p>
        </w:tc>
        <w:tc>
          <w:tcPr>
            <w:tcW w:w="1796" w:type="dxa"/>
            <w:vAlign w:val="center"/>
          </w:tcPr>
          <w:p w14:paraId="43305C44">
            <w:pPr>
              <w:spacing w:before="200" w:line="192" w:lineRule="auto"/>
              <w:ind w:left="49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0.848</w:t>
            </w:r>
          </w:p>
        </w:tc>
        <w:tc>
          <w:tcPr>
            <w:tcW w:w="1809" w:type="dxa"/>
            <w:vAlign w:val="center"/>
          </w:tcPr>
          <w:p w14:paraId="315084A1">
            <w:pPr>
              <w:spacing w:before="201" w:line="190" w:lineRule="auto"/>
              <w:ind w:left="480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0.115</w:t>
            </w:r>
          </w:p>
        </w:tc>
        <w:tc>
          <w:tcPr>
            <w:tcW w:w="2339" w:type="dxa"/>
          </w:tcPr>
          <w:p w14:paraId="78FCEBDA">
            <w:pPr>
              <w:spacing w:before="136" w:line="224" w:lineRule="auto"/>
              <w:ind w:left="130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68C2A0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2546" w:type="dxa"/>
          </w:tcPr>
          <w:p w14:paraId="4DF80A82">
            <w:pPr>
              <w:spacing w:before="160" w:line="221" w:lineRule="auto"/>
              <w:ind w:left="627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清溪街道</w:t>
            </w:r>
          </w:p>
        </w:tc>
        <w:tc>
          <w:tcPr>
            <w:tcW w:w="1796" w:type="dxa"/>
            <w:vAlign w:val="center"/>
          </w:tcPr>
          <w:p w14:paraId="3FB80C6C">
            <w:pPr>
              <w:spacing w:before="200" w:line="192" w:lineRule="auto"/>
              <w:ind w:left="49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0.44</w:t>
            </w:r>
          </w:p>
        </w:tc>
        <w:tc>
          <w:tcPr>
            <w:tcW w:w="1809" w:type="dxa"/>
            <w:vAlign w:val="center"/>
          </w:tcPr>
          <w:p w14:paraId="12C153FE">
            <w:pPr>
              <w:spacing w:before="201" w:line="190" w:lineRule="auto"/>
              <w:ind w:left="480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2339" w:type="dxa"/>
          </w:tcPr>
          <w:p w14:paraId="1DBFF910">
            <w:pPr>
              <w:spacing w:before="136" w:line="224" w:lineRule="auto"/>
              <w:ind w:left="130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4C8852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2546" w:type="dxa"/>
          </w:tcPr>
          <w:p w14:paraId="0D9C9EBE">
            <w:pPr>
              <w:spacing w:before="160" w:line="221" w:lineRule="auto"/>
              <w:ind w:left="627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秋江街道</w:t>
            </w:r>
          </w:p>
        </w:tc>
        <w:tc>
          <w:tcPr>
            <w:tcW w:w="1796" w:type="dxa"/>
            <w:vAlign w:val="center"/>
          </w:tcPr>
          <w:p w14:paraId="4C82A814">
            <w:pPr>
              <w:spacing w:before="200" w:line="192" w:lineRule="auto"/>
              <w:ind w:left="49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4.405</w:t>
            </w:r>
          </w:p>
        </w:tc>
        <w:tc>
          <w:tcPr>
            <w:tcW w:w="1809" w:type="dxa"/>
            <w:vAlign w:val="center"/>
          </w:tcPr>
          <w:p w14:paraId="4B76E4ED">
            <w:pPr>
              <w:spacing w:before="201" w:line="190" w:lineRule="auto"/>
              <w:ind w:left="480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2.78</w:t>
            </w:r>
          </w:p>
        </w:tc>
        <w:tc>
          <w:tcPr>
            <w:tcW w:w="2339" w:type="dxa"/>
          </w:tcPr>
          <w:p w14:paraId="2B3933E3">
            <w:pPr>
              <w:spacing w:before="136" w:line="224" w:lineRule="auto"/>
              <w:ind w:left="130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0EC76C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2546" w:type="dxa"/>
          </w:tcPr>
          <w:p w14:paraId="24D1B378">
            <w:pPr>
              <w:spacing w:before="160" w:line="221" w:lineRule="auto"/>
              <w:ind w:left="627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唐田镇</w:t>
            </w:r>
          </w:p>
        </w:tc>
        <w:tc>
          <w:tcPr>
            <w:tcW w:w="1796" w:type="dxa"/>
            <w:vAlign w:val="center"/>
          </w:tcPr>
          <w:p w14:paraId="1BDEDA90">
            <w:pPr>
              <w:spacing w:before="200" w:line="192" w:lineRule="auto"/>
              <w:ind w:left="49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0.847</w:t>
            </w:r>
          </w:p>
        </w:tc>
        <w:tc>
          <w:tcPr>
            <w:tcW w:w="1809" w:type="dxa"/>
            <w:vAlign w:val="center"/>
          </w:tcPr>
          <w:p w14:paraId="4F73833B">
            <w:pPr>
              <w:spacing w:before="201" w:line="190" w:lineRule="auto"/>
              <w:ind w:left="480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0.171</w:t>
            </w:r>
          </w:p>
        </w:tc>
        <w:tc>
          <w:tcPr>
            <w:tcW w:w="2339" w:type="dxa"/>
          </w:tcPr>
          <w:p w14:paraId="1D7E3BC3">
            <w:pPr>
              <w:spacing w:before="136" w:line="224" w:lineRule="auto"/>
              <w:ind w:left="130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31B59D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2546" w:type="dxa"/>
          </w:tcPr>
          <w:p w14:paraId="13A1E619">
            <w:pPr>
              <w:spacing w:before="160" w:line="221" w:lineRule="auto"/>
              <w:ind w:left="627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棠溪镇</w:t>
            </w:r>
          </w:p>
        </w:tc>
        <w:tc>
          <w:tcPr>
            <w:tcW w:w="1796" w:type="dxa"/>
            <w:vAlign w:val="center"/>
          </w:tcPr>
          <w:p w14:paraId="4505031B">
            <w:pPr>
              <w:spacing w:before="200" w:line="192" w:lineRule="auto"/>
              <w:ind w:left="49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0.197</w:t>
            </w:r>
          </w:p>
        </w:tc>
        <w:tc>
          <w:tcPr>
            <w:tcW w:w="1809" w:type="dxa"/>
            <w:vAlign w:val="center"/>
          </w:tcPr>
          <w:p w14:paraId="6C54FB39">
            <w:pPr>
              <w:spacing w:before="201" w:line="190" w:lineRule="auto"/>
              <w:ind w:left="480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2339" w:type="dxa"/>
          </w:tcPr>
          <w:p w14:paraId="1336A070">
            <w:pPr>
              <w:spacing w:before="136" w:line="224" w:lineRule="auto"/>
              <w:ind w:left="130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161C8E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2546" w:type="dxa"/>
          </w:tcPr>
          <w:p w14:paraId="1F62C6DD">
            <w:pPr>
              <w:spacing w:before="160" w:line="221" w:lineRule="auto"/>
              <w:ind w:left="627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乌沙镇</w:t>
            </w:r>
          </w:p>
        </w:tc>
        <w:tc>
          <w:tcPr>
            <w:tcW w:w="1796" w:type="dxa"/>
            <w:vAlign w:val="center"/>
          </w:tcPr>
          <w:p w14:paraId="2B73CA1A">
            <w:pPr>
              <w:spacing w:before="200" w:line="192" w:lineRule="auto"/>
              <w:ind w:left="49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2.377</w:t>
            </w:r>
          </w:p>
        </w:tc>
        <w:tc>
          <w:tcPr>
            <w:tcW w:w="1809" w:type="dxa"/>
            <w:vAlign w:val="center"/>
          </w:tcPr>
          <w:p w14:paraId="141D1BAB">
            <w:pPr>
              <w:spacing w:before="201" w:line="190" w:lineRule="auto"/>
              <w:ind w:left="480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1.4</w:t>
            </w:r>
            <w:r>
              <w:rPr>
                <w:rFonts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2339" w:type="dxa"/>
          </w:tcPr>
          <w:p w14:paraId="3BBB28E4">
            <w:pPr>
              <w:spacing w:before="136" w:line="224" w:lineRule="auto"/>
              <w:ind w:left="130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5584A6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" w:hRule="atLeast"/>
        </w:trPr>
        <w:tc>
          <w:tcPr>
            <w:tcW w:w="2546" w:type="dxa"/>
          </w:tcPr>
          <w:p w14:paraId="608F6AD1">
            <w:pPr>
              <w:spacing w:before="160" w:line="221" w:lineRule="auto"/>
              <w:ind w:left="627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杏花村街道</w:t>
            </w:r>
          </w:p>
        </w:tc>
        <w:tc>
          <w:tcPr>
            <w:tcW w:w="1796" w:type="dxa"/>
            <w:vAlign w:val="center"/>
          </w:tcPr>
          <w:p w14:paraId="7901C19E">
            <w:pPr>
              <w:spacing w:before="200" w:line="192" w:lineRule="auto"/>
              <w:ind w:left="49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0.012</w:t>
            </w:r>
          </w:p>
        </w:tc>
        <w:tc>
          <w:tcPr>
            <w:tcW w:w="1809" w:type="dxa"/>
            <w:vAlign w:val="center"/>
          </w:tcPr>
          <w:p w14:paraId="536DC79A">
            <w:pPr>
              <w:spacing w:before="201" w:line="190" w:lineRule="auto"/>
              <w:ind w:left="480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2339" w:type="dxa"/>
          </w:tcPr>
          <w:p w14:paraId="358F4CDE">
            <w:pPr>
              <w:spacing w:before="136" w:line="224" w:lineRule="auto"/>
              <w:ind w:left="130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14:paraId="4B1BED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 w:hRule="atLeast"/>
        </w:trPr>
        <w:tc>
          <w:tcPr>
            <w:tcW w:w="2546" w:type="dxa"/>
          </w:tcPr>
          <w:p w14:paraId="5CE26263">
            <w:pPr>
              <w:spacing w:before="160" w:line="221" w:lineRule="auto"/>
              <w:ind w:left="627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  <w:t>殷汇镇</w:t>
            </w:r>
          </w:p>
        </w:tc>
        <w:tc>
          <w:tcPr>
            <w:tcW w:w="1796" w:type="dxa"/>
            <w:vAlign w:val="center"/>
          </w:tcPr>
          <w:p w14:paraId="73E555DD">
            <w:pPr>
              <w:spacing w:before="200" w:line="192" w:lineRule="auto"/>
              <w:ind w:left="499"/>
              <w:rPr>
                <w:rFonts w:ascii="仿宋_GB2312" w:hAnsi="仿宋" w:eastAsia="仿宋_GB2312" w:cs="仿宋"/>
                <w:snapToGrid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2.142</w:t>
            </w:r>
          </w:p>
        </w:tc>
        <w:tc>
          <w:tcPr>
            <w:tcW w:w="1809" w:type="dxa"/>
            <w:vAlign w:val="center"/>
          </w:tcPr>
          <w:p w14:paraId="401C00B0">
            <w:pPr>
              <w:spacing w:before="201" w:line="190" w:lineRule="auto"/>
              <w:ind w:left="480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1.</w:t>
            </w:r>
            <w:r>
              <w:rPr>
                <w:rFonts w:ascii="仿宋_GB2312" w:hAnsi="仿宋" w:eastAsia="仿宋_GB2312" w:cs="Arial"/>
                <w:snapToGrid w:val="0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2339" w:type="dxa"/>
          </w:tcPr>
          <w:p w14:paraId="0D532E17">
            <w:pPr>
              <w:spacing w:before="136" w:line="224" w:lineRule="auto"/>
              <w:ind w:left="130"/>
              <w:jc w:val="center"/>
              <w:rPr>
                <w:rFonts w:ascii="仿宋_GB2312" w:hAnsi="仿宋" w:eastAsia="仿宋_GB2312" w:cs="仿宋"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</w:tbl>
    <w:p w14:paraId="5A730D9B">
      <w:pPr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</w:p>
    <w:bookmarkEnd w:id="0"/>
    <w:sectPr>
      <w:pgSz w:w="11906" w:h="16838"/>
      <w:pgMar w:top="1871" w:right="1588" w:bottom="187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FZXBSJW--GB1-0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553"/>
    <w:rsid w:val="00024FEA"/>
    <w:rsid w:val="000E0C60"/>
    <w:rsid w:val="000F4A8F"/>
    <w:rsid w:val="00104DD2"/>
    <w:rsid w:val="00151C4F"/>
    <w:rsid w:val="001B73E1"/>
    <w:rsid w:val="001C21FB"/>
    <w:rsid w:val="00273342"/>
    <w:rsid w:val="002A545C"/>
    <w:rsid w:val="002C0EEF"/>
    <w:rsid w:val="002F5053"/>
    <w:rsid w:val="00370636"/>
    <w:rsid w:val="003762E4"/>
    <w:rsid w:val="003C65E7"/>
    <w:rsid w:val="00420000"/>
    <w:rsid w:val="00477553"/>
    <w:rsid w:val="0049566B"/>
    <w:rsid w:val="004A4085"/>
    <w:rsid w:val="004E7885"/>
    <w:rsid w:val="00530AAC"/>
    <w:rsid w:val="00562789"/>
    <w:rsid w:val="00566A39"/>
    <w:rsid w:val="00575844"/>
    <w:rsid w:val="0066472E"/>
    <w:rsid w:val="006C3F03"/>
    <w:rsid w:val="006F64AA"/>
    <w:rsid w:val="007B0987"/>
    <w:rsid w:val="00830226"/>
    <w:rsid w:val="00855E90"/>
    <w:rsid w:val="0089174F"/>
    <w:rsid w:val="008D294D"/>
    <w:rsid w:val="00934E17"/>
    <w:rsid w:val="00A241FD"/>
    <w:rsid w:val="00A50B39"/>
    <w:rsid w:val="00AE7316"/>
    <w:rsid w:val="00B04072"/>
    <w:rsid w:val="00B22FC2"/>
    <w:rsid w:val="00B716C1"/>
    <w:rsid w:val="00BD46B4"/>
    <w:rsid w:val="00BD5E8D"/>
    <w:rsid w:val="00C865E6"/>
    <w:rsid w:val="00CC56D5"/>
    <w:rsid w:val="00D11D40"/>
    <w:rsid w:val="00D63FA3"/>
    <w:rsid w:val="00DD5763"/>
    <w:rsid w:val="00DD6998"/>
    <w:rsid w:val="00DE028B"/>
    <w:rsid w:val="00E64638"/>
    <w:rsid w:val="00EB14B8"/>
    <w:rsid w:val="0E00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1"/>
    <w:semiHidden/>
    <w:unhideWhenUsed/>
    <w:qFormat/>
    <w:uiPriority w:val="99"/>
    <w:pPr>
      <w:spacing w:after="12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"/>
    <w:basedOn w:val="2"/>
    <w:link w:val="12"/>
    <w:qFormat/>
    <w:uiPriority w:val="0"/>
    <w:pPr>
      <w:spacing w:before="43"/>
      <w:ind w:left="111" w:firstLine="420" w:firstLineChars="100"/>
    </w:pPr>
    <w:rPr>
      <w:rFonts w:hint="eastAsia" w:ascii="Times New Roman" w:hAnsi="Times New Roman" w:eastAsia="宋体" w:cs="Times New Roman"/>
      <w:szCs w:val="24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3"/>
    <w:qFormat/>
    <w:uiPriority w:val="99"/>
    <w:rPr>
      <w:sz w:val="18"/>
      <w:szCs w:val="18"/>
    </w:rPr>
  </w:style>
  <w:style w:type="character" w:customStyle="1" w:styleId="11">
    <w:name w:val="正文文本 字符"/>
    <w:basedOn w:val="8"/>
    <w:link w:val="2"/>
    <w:semiHidden/>
    <w:qFormat/>
    <w:uiPriority w:val="99"/>
  </w:style>
  <w:style w:type="character" w:customStyle="1" w:styleId="12">
    <w:name w:val="正文文本首行缩进 字符"/>
    <w:basedOn w:val="11"/>
    <w:link w:val="5"/>
    <w:qFormat/>
    <w:uiPriority w:val="0"/>
    <w:rPr>
      <w:rFonts w:ascii="Times New Roman" w:hAnsi="Times New Roman" w:eastAsia="宋体" w:cs="Times New Roman"/>
      <w:szCs w:val="24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table" w:customStyle="1" w:styleId="14">
    <w:name w:val="Table Normal"/>
    <w:semiHidden/>
    <w:unhideWhenUsed/>
    <w:qFormat/>
    <w:uiPriority w:val="0"/>
    <w:rPr>
      <w:rFonts w:ascii="Arial" w:hAnsi="Arial" w:cs="Arial"/>
      <w:snapToGrid w:val="0"/>
      <w:color w:val="000000"/>
      <w:kern w:val="0"/>
      <w:szCs w:val="21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3554</Words>
  <Characters>3725</Characters>
  <Lines>27</Lines>
  <Paragraphs>7</Paragraphs>
  <TotalTime>240</TotalTime>
  <ScaleCrop>false</ScaleCrop>
  <LinksUpToDate>false</LinksUpToDate>
  <CharactersWithSpaces>3730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2024-10-09T02:02:00Z</dcterms:created>
  <dc:creator>Administrator</dc:creator>
  <cp:lastModifiedBy>风起</cp:lastModifiedBy>
  <dcterms:modified xsi:type="dcterms:W3CDTF">2024-12-13T01:47:56Z</dcterms:modified>
  <cp:revision>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28C5CEF388C846828848A4D658DA7A49_13</vt:lpwstr>
  </property>
</Properties>
</file>