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B899B8D">
      <w:pPr>
        <w:pStyle w:val="2"/>
        <w:spacing w:line="258" w:lineRule="auto"/>
      </w:pPr>
    </w:p>
    <w:p w14:paraId="0031B7A4">
      <w:pPr>
        <w:pStyle w:val="2"/>
        <w:spacing w:line="258" w:lineRule="auto"/>
      </w:pPr>
    </w:p>
    <w:p w14:paraId="16EA61B9">
      <w:pPr>
        <w:pStyle w:val="2"/>
        <w:spacing w:line="258" w:lineRule="auto"/>
      </w:pPr>
    </w:p>
    <w:p w14:paraId="1A1466BF">
      <w:pPr>
        <w:pStyle w:val="2"/>
        <w:spacing w:line="258" w:lineRule="auto"/>
      </w:pPr>
    </w:p>
    <w:p w14:paraId="17D737C3">
      <w:pPr>
        <w:pStyle w:val="2"/>
        <w:spacing w:line="259" w:lineRule="auto"/>
      </w:pPr>
    </w:p>
    <w:p w14:paraId="6C29548F">
      <w:pPr>
        <w:pStyle w:val="2"/>
        <w:spacing w:line="259" w:lineRule="auto"/>
      </w:pPr>
    </w:p>
    <w:p w14:paraId="190F2D17">
      <w:pPr>
        <w:pStyle w:val="2"/>
        <w:spacing w:line="259" w:lineRule="auto"/>
      </w:pPr>
    </w:p>
    <w:p w14:paraId="4F7DA366">
      <w:pPr>
        <w:pStyle w:val="2"/>
        <w:spacing w:line="259" w:lineRule="auto"/>
      </w:pPr>
    </w:p>
    <w:p w14:paraId="76C44A29">
      <w:pPr>
        <w:pStyle w:val="2"/>
        <w:spacing w:line="259" w:lineRule="auto"/>
      </w:pPr>
    </w:p>
    <w:p w14:paraId="5143D503">
      <w:pPr>
        <w:spacing w:before="101" w:line="219" w:lineRule="auto"/>
        <w:ind w:left="2709"/>
        <w:rPr>
          <w:rFonts w:ascii="宋体" w:hAnsi="宋体" w:eastAsia="宋体" w:cs="宋体"/>
          <w:sz w:val="31"/>
          <w:szCs w:val="31"/>
        </w:rPr>
      </w:pPr>
      <w:r>
        <w:rPr>
          <w:rFonts w:ascii="宋体" w:hAnsi="宋体" w:eastAsia="宋体" w:cs="宋体"/>
          <w:spacing w:val="9"/>
          <w:sz w:val="31"/>
          <w:szCs w:val="31"/>
        </w:rPr>
        <w:t>贵政办〔2020〕71号</w:t>
      </w:r>
    </w:p>
    <w:p w14:paraId="7905B33C">
      <w:pPr>
        <w:spacing w:before="119" w:line="60" w:lineRule="exact"/>
      </w:pPr>
    </w:p>
    <w:p w14:paraId="353191AD">
      <w:pPr>
        <w:pStyle w:val="2"/>
        <w:spacing w:line="253" w:lineRule="auto"/>
      </w:pPr>
    </w:p>
    <w:p w14:paraId="17597279">
      <w:pPr>
        <w:pStyle w:val="2"/>
        <w:spacing w:line="253" w:lineRule="auto"/>
      </w:pPr>
    </w:p>
    <w:p w14:paraId="72795C24">
      <w:pPr>
        <w:spacing w:before="149" w:line="236" w:lineRule="auto"/>
        <w:ind w:left="1245" w:right="281" w:hanging="1170"/>
        <w:outlineLvl w:val="0"/>
        <w:rPr>
          <w:rFonts w:ascii="仿宋" w:hAnsi="仿宋" w:eastAsia="仿宋" w:cs="仿宋"/>
          <w:sz w:val="46"/>
          <w:szCs w:val="46"/>
        </w:rPr>
      </w:pPr>
      <w:r>
        <w:rPr>
          <w:rFonts w:ascii="宋体" w:hAnsi="宋体" w:eastAsia="宋体" w:cs="宋体"/>
          <w:b/>
          <w:bCs/>
          <w:spacing w:val="-38"/>
          <w:w w:val="84"/>
          <w:sz w:val="46"/>
          <w:szCs w:val="46"/>
        </w:rPr>
        <w:t>池州市贵池区人民政府办公室关于印发贵池区政府性</w:t>
      </w:r>
      <w:r>
        <w:rPr>
          <w:rFonts w:ascii="宋体" w:hAnsi="宋体" w:eastAsia="宋体" w:cs="宋体"/>
          <w:spacing w:val="8"/>
          <w:sz w:val="46"/>
          <w:szCs w:val="46"/>
        </w:rPr>
        <w:t xml:space="preserve"> </w:t>
      </w:r>
      <w:r>
        <w:rPr>
          <w:rFonts w:ascii="仿宋" w:hAnsi="仿宋" w:eastAsia="仿宋" w:cs="仿宋"/>
          <w:b/>
          <w:bCs/>
          <w:spacing w:val="-69"/>
          <w:w w:val="92"/>
          <w:sz w:val="46"/>
          <w:szCs w:val="46"/>
        </w:rPr>
        <w:t>融资担保公司融资担保管理办法的通知</w:t>
      </w:r>
    </w:p>
    <w:p w14:paraId="7EE2BF9A">
      <w:pPr>
        <w:pStyle w:val="2"/>
        <w:spacing w:line="332" w:lineRule="auto"/>
      </w:pPr>
    </w:p>
    <w:p w14:paraId="00CE7720">
      <w:pPr>
        <w:pStyle w:val="2"/>
        <w:spacing w:line="332" w:lineRule="auto"/>
      </w:pPr>
    </w:p>
    <w:p w14:paraId="45A089EC">
      <w:pPr>
        <w:spacing w:before="123" w:line="310" w:lineRule="auto"/>
        <w:ind w:left="69" w:right="120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61"/>
          <w:sz w:val="38"/>
          <w:szCs w:val="38"/>
        </w:rPr>
        <w:t>各镇人民政府、街道办事处，池州高新区、杏花村文化旅游</w:t>
      </w:r>
      <w:r>
        <w:rPr>
          <w:rFonts w:ascii="仿宋" w:hAnsi="仿宋" w:eastAsia="仿宋" w:cs="仿宋"/>
          <w:spacing w:val="4"/>
          <w:sz w:val="38"/>
          <w:szCs w:val="38"/>
        </w:rPr>
        <w:t xml:space="preserve"> </w:t>
      </w:r>
      <w:r>
        <w:rPr>
          <w:rFonts w:ascii="仿宋" w:hAnsi="仿宋" w:eastAsia="仿宋" w:cs="仿宋"/>
          <w:spacing w:val="-9"/>
          <w:sz w:val="32"/>
          <w:szCs w:val="32"/>
        </w:rPr>
        <w:t>区管委会，区政府各部门、各直属机构：</w:t>
      </w:r>
    </w:p>
    <w:p w14:paraId="2AB43912">
      <w:pPr>
        <w:spacing w:before="95" w:line="330" w:lineRule="auto"/>
        <w:ind w:left="69" w:right="121" w:firstLine="639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1"/>
          <w:sz w:val="32"/>
          <w:szCs w:val="32"/>
        </w:rPr>
        <w:t>经区政府同意，现将《贵池区政府性融资担保公司融资</w:t>
      </w:r>
      <w:r>
        <w:rPr>
          <w:rFonts w:ascii="仿宋" w:hAnsi="仿宋" w:eastAsia="仿宋" w:cs="仿宋"/>
          <w:spacing w:val="1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5"/>
          <w:sz w:val="32"/>
          <w:szCs w:val="32"/>
        </w:rPr>
        <w:t>担保管理办法》印发给你们，请认真组织实施。</w:t>
      </w:r>
    </w:p>
    <w:p w14:paraId="7A41895E">
      <w:pPr>
        <w:pStyle w:val="2"/>
        <w:spacing w:line="249" w:lineRule="auto"/>
      </w:pPr>
    </w:p>
    <w:p w14:paraId="183F060B">
      <w:pPr>
        <w:pStyle w:val="2"/>
        <w:spacing w:line="249" w:lineRule="auto"/>
      </w:pPr>
    </w:p>
    <w:p w14:paraId="4DD2872E">
      <w:pPr>
        <w:pStyle w:val="2"/>
        <w:spacing w:line="249" w:lineRule="auto"/>
      </w:pPr>
    </w:p>
    <w:p w14:paraId="1917EB8C">
      <w:pPr>
        <w:pStyle w:val="2"/>
        <w:spacing w:line="250" w:lineRule="auto"/>
      </w:pPr>
    </w:p>
    <w:p w14:paraId="3899692A">
      <w:pPr>
        <w:pStyle w:val="2"/>
        <w:spacing w:line="250" w:lineRule="auto"/>
      </w:pPr>
    </w:p>
    <w:p w14:paraId="03C99E84">
      <w:pPr>
        <w:pStyle w:val="2"/>
        <w:spacing w:line="250" w:lineRule="auto"/>
      </w:pPr>
    </w:p>
    <w:p w14:paraId="7F1035D7">
      <w:pPr>
        <w:pStyle w:val="2"/>
        <w:spacing w:line="250" w:lineRule="auto"/>
      </w:pPr>
    </w:p>
    <w:p w14:paraId="72AADF5E">
      <w:pPr>
        <w:spacing w:before="92" w:line="219" w:lineRule="auto"/>
        <w:ind w:left="5129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21"/>
          <w:sz w:val="28"/>
          <w:szCs w:val="28"/>
        </w:rPr>
        <w:t>2020年11月1</w:t>
      </w:r>
      <w:bookmarkStart w:id="0" w:name="_GoBack"/>
      <w:bookmarkEnd w:id="0"/>
      <w:r>
        <w:rPr>
          <w:rFonts w:ascii="宋体" w:hAnsi="宋体" w:eastAsia="宋体" w:cs="宋体"/>
          <w:spacing w:val="21"/>
          <w:sz w:val="28"/>
          <w:szCs w:val="28"/>
        </w:rPr>
        <w:t>0日</w:t>
      </w:r>
    </w:p>
    <w:p w14:paraId="108C527A">
      <w:pPr>
        <w:spacing w:before="273" w:line="220" w:lineRule="auto"/>
        <w:ind w:left="820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12"/>
          <w:sz w:val="32"/>
          <w:szCs w:val="32"/>
        </w:rPr>
        <w:t>(此件公开发布)</w:t>
      </w:r>
    </w:p>
    <w:p w14:paraId="4FFA194E">
      <w:pPr>
        <w:spacing w:line="220" w:lineRule="auto"/>
        <w:rPr>
          <w:rFonts w:ascii="仿宋" w:hAnsi="仿宋" w:eastAsia="仿宋" w:cs="仿宋"/>
          <w:sz w:val="32"/>
          <w:szCs w:val="32"/>
        </w:rPr>
        <w:sectPr>
          <w:footerReference r:id="rId5" w:type="default"/>
          <w:pgSz w:w="11900" w:h="16830"/>
          <w:pgMar w:top="1430" w:right="1680" w:bottom="1159" w:left="1730" w:header="0" w:footer="990" w:gutter="0"/>
          <w:cols w:space="720" w:num="1"/>
        </w:sectPr>
      </w:pPr>
    </w:p>
    <w:p w14:paraId="1A75D0E5">
      <w:pPr>
        <w:spacing w:before="157" w:line="219" w:lineRule="auto"/>
        <w:ind w:left="165"/>
        <w:rPr>
          <w:rFonts w:ascii="宋体" w:hAnsi="宋体" w:eastAsia="宋体" w:cs="宋体"/>
          <w:sz w:val="40"/>
          <w:szCs w:val="40"/>
        </w:rPr>
      </w:pPr>
      <w:r>
        <w:rPr>
          <w:rFonts w:ascii="宋体" w:hAnsi="宋体" w:eastAsia="宋体" w:cs="宋体"/>
          <w:b/>
          <w:bCs/>
          <w:spacing w:val="-10"/>
          <w:sz w:val="40"/>
          <w:szCs w:val="40"/>
        </w:rPr>
        <w:t>贵池区政府性融资担保公司融资担保管理办法</w:t>
      </w:r>
    </w:p>
    <w:p w14:paraId="2566B7AE">
      <w:pPr>
        <w:pStyle w:val="2"/>
        <w:spacing w:line="332" w:lineRule="auto"/>
      </w:pPr>
    </w:p>
    <w:p w14:paraId="5E0C1745">
      <w:pPr>
        <w:pStyle w:val="2"/>
        <w:spacing w:line="333" w:lineRule="auto"/>
      </w:pPr>
    </w:p>
    <w:p w14:paraId="2B084FD8">
      <w:pPr>
        <w:spacing w:before="104" w:line="222" w:lineRule="auto"/>
        <w:ind w:left="3194"/>
        <w:outlineLvl w:val="0"/>
        <w:rPr>
          <w:rFonts w:ascii="黑体" w:hAnsi="黑体" w:eastAsia="黑体" w:cs="黑体"/>
          <w:sz w:val="32"/>
          <w:szCs w:val="32"/>
        </w:rPr>
      </w:pPr>
      <w:r>
        <w:rPr>
          <w:rFonts w:ascii="黑体" w:hAnsi="黑体" w:eastAsia="黑体" w:cs="黑体"/>
          <w:b/>
          <w:bCs/>
          <w:spacing w:val="-16"/>
          <w:sz w:val="32"/>
          <w:szCs w:val="32"/>
        </w:rPr>
        <w:t>第</w:t>
      </w:r>
      <w:r>
        <w:rPr>
          <w:rFonts w:ascii="黑体" w:hAnsi="黑体" w:eastAsia="黑体" w:cs="黑体"/>
          <w:spacing w:val="-32"/>
          <w:sz w:val="32"/>
          <w:szCs w:val="32"/>
        </w:rPr>
        <w:t xml:space="preserve"> </w:t>
      </w:r>
      <w:r>
        <w:rPr>
          <w:rFonts w:ascii="黑体" w:hAnsi="黑体" w:eastAsia="黑体" w:cs="黑体"/>
          <w:b/>
          <w:bCs/>
          <w:spacing w:val="-16"/>
          <w:sz w:val="32"/>
          <w:szCs w:val="32"/>
        </w:rPr>
        <w:t>一</w:t>
      </w:r>
      <w:r>
        <w:rPr>
          <w:rFonts w:ascii="黑体" w:hAnsi="黑体" w:eastAsia="黑体" w:cs="黑体"/>
          <w:spacing w:val="-35"/>
          <w:sz w:val="32"/>
          <w:szCs w:val="32"/>
        </w:rPr>
        <w:t xml:space="preserve"> </w:t>
      </w:r>
      <w:r>
        <w:rPr>
          <w:rFonts w:ascii="黑体" w:hAnsi="黑体" w:eastAsia="黑体" w:cs="黑体"/>
          <w:b/>
          <w:bCs/>
          <w:spacing w:val="-16"/>
          <w:sz w:val="32"/>
          <w:szCs w:val="32"/>
        </w:rPr>
        <w:t>章</w:t>
      </w:r>
      <w:r>
        <w:rPr>
          <w:rFonts w:ascii="黑体" w:hAnsi="黑体" w:eastAsia="黑体" w:cs="黑体"/>
          <w:spacing w:val="-30"/>
          <w:sz w:val="32"/>
          <w:szCs w:val="32"/>
        </w:rPr>
        <w:t xml:space="preserve"> </w:t>
      </w:r>
      <w:r>
        <w:rPr>
          <w:rFonts w:ascii="黑体" w:hAnsi="黑体" w:eastAsia="黑体" w:cs="黑体"/>
          <w:b/>
          <w:bCs/>
          <w:spacing w:val="-16"/>
          <w:sz w:val="32"/>
          <w:szCs w:val="32"/>
        </w:rPr>
        <w:t>总</w:t>
      </w:r>
      <w:r>
        <w:rPr>
          <w:rFonts w:ascii="黑体" w:hAnsi="黑体" w:eastAsia="黑体" w:cs="黑体"/>
          <w:spacing w:val="-38"/>
          <w:sz w:val="32"/>
          <w:szCs w:val="32"/>
        </w:rPr>
        <w:t xml:space="preserve"> </w:t>
      </w:r>
      <w:r>
        <w:rPr>
          <w:rFonts w:ascii="黑体" w:hAnsi="黑体" w:eastAsia="黑体" w:cs="黑体"/>
          <w:b/>
          <w:bCs/>
          <w:spacing w:val="-16"/>
          <w:sz w:val="32"/>
          <w:szCs w:val="32"/>
        </w:rPr>
        <w:t>则</w:t>
      </w:r>
    </w:p>
    <w:p w14:paraId="5C4A6584">
      <w:pPr>
        <w:tabs>
          <w:tab w:val="left" w:pos="160"/>
        </w:tabs>
        <w:spacing w:before="208" w:line="342" w:lineRule="auto"/>
        <w:ind w:right="101" w:firstLine="724"/>
        <w:jc w:val="both"/>
        <w:rPr>
          <w:rFonts w:ascii="仿宋" w:hAnsi="仿宋" w:eastAsia="仿宋" w:cs="仿宋"/>
          <w:sz w:val="32"/>
          <w:szCs w:val="32"/>
        </w:rPr>
      </w:pPr>
      <w:r>
        <w:rPr>
          <w:rFonts w:ascii="楷体" w:hAnsi="楷体" w:eastAsia="楷体" w:cs="楷体"/>
          <w:b/>
          <w:bCs/>
          <w:spacing w:val="-7"/>
          <w:sz w:val="32"/>
          <w:szCs w:val="32"/>
        </w:rPr>
        <w:t>第一条</w:t>
      </w:r>
      <w:r>
        <w:rPr>
          <w:rFonts w:ascii="楷体" w:hAnsi="楷体" w:eastAsia="楷体" w:cs="楷体"/>
          <w:spacing w:val="-72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7"/>
          <w:sz w:val="32"/>
          <w:szCs w:val="32"/>
        </w:rPr>
        <w:t>为坚守政府性融资担保机构的准公共定位，弥补</w:t>
      </w:r>
      <w:r>
        <w:rPr>
          <w:rFonts w:ascii="仿宋" w:hAnsi="仿宋" w:eastAsia="仿宋" w:cs="仿宋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1"/>
          <w:sz w:val="32"/>
          <w:szCs w:val="32"/>
        </w:rPr>
        <w:t>市场不足，改善融资环境，支持全区经济发展，切实有效降</w:t>
      </w:r>
      <w:r>
        <w:rPr>
          <w:rFonts w:ascii="仿宋" w:hAnsi="仿宋" w:eastAsia="仿宋" w:cs="仿宋"/>
          <w:spacing w:val="18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2"/>
          <w:sz w:val="32"/>
          <w:szCs w:val="32"/>
        </w:rPr>
        <w:t>低担保主体综合融资成本，规范贵池区政府性融</w:t>
      </w:r>
      <w:r>
        <w:rPr>
          <w:rFonts w:ascii="仿宋" w:hAnsi="仿宋" w:eastAsia="仿宋" w:cs="仿宋"/>
          <w:spacing w:val="1"/>
          <w:sz w:val="32"/>
          <w:szCs w:val="32"/>
        </w:rPr>
        <w:t>资担保公司</w:t>
      </w:r>
      <w:r>
        <w:rPr>
          <w:rFonts w:ascii="仿宋" w:hAnsi="仿宋" w:eastAsia="仿宋" w:cs="仿宋"/>
          <w:sz w:val="32"/>
          <w:szCs w:val="32"/>
        </w:rPr>
        <w:t xml:space="preserve"> </w:t>
      </w:r>
      <w:r>
        <w:rPr>
          <w:rFonts w:ascii="仿宋" w:hAnsi="仿宋" w:eastAsia="仿宋" w:cs="仿宋"/>
          <w:sz w:val="32"/>
          <w:szCs w:val="32"/>
        </w:rPr>
        <w:tab/>
      </w:r>
      <w:r>
        <w:rPr>
          <w:rFonts w:ascii="仿宋" w:hAnsi="仿宋" w:eastAsia="仿宋" w:cs="仿宋"/>
          <w:spacing w:val="6"/>
          <w:sz w:val="32"/>
          <w:szCs w:val="32"/>
        </w:rPr>
        <w:t>(以下简称担保公司)担保行为，根据《融</w:t>
      </w:r>
      <w:r>
        <w:rPr>
          <w:rFonts w:ascii="仿宋" w:hAnsi="仿宋" w:eastAsia="仿宋" w:cs="仿宋"/>
          <w:spacing w:val="5"/>
          <w:sz w:val="32"/>
          <w:szCs w:val="32"/>
        </w:rPr>
        <w:t>资担保公司监督</w:t>
      </w:r>
      <w:r>
        <w:rPr>
          <w:rFonts w:ascii="仿宋" w:hAnsi="仿宋" w:eastAsia="仿宋" w:cs="仿宋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12"/>
          <w:sz w:val="32"/>
          <w:szCs w:val="32"/>
        </w:rPr>
        <w:t>管理条例》《国务院办公厅关于有效发挥政府性融资担保基金</w:t>
      </w:r>
      <w:r>
        <w:rPr>
          <w:rFonts w:ascii="仿宋" w:hAnsi="仿宋" w:eastAsia="仿宋" w:cs="仿宋"/>
          <w:spacing w:val="14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6"/>
          <w:sz w:val="32"/>
          <w:szCs w:val="32"/>
        </w:rPr>
        <w:t>作用切实支持小微企业和“三农”发展的指导意见》(国办发</w:t>
      </w:r>
      <w:r>
        <w:rPr>
          <w:rFonts w:ascii="仿宋" w:hAnsi="仿宋" w:eastAsia="仿宋" w:cs="仿宋"/>
          <w:spacing w:val="15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11"/>
          <w:sz w:val="32"/>
          <w:szCs w:val="32"/>
        </w:rPr>
        <w:t>〔2019〕6号)、《关于充分发挥政府性融资担保作用为小微企</w:t>
      </w:r>
      <w:r>
        <w:rPr>
          <w:rFonts w:ascii="仿宋" w:hAnsi="仿宋" w:eastAsia="仿宋" w:cs="仿宋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1"/>
          <w:sz w:val="32"/>
          <w:szCs w:val="32"/>
        </w:rPr>
        <w:t>业和“三农”主体融资增信的通知》(财金</w:t>
      </w:r>
      <w:r>
        <w:rPr>
          <w:rFonts w:ascii="仿宋" w:hAnsi="仿宋" w:eastAsia="仿宋" w:cs="仿宋"/>
          <w:sz w:val="32"/>
          <w:szCs w:val="32"/>
        </w:rPr>
        <w:t xml:space="preserve">〔2020〕19号)等 </w:t>
      </w:r>
      <w:r>
        <w:rPr>
          <w:rFonts w:ascii="仿宋" w:hAnsi="仿宋" w:eastAsia="仿宋" w:cs="仿宋"/>
          <w:spacing w:val="-4"/>
          <w:sz w:val="32"/>
          <w:szCs w:val="32"/>
        </w:rPr>
        <w:t>规定，结合我区实际，制定本办法。</w:t>
      </w:r>
    </w:p>
    <w:p w14:paraId="360C1CE3">
      <w:pPr>
        <w:spacing w:before="57" w:line="342" w:lineRule="auto"/>
        <w:ind w:left="70" w:firstLine="659"/>
        <w:jc w:val="both"/>
        <w:rPr>
          <w:rFonts w:ascii="仿宋" w:hAnsi="仿宋" w:eastAsia="仿宋" w:cs="仿宋"/>
          <w:sz w:val="32"/>
          <w:szCs w:val="32"/>
        </w:rPr>
      </w:pPr>
      <w:r>
        <w:rPr>
          <w:rFonts w:ascii="楷体" w:hAnsi="楷体" w:eastAsia="楷体" w:cs="楷体"/>
          <w:spacing w:val="7"/>
          <w:sz w:val="32"/>
          <w:szCs w:val="32"/>
        </w:rPr>
        <w:t>第二条</w:t>
      </w:r>
      <w:r>
        <w:rPr>
          <w:rFonts w:ascii="楷体" w:hAnsi="楷体" w:eastAsia="楷体" w:cs="楷体"/>
          <w:spacing w:val="-34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7"/>
          <w:sz w:val="32"/>
          <w:szCs w:val="32"/>
        </w:rPr>
        <w:t>担保公司应坚持保本微利运行，不以营利为目</w:t>
      </w:r>
      <w:r>
        <w:rPr>
          <w:rFonts w:ascii="仿宋" w:hAnsi="仿宋" w:eastAsia="仿宋" w:cs="仿宋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14"/>
          <w:sz w:val="32"/>
          <w:szCs w:val="32"/>
        </w:rPr>
        <w:t>的，在可持续经营的前提下，聚焦缓解小微企业、“三农”等</w:t>
      </w:r>
      <w:r>
        <w:rPr>
          <w:rFonts w:ascii="仿宋" w:hAnsi="仿宋" w:eastAsia="仿宋" w:cs="仿宋"/>
          <w:spacing w:val="5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2"/>
          <w:sz w:val="32"/>
          <w:szCs w:val="32"/>
        </w:rPr>
        <w:t>普惠领域融资难、融资贵问题，支持发展符合</w:t>
      </w:r>
      <w:r>
        <w:rPr>
          <w:rFonts w:ascii="仿宋" w:hAnsi="仿宋" w:eastAsia="仿宋" w:cs="仿宋"/>
          <w:spacing w:val="-3"/>
          <w:sz w:val="32"/>
          <w:szCs w:val="32"/>
        </w:rPr>
        <w:t>条件的高新技</w:t>
      </w:r>
      <w:r>
        <w:rPr>
          <w:rFonts w:ascii="仿宋" w:hAnsi="仿宋" w:eastAsia="仿宋" w:cs="仿宋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9"/>
          <w:sz w:val="32"/>
          <w:szCs w:val="32"/>
        </w:rPr>
        <w:t>术企业、科技创新型企业和战略性新兴产业，促进大众创业、</w:t>
      </w:r>
      <w:r>
        <w:rPr>
          <w:rFonts w:ascii="仿宋" w:hAnsi="仿宋" w:eastAsia="仿宋" w:cs="仿宋"/>
          <w:spacing w:val="2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3"/>
          <w:sz w:val="32"/>
          <w:szCs w:val="32"/>
        </w:rPr>
        <w:t>万众创新。将贯彻执行政银担合作风险分担机制作为担保业</w:t>
      </w:r>
      <w:r>
        <w:rPr>
          <w:rFonts w:ascii="仿宋" w:hAnsi="仿宋" w:eastAsia="仿宋" w:cs="仿宋"/>
          <w:spacing w:val="18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3"/>
          <w:sz w:val="32"/>
          <w:szCs w:val="32"/>
        </w:rPr>
        <w:t>务发生的主要条件，坚持政策扶持与市场主导相结合、创新</w:t>
      </w:r>
      <w:r>
        <w:rPr>
          <w:rFonts w:ascii="仿宋" w:hAnsi="仿宋" w:eastAsia="仿宋" w:cs="仿宋"/>
          <w:spacing w:val="8"/>
          <w:sz w:val="32"/>
          <w:szCs w:val="32"/>
        </w:rPr>
        <w:t xml:space="preserve">  </w:t>
      </w:r>
      <w:r>
        <w:rPr>
          <w:rFonts w:ascii="仿宋" w:hAnsi="仿宋" w:eastAsia="仿宋" w:cs="仿宋"/>
          <w:spacing w:val="-2"/>
          <w:sz w:val="32"/>
          <w:szCs w:val="32"/>
        </w:rPr>
        <w:t>发展与防范风险相结合、依法经营与加强监管相</w:t>
      </w:r>
      <w:r>
        <w:rPr>
          <w:rFonts w:ascii="仿宋" w:hAnsi="仿宋" w:eastAsia="仿宋" w:cs="仿宋"/>
          <w:spacing w:val="-3"/>
          <w:sz w:val="32"/>
          <w:szCs w:val="32"/>
        </w:rPr>
        <w:t>结合、提升</w:t>
      </w:r>
      <w:r>
        <w:rPr>
          <w:rFonts w:ascii="仿宋" w:hAnsi="仿宋" w:eastAsia="仿宋" w:cs="仿宋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1"/>
          <w:sz w:val="32"/>
          <w:szCs w:val="32"/>
        </w:rPr>
        <w:t>信用与行业自律相结合的原则，坚持政策性和专业性的基本</w:t>
      </w:r>
      <w:r>
        <w:rPr>
          <w:rFonts w:ascii="仿宋" w:hAnsi="仿宋" w:eastAsia="仿宋" w:cs="仿宋"/>
          <w:spacing w:val="3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7"/>
          <w:sz w:val="32"/>
          <w:szCs w:val="32"/>
        </w:rPr>
        <w:t>定位，促进本区域符合条件的担保主体健康稳定发展。</w:t>
      </w:r>
    </w:p>
    <w:p w14:paraId="297E0B84">
      <w:pPr>
        <w:spacing w:before="79" w:line="222" w:lineRule="auto"/>
        <w:ind w:left="2724"/>
        <w:outlineLvl w:val="6"/>
        <w:rPr>
          <w:rFonts w:ascii="黑体" w:hAnsi="黑体" w:eastAsia="黑体" w:cs="黑体"/>
          <w:sz w:val="32"/>
          <w:szCs w:val="32"/>
        </w:rPr>
      </w:pPr>
      <w:r>
        <w:rPr>
          <w:rFonts w:ascii="黑体" w:hAnsi="黑体" w:eastAsia="黑体" w:cs="黑体"/>
          <w:b/>
          <w:bCs/>
          <w:spacing w:val="5"/>
          <w:sz w:val="32"/>
          <w:szCs w:val="32"/>
        </w:rPr>
        <w:t>第二章担保受理范围</w:t>
      </w:r>
    </w:p>
    <w:p w14:paraId="08CB281B">
      <w:pPr>
        <w:spacing w:line="222" w:lineRule="auto"/>
        <w:rPr>
          <w:rFonts w:ascii="黑体" w:hAnsi="黑体" w:eastAsia="黑体" w:cs="黑体"/>
          <w:sz w:val="32"/>
          <w:szCs w:val="32"/>
        </w:rPr>
        <w:sectPr>
          <w:footerReference r:id="rId6" w:type="default"/>
          <w:pgSz w:w="11900" w:h="16830"/>
          <w:pgMar w:top="1430" w:right="1679" w:bottom="1156" w:left="1749" w:header="0" w:footer="990" w:gutter="0"/>
          <w:cols w:space="720" w:num="1"/>
        </w:sectPr>
      </w:pPr>
    </w:p>
    <w:p w14:paraId="31F9F6CC">
      <w:pPr>
        <w:spacing w:before="187" w:line="343" w:lineRule="auto"/>
        <w:ind w:left="24" w:firstLine="653"/>
        <w:jc w:val="both"/>
        <w:rPr>
          <w:rFonts w:ascii="仿宋" w:hAnsi="仿宋" w:eastAsia="仿宋" w:cs="仿宋"/>
          <w:sz w:val="32"/>
          <w:szCs w:val="32"/>
        </w:rPr>
      </w:pPr>
      <w:r>
        <w:rPr>
          <w:rFonts w:ascii="楷体" w:hAnsi="楷体" w:eastAsia="楷体" w:cs="楷体"/>
          <w:b/>
          <w:bCs/>
          <w:spacing w:val="-6"/>
          <w:sz w:val="32"/>
          <w:szCs w:val="32"/>
        </w:rPr>
        <w:t>第三条</w:t>
      </w:r>
      <w:r>
        <w:rPr>
          <w:rFonts w:ascii="楷体" w:hAnsi="楷体" w:eastAsia="楷体" w:cs="楷体"/>
          <w:spacing w:val="84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6"/>
          <w:sz w:val="32"/>
          <w:szCs w:val="32"/>
        </w:rPr>
        <w:t>贷款担保服务对象：小微企业(含个体工商户)、</w:t>
      </w:r>
      <w:r>
        <w:rPr>
          <w:rFonts w:ascii="仿宋" w:hAnsi="仿宋" w:eastAsia="仿宋" w:cs="仿宋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2"/>
          <w:sz w:val="32"/>
          <w:szCs w:val="32"/>
        </w:rPr>
        <w:t>“三农”以及按政策规定纳入政银担合作风险分担机制的融</w:t>
      </w:r>
      <w:r>
        <w:rPr>
          <w:rFonts w:ascii="仿宋" w:hAnsi="仿宋" w:eastAsia="仿宋" w:cs="仿宋"/>
          <w:sz w:val="32"/>
          <w:szCs w:val="32"/>
        </w:rPr>
        <w:t xml:space="preserve">  </w:t>
      </w:r>
      <w:r>
        <w:rPr>
          <w:rFonts w:ascii="仿宋" w:hAnsi="仿宋" w:eastAsia="仿宋" w:cs="仿宋"/>
          <w:spacing w:val="-3"/>
          <w:sz w:val="32"/>
          <w:szCs w:val="32"/>
        </w:rPr>
        <w:t>资担保服务群体(如税融通中型企业)。其中优先支持符合条</w:t>
      </w:r>
      <w:r>
        <w:rPr>
          <w:rFonts w:ascii="仿宋" w:hAnsi="仿宋" w:eastAsia="仿宋" w:cs="仿宋"/>
          <w:spacing w:val="6"/>
          <w:sz w:val="32"/>
          <w:szCs w:val="32"/>
        </w:rPr>
        <w:t xml:space="preserve">  </w:t>
      </w:r>
      <w:r>
        <w:rPr>
          <w:rFonts w:ascii="仿宋" w:hAnsi="仿宋" w:eastAsia="仿宋" w:cs="仿宋"/>
          <w:spacing w:val="-2"/>
          <w:sz w:val="32"/>
          <w:szCs w:val="32"/>
        </w:rPr>
        <w:t>件的高新技术企业、科技创新型企业、专精特新企业和战略</w:t>
      </w:r>
      <w:r>
        <w:rPr>
          <w:rFonts w:ascii="仿宋" w:hAnsi="仿宋" w:eastAsia="仿宋" w:cs="仿宋"/>
          <w:sz w:val="32"/>
          <w:szCs w:val="32"/>
        </w:rPr>
        <w:t xml:space="preserve">  </w:t>
      </w:r>
      <w:r>
        <w:rPr>
          <w:rFonts w:ascii="仿宋" w:hAnsi="仿宋" w:eastAsia="仿宋" w:cs="仿宋"/>
          <w:spacing w:val="-14"/>
          <w:sz w:val="32"/>
          <w:szCs w:val="32"/>
        </w:rPr>
        <w:t>性新兴产业。“小微企业”是指符合《国家统计局关于统计上</w:t>
      </w:r>
      <w:r>
        <w:rPr>
          <w:rFonts w:ascii="仿宋" w:hAnsi="仿宋" w:eastAsia="仿宋" w:cs="仿宋"/>
          <w:spacing w:val="3"/>
          <w:sz w:val="32"/>
          <w:szCs w:val="32"/>
        </w:rPr>
        <w:t xml:space="preserve">  </w:t>
      </w:r>
      <w:r>
        <w:rPr>
          <w:rFonts w:ascii="仿宋" w:hAnsi="仿宋" w:eastAsia="仿宋" w:cs="仿宋"/>
          <w:spacing w:val="2"/>
          <w:sz w:val="32"/>
          <w:szCs w:val="32"/>
        </w:rPr>
        <w:t>大中小微型企业划分办法的通知》(国统字〔</w:t>
      </w:r>
      <w:r>
        <w:rPr>
          <w:rFonts w:ascii="仿宋" w:hAnsi="仿宋" w:eastAsia="仿宋" w:cs="仿宋"/>
          <w:spacing w:val="1"/>
          <w:sz w:val="32"/>
          <w:szCs w:val="32"/>
        </w:rPr>
        <w:t>2017〕213号)</w:t>
      </w:r>
      <w:r>
        <w:rPr>
          <w:rFonts w:ascii="仿宋" w:hAnsi="仿宋" w:eastAsia="仿宋" w:cs="仿宋"/>
          <w:sz w:val="32"/>
          <w:szCs w:val="32"/>
        </w:rPr>
        <w:t xml:space="preserve">  </w:t>
      </w:r>
      <w:r>
        <w:rPr>
          <w:rFonts w:ascii="仿宋" w:hAnsi="仿宋" w:eastAsia="仿宋" w:cs="仿宋"/>
          <w:spacing w:val="-15"/>
          <w:sz w:val="32"/>
          <w:szCs w:val="32"/>
        </w:rPr>
        <w:t>规定的小型、微型企业，含个体工商户；“三农”是指新型农</w:t>
      </w:r>
      <w:r>
        <w:rPr>
          <w:rFonts w:ascii="仿宋" w:hAnsi="仿宋" w:eastAsia="仿宋" w:cs="仿宋"/>
          <w:spacing w:val="8"/>
          <w:sz w:val="32"/>
          <w:szCs w:val="32"/>
        </w:rPr>
        <w:t xml:space="preserve">  </w:t>
      </w:r>
      <w:r>
        <w:rPr>
          <w:rFonts w:ascii="仿宋" w:hAnsi="仿宋" w:eastAsia="仿宋" w:cs="仿宋"/>
          <w:spacing w:val="-3"/>
          <w:sz w:val="32"/>
          <w:szCs w:val="32"/>
        </w:rPr>
        <w:t>业经营主体和农户，其中农户参照《财政部税务总局关于支</w:t>
      </w:r>
      <w:r>
        <w:rPr>
          <w:rFonts w:ascii="仿宋" w:hAnsi="仿宋" w:eastAsia="仿宋" w:cs="仿宋"/>
          <w:spacing w:val="5"/>
          <w:sz w:val="32"/>
          <w:szCs w:val="32"/>
        </w:rPr>
        <w:t xml:space="preserve">  </w:t>
      </w:r>
      <w:r>
        <w:rPr>
          <w:rFonts w:ascii="仿宋" w:hAnsi="仿宋" w:eastAsia="仿宋" w:cs="仿宋"/>
          <w:spacing w:val="1"/>
          <w:sz w:val="32"/>
          <w:szCs w:val="32"/>
        </w:rPr>
        <w:t>持小微企业融资有关税收政策的通知》(财税〔2017〕77号)</w:t>
      </w:r>
      <w:r>
        <w:rPr>
          <w:rFonts w:ascii="仿宋" w:hAnsi="仿宋" w:eastAsia="仿宋" w:cs="仿宋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11"/>
          <w:sz w:val="32"/>
          <w:szCs w:val="32"/>
        </w:rPr>
        <w:t>规定执行。</w:t>
      </w:r>
    </w:p>
    <w:p w14:paraId="0EE9C5A7">
      <w:pPr>
        <w:spacing w:before="78" w:line="224" w:lineRule="auto"/>
        <w:ind w:left="679"/>
        <w:rPr>
          <w:rFonts w:ascii="仿宋" w:hAnsi="仿宋" w:eastAsia="仿宋" w:cs="仿宋"/>
          <w:sz w:val="30"/>
          <w:szCs w:val="30"/>
        </w:rPr>
      </w:pPr>
      <w:r>
        <w:rPr>
          <w:rFonts w:ascii="楷体" w:hAnsi="楷体" w:eastAsia="楷体" w:cs="楷体"/>
          <w:b/>
          <w:bCs/>
          <w:spacing w:val="9"/>
          <w:sz w:val="30"/>
          <w:szCs w:val="30"/>
        </w:rPr>
        <w:t>第四条</w:t>
      </w:r>
      <w:r>
        <w:rPr>
          <w:rFonts w:ascii="楷体" w:hAnsi="楷体" w:eastAsia="楷体" w:cs="楷体"/>
          <w:spacing w:val="9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9"/>
          <w:sz w:val="30"/>
          <w:szCs w:val="30"/>
        </w:rPr>
        <w:t>申请贷款担保主体应具备以下条件：</w:t>
      </w:r>
    </w:p>
    <w:p w14:paraId="5B5F4963">
      <w:pPr>
        <w:spacing w:before="210" w:line="291" w:lineRule="auto"/>
        <w:ind w:left="24" w:right="171" w:firstLine="750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6"/>
          <w:sz w:val="32"/>
          <w:szCs w:val="32"/>
        </w:rPr>
        <w:t>(一)具有法人资格的担保主体依法在贵池区域内登记</w:t>
      </w:r>
      <w:r>
        <w:rPr>
          <w:rFonts w:ascii="仿宋" w:hAnsi="仿宋" w:eastAsia="仿宋" w:cs="仿宋"/>
          <w:spacing w:val="13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10"/>
          <w:sz w:val="32"/>
          <w:szCs w:val="32"/>
        </w:rPr>
        <w:t>注册(以纳税地点为准);</w:t>
      </w:r>
    </w:p>
    <w:p w14:paraId="5D13588B">
      <w:pPr>
        <w:spacing w:before="191" w:line="288" w:lineRule="auto"/>
        <w:ind w:left="24" w:right="154" w:firstLine="750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7"/>
          <w:sz w:val="32"/>
          <w:szCs w:val="32"/>
        </w:rPr>
        <w:t>(二)具有法人资格的担保主体建立健全财务制度且管</w:t>
      </w:r>
      <w:r>
        <w:rPr>
          <w:rFonts w:ascii="仿宋" w:hAnsi="仿宋" w:eastAsia="仿宋" w:cs="仿宋"/>
          <w:spacing w:val="5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18"/>
          <w:sz w:val="32"/>
          <w:szCs w:val="32"/>
        </w:rPr>
        <w:t>理规范；</w:t>
      </w:r>
    </w:p>
    <w:p w14:paraId="1A0E48DD">
      <w:pPr>
        <w:spacing w:before="198" w:line="284" w:lineRule="auto"/>
        <w:ind w:left="144" w:right="67" w:firstLine="630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8"/>
          <w:sz w:val="32"/>
          <w:szCs w:val="32"/>
        </w:rPr>
        <w:t>(三)担保主体经营范围须符合国家政策，在相关部门</w:t>
      </w:r>
      <w:r>
        <w:rPr>
          <w:rFonts w:ascii="仿宋" w:hAnsi="仿宋" w:eastAsia="仿宋" w:cs="仿宋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3"/>
          <w:sz w:val="32"/>
          <w:szCs w:val="32"/>
        </w:rPr>
        <w:t>(如税务、消防、环保、市场监管、公检法、海关、保险等)</w:t>
      </w:r>
    </w:p>
    <w:p w14:paraId="6AC01832">
      <w:pPr>
        <w:spacing w:before="219" w:line="332" w:lineRule="auto"/>
        <w:ind w:left="24" w:right="166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2"/>
          <w:sz w:val="32"/>
          <w:szCs w:val="32"/>
        </w:rPr>
        <w:t>及银行均无重大不良记录；法定代表人或实际控制人、高级</w:t>
      </w:r>
      <w:r>
        <w:rPr>
          <w:rFonts w:ascii="仿宋" w:hAnsi="仿宋" w:eastAsia="仿宋" w:cs="仿宋"/>
          <w:spacing w:val="4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8"/>
          <w:sz w:val="32"/>
          <w:szCs w:val="32"/>
        </w:rPr>
        <w:t>管理人员无重大不良信用记录和重大违法违规记录；</w:t>
      </w:r>
    </w:p>
    <w:p w14:paraId="40333B4C">
      <w:pPr>
        <w:spacing w:before="69" w:line="362" w:lineRule="auto"/>
        <w:ind w:left="24" w:right="171" w:firstLine="75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32"/>
          <w:sz w:val="30"/>
          <w:szCs w:val="30"/>
        </w:rPr>
        <w:t>(四)申请担保主体需由所在园区管委会、镇政府(街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1"/>
          <w:sz w:val="30"/>
          <w:szCs w:val="30"/>
        </w:rPr>
        <w:t>道办事处)和主管部门出具推荐意见。</w:t>
      </w:r>
    </w:p>
    <w:p w14:paraId="208B5E17">
      <w:pPr>
        <w:spacing w:before="23" w:line="222" w:lineRule="auto"/>
        <w:ind w:left="3009"/>
        <w:outlineLvl w:val="6"/>
        <w:rPr>
          <w:rFonts w:ascii="黑体" w:hAnsi="黑体" w:eastAsia="黑体" w:cs="黑体"/>
          <w:sz w:val="32"/>
          <w:szCs w:val="32"/>
        </w:rPr>
      </w:pPr>
      <w:r>
        <w:rPr>
          <w:rFonts w:ascii="黑体" w:hAnsi="黑体" w:eastAsia="黑体" w:cs="黑体"/>
          <w:b/>
          <w:bCs/>
          <w:spacing w:val="11"/>
          <w:sz w:val="32"/>
          <w:szCs w:val="32"/>
        </w:rPr>
        <w:t>第三章风险控制</w:t>
      </w:r>
    </w:p>
    <w:p w14:paraId="5AB68F98">
      <w:pPr>
        <w:spacing w:before="237" w:line="224" w:lineRule="auto"/>
        <w:ind w:left="674"/>
        <w:rPr>
          <w:rFonts w:ascii="仿宋" w:hAnsi="仿宋" w:eastAsia="仿宋" w:cs="仿宋"/>
          <w:sz w:val="30"/>
          <w:szCs w:val="30"/>
        </w:rPr>
      </w:pPr>
      <w:r>
        <w:rPr>
          <w:rFonts w:ascii="楷体" w:hAnsi="楷体" w:eastAsia="楷体" w:cs="楷体"/>
          <w:spacing w:val="13"/>
          <w:sz w:val="30"/>
          <w:szCs w:val="30"/>
        </w:rPr>
        <w:t>第五条</w:t>
      </w:r>
      <w:r>
        <w:rPr>
          <w:rFonts w:ascii="楷体" w:hAnsi="楷体" w:eastAsia="楷体" w:cs="楷体"/>
          <w:spacing w:val="-51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3"/>
          <w:sz w:val="30"/>
          <w:szCs w:val="30"/>
        </w:rPr>
        <w:t>抵押债权设定。</w:t>
      </w:r>
    </w:p>
    <w:p w14:paraId="02862CC3">
      <w:pPr>
        <w:spacing w:line="224" w:lineRule="auto"/>
        <w:rPr>
          <w:rFonts w:ascii="仿宋" w:hAnsi="仿宋" w:eastAsia="仿宋" w:cs="仿宋"/>
          <w:sz w:val="30"/>
          <w:szCs w:val="30"/>
        </w:rPr>
        <w:sectPr>
          <w:footerReference r:id="rId7" w:type="default"/>
          <w:pgSz w:w="11900" w:h="16830"/>
          <w:pgMar w:top="1430" w:right="1650" w:bottom="1116" w:left="1785" w:header="0" w:footer="937" w:gutter="0"/>
          <w:cols w:space="720" w:num="1"/>
        </w:sectPr>
      </w:pPr>
    </w:p>
    <w:p w14:paraId="1A5EF326">
      <w:pPr>
        <w:spacing w:before="215" w:line="289" w:lineRule="auto"/>
        <w:ind w:left="24" w:right="20" w:firstLine="74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8"/>
          <w:sz w:val="31"/>
          <w:szCs w:val="31"/>
        </w:rPr>
        <w:t>(一)以土地、房产抵押申请担保贷款的，原则上</w:t>
      </w:r>
      <w:r>
        <w:rPr>
          <w:rFonts w:ascii="仿宋" w:hAnsi="仿宋" w:eastAsia="仿宋" w:cs="仿宋"/>
          <w:spacing w:val="17"/>
          <w:sz w:val="31"/>
          <w:szCs w:val="31"/>
        </w:rPr>
        <w:t>按其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评估价值的70%设定抵押债权；</w:t>
      </w:r>
    </w:p>
    <w:p w14:paraId="34D57A3E">
      <w:pPr>
        <w:spacing w:before="209" w:line="295" w:lineRule="auto"/>
        <w:ind w:left="24" w:right="45" w:firstLine="74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7"/>
          <w:sz w:val="31"/>
          <w:szCs w:val="31"/>
        </w:rPr>
        <w:t>(二)以林权抵押或无产权证的土地、房产申请</w:t>
      </w:r>
      <w:r>
        <w:rPr>
          <w:rFonts w:ascii="仿宋" w:hAnsi="仿宋" w:eastAsia="仿宋" w:cs="仿宋"/>
          <w:spacing w:val="16"/>
          <w:sz w:val="31"/>
          <w:szCs w:val="31"/>
        </w:rPr>
        <w:t>担保贷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款的，原则上按其评估价值的50%设定抵押债权；</w:t>
      </w:r>
    </w:p>
    <w:p w14:paraId="68CA957A">
      <w:pPr>
        <w:spacing w:before="209" w:line="295" w:lineRule="auto"/>
        <w:ind w:left="24" w:right="50" w:firstLine="74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6"/>
          <w:sz w:val="31"/>
          <w:szCs w:val="31"/>
        </w:rPr>
        <w:t xml:space="preserve">(三)以设备、车辆抵押申请担保贷款的，原则上按其 </w:t>
      </w:r>
      <w:r>
        <w:rPr>
          <w:rFonts w:ascii="仿宋" w:hAnsi="仿宋" w:eastAsia="仿宋" w:cs="仿宋"/>
          <w:spacing w:val="5"/>
          <w:sz w:val="31"/>
          <w:szCs w:val="31"/>
        </w:rPr>
        <w:t>评估价值的50%设定抵押债权；</w:t>
      </w:r>
    </w:p>
    <w:p w14:paraId="79B4FED3">
      <w:pPr>
        <w:spacing w:before="210" w:line="367" w:lineRule="auto"/>
        <w:ind w:left="24" w:right="51" w:firstLine="740"/>
        <w:rPr>
          <w:rFonts w:ascii="仿宋" w:hAnsi="仿宋" w:eastAsia="仿宋" w:cs="仿宋"/>
          <w:sz w:val="25"/>
          <w:szCs w:val="25"/>
        </w:rPr>
      </w:pPr>
      <w:r>
        <w:rPr>
          <w:rFonts w:ascii="仿宋" w:hAnsi="仿宋" w:eastAsia="仿宋" w:cs="仿宋"/>
          <w:spacing w:val="16"/>
          <w:sz w:val="31"/>
          <w:szCs w:val="31"/>
        </w:rPr>
        <w:t>(四)以知识产权(专利权、商标权、著作权等)、股权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"/>
          <w:sz w:val="31"/>
          <w:szCs w:val="31"/>
        </w:rPr>
        <w:t>质押申请贷款担保的，原则上按照其评估价值的50%设定抵押</w:t>
      </w:r>
      <w:r>
        <w:rPr>
          <w:rFonts w:ascii="仿宋" w:hAnsi="仿宋" w:eastAsia="仿宋" w:cs="仿宋"/>
          <w:spacing w:val="1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2"/>
          <w:sz w:val="25"/>
          <w:szCs w:val="25"/>
        </w:rPr>
        <w:t>债</w:t>
      </w:r>
      <w:r>
        <w:rPr>
          <w:rFonts w:ascii="仿宋" w:hAnsi="仿宋" w:eastAsia="仿宋" w:cs="仿宋"/>
          <w:spacing w:val="-26"/>
          <w:sz w:val="25"/>
          <w:szCs w:val="25"/>
        </w:rPr>
        <w:t xml:space="preserve"> </w:t>
      </w:r>
      <w:r>
        <w:rPr>
          <w:rFonts w:ascii="仿宋" w:hAnsi="仿宋" w:eastAsia="仿宋" w:cs="仿宋"/>
          <w:spacing w:val="-12"/>
          <w:sz w:val="25"/>
          <w:szCs w:val="25"/>
        </w:rPr>
        <w:t>权</w:t>
      </w:r>
      <w:r>
        <w:rPr>
          <w:rFonts w:ascii="仿宋" w:hAnsi="仿宋" w:eastAsia="仿宋" w:cs="仿宋"/>
          <w:spacing w:val="-41"/>
          <w:sz w:val="25"/>
          <w:szCs w:val="25"/>
        </w:rPr>
        <w:t xml:space="preserve"> </w:t>
      </w:r>
      <w:r>
        <w:rPr>
          <w:rFonts w:ascii="仿宋" w:hAnsi="仿宋" w:eastAsia="仿宋" w:cs="仿宋"/>
          <w:spacing w:val="-12"/>
          <w:sz w:val="25"/>
          <w:szCs w:val="25"/>
        </w:rPr>
        <w:t>。</w:t>
      </w:r>
    </w:p>
    <w:p w14:paraId="43B4A37A">
      <w:pPr>
        <w:spacing w:before="87" w:line="224" w:lineRule="auto"/>
        <w:ind w:left="669"/>
        <w:rPr>
          <w:rFonts w:ascii="仿宋" w:hAnsi="仿宋" w:eastAsia="仿宋" w:cs="仿宋"/>
          <w:sz w:val="31"/>
          <w:szCs w:val="31"/>
        </w:rPr>
      </w:pPr>
      <w:r>
        <w:rPr>
          <w:rFonts w:ascii="楷体" w:hAnsi="楷体" w:eastAsia="楷体" w:cs="楷体"/>
          <w:b/>
          <w:bCs/>
          <w:spacing w:val="-1"/>
          <w:sz w:val="31"/>
          <w:szCs w:val="31"/>
        </w:rPr>
        <w:t>第六条</w:t>
      </w:r>
      <w:r>
        <w:rPr>
          <w:rFonts w:ascii="楷体" w:hAnsi="楷体" w:eastAsia="楷体" w:cs="楷体"/>
          <w:spacing w:val="-2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"/>
          <w:sz w:val="31"/>
          <w:szCs w:val="31"/>
        </w:rPr>
        <w:t>信誉担保设定。</w:t>
      </w:r>
    </w:p>
    <w:p w14:paraId="7D7B3DAF">
      <w:pPr>
        <w:spacing w:before="229" w:line="340" w:lineRule="auto"/>
        <w:ind w:left="24" w:right="52" w:firstLine="63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8"/>
          <w:sz w:val="31"/>
          <w:szCs w:val="31"/>
        </w:rPr>
        <w:t>担保主体的股东、法定代表人或实际控制人须</w:t>
      </w:r>
      <w:r>
        <w:rPr>
          <w:rFonts w:ascii="仿宋" w:hAnsi="仿宋" w:eastAsia="仿宋" w:cs="仿宋"/>
          <w:spacing w:val="7"/>
          <w:sz w:val="31"/>
          <w:szCs w:val="31"/>
        </w:rPr>
        <w:t>承担个人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连带责任；其他高级管理人员、研发团队等原则上也应承担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"/>
          <w:sz w:val="31"/>
          <w:szCs w:val="31"/>
        </w:rPr>
        <w:t>个人连带责任。</w:t>
      </w:r>
    </w:p>
    <w:p w14:paraId="738F8E61">
      <w:pPr>
        <w:spacing w:before="82" w:line="224" w:lineRule="auto"/>
        <w:ind w:left="669"/>
        <w:rPr>
          <w:rFonts w:ascii="仿宋" w:hAnsi="仿宋" w:eastAsia="仿宋" w:cs="仿宋"/>
          <w:sz w:val="31"/>
          <w:szCs w:val="31"/>
        </w:rPr>
      </w:pPr>
      <w:r>
        <w:rPr>
          <w:rFonts w:ascii="楷体" w:hAnsi="楷体" w:eastAsia="楷体" w:cs="楷体"/>
          <w:b/>
          <w:bCs/>
          <w:spacing w:val="-5"/>
          <w:sz w:val="31"/>
          <w:szCs w:val="31"/>
        </w:rPr>
        <w:t>第七条</w:t>
      </w:r>
      <w:r>
        <w:rPr>
          <w:rFonts w:ascii="楷体" w:hAnsi="楷体" w:eastAsia="楷体" w:cs="楷体"/>
          <w:spacing w:val="-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5"/>
          <w:sz w:val="31"/>
          <w:szCs w:val="31"/>
        </w:rPr>
        <w:t>额度设定。</w:t>
      </w:r>
    </w:p>
    <w:p w14:paraId="5F2EB1C4">
      <w:pPr>
        <w:spacing w:before="225" w:line="350" w:lineRule="auto"/>
        <w:ind w:left="24" w:right="50" w:firstLine="74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6"/>
          <w:sz w:val="31"/>
          <w:szCs w:val="31"/>
        </w:rPr>
        <w:t xml:space="preserve">(一)担保公司对单个被担保主体提供的融资担保余额 </w:t>
      </w:r>
      <w:r>
        <w:rPr>
          <w:rFonts w:ascii="仿宋" w:hAnsi="仿宋" w:eastAsia="仿宋" w:cs="仿宋"/>
          <w:spacing w:val="13"/>
          <w:sz w:val="31"/>
          <w:szCs w:val="31"/>
        </w:rPr>
        <w:t>一般不超过500万元，最高对单个被担保主体的担保余额不</w:t>
      </w:r>
      <w:r>
        <w:rPr>
          <w:rFonts w:ascii="仿宋" w:hAnsi="仿宋" w:eastAsia="仿宋" w:cs="仿宋"/>
          <w:spacing w:val="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得超过担保公司净资产的比例10%,对单个被担保主体及其关</w:t>
      </w:r>
      <w:r>
        <w:rPr>
          <w:rFonts w:ascii="仿宋" w:hAnsi="仿宋" w:eastAsia="仿宋" w:cs="仿宋"/>
          <w:spacing w:val="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联方的担保余额不得超过担保公司净资产的比例15%。</w:t>
      </w:r>
    </w:p>
    <w:p w14:paraId="5C258C0B">
      <w:pPr>
        <w:spacing w:before="33" w:line="356" w:lineRule="auto"/>
        <w:ind w:left="24" w:right="39" w:firstLine="74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7"/>
          <w:sz w:val="31"/>
          <w:szCs w:val="31"/>
        </w:rPr>
        <w:t>(二)单个被担保主体融资担保余额不得超过其净资产</w:t>
      </w:r>
      <w:r>
        <w:rPr>
          <w:rFonts w:ascii="仿宋" w:hAnsi="仿宋" w:eastAsia="仿宋" w:cs="仿宋"/>
          <w:spacing w:val="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的50%。</w:t>
      </w:r>
    </w:p>
    <w:p w14:paraId="57651D99">
      <w:pPr>
        <w:spacing w:before="19" w:line="224" w:lineRule="auto"/>
        <w:ind w:left="669"/>
        <w:rPr>
          <w:rFonts w:ascii="仿宋" w:hAnsi="仿宋" w:eastAsia="仿宋" w:cs="仿宋"/>
          <w:sz w:val="31"/>
          <w:szCs w:val="31"/>
        </w:rPr>
      </w:pPr>
      <w:r>
        <w:rPr>
          <w:rFonts w:ascii="楷体" w:hAnsi="楷体" w:eastAsia="楷体" w:cs="楷体"/>
          <w:b/>
          <w:bCs/>
          <w:spacing w:val="-2"/>
          <w:sz w:val="31"/>
          <w:szCs w:val="31"/>
        </w:rPr>
        <w:t>第八条</w:t>
      </w:r>
      <w:r>
        <w:rPr>
          <w:rFonts w:ascii="楷体" w:hAnsi="楷体" w:eastAsia="楷体" w:cs="楷体"/>
          <w:spacing w:val="-3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2"/>
          <w:sz w:val="31"/>
          <w:szCs w:val="31"/>
        </w:rPr>
        <w:t>业务占比。</w:t>
      </w:r>
    </w:p>
    <w:p w14:paraId="363F7211">
      <w:pPr>
        <w:spacing w:before="227" w:line="342" w:lineRule="auto"/>
        <w:ind w:left="24" w:firstLine="63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3"/>
          <w:sz w:val="31"/>
          <w:szCs w:val="31"/>
        </w:rPr>
        <w:t>小微企业和“三农”融资担保金额及户数占比不低于80%,</w:t>
      </w:r>
      <w:r>
        <w:rPr>
          <w:rFonts w:ascii="仿宋" w:hAnsi="仿宋" w:eastAsia="仿宋" w:cs="仿宋"/>
          <w:spacing w:val="1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4"/>
          <w:sz w:val="31"/>
          <w:szCs w:val="31"/>
        </w:rPr>
        <w:t>单户500万元以下小微企业和“三农”融资</w:t>
      </w:r>
      <w:r>
        <w:rPr>
          <w:rFonts w:ascii="仿宋" w:hAnsi="仿宋" w:eastAsia="仿宋" w:cs="仿宋"/>
          <w:spacing w:val="13"/>
          <w:sz w:val="31"/>
          <w:szCs w:val="31"/>
        </w:rPr>
        <w:t>担保金额占比不</w:t>
      </w:r>
    </w:p>
    <w:p w14:paraId="51FAFFB1">
      <w:pPr>
        <w:spacing w:line="342" w:lineRule="auto"/>
        <w:rPr>
          <w:rFonts w:ascii="仿宋" w:hAnsi="仿宋" w:eastAsia="仿宋" w:cs="仿宋"/>
          <w:sz w:val="31"/>
          <w:szCs w:val="31"/>
        </w:rPr>
        <w:sectPr>
          <w:footerReference r:id="rId8" w:type="default"/>
          <w:pgSz w:w="11900" w:h="16830"/>
          <w:pgMar w:top="1430" w:right="1767" w:bottom="1159" w:left="1785" w:header="0" w:footer="990" w:gutter="0"/>
          <w:cols w:space="720" w:num="1"/>
        </w:sectPr>
      </w:pPr>
    </w:p>
    <w:p w14:paraId="087D85DD">
      <w:pPr>
        <w:spacing w:before="210" w:line="223" w:lineRule="auto"/>
        <w:ind w:left="24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9"/>
          <w:sz w:val="31"/>
          <w:szCs w:val="31"/>
        </w:rPr>
        <w:t>低于50%。</w:t>
      </w:r>
    </w:p>
    <w:p w14:paraId="4CB4749D">
      <w:pPr>
        <w:spacing w:before="228" w:line="224" w:lineRule="auto"/>
        <w:ind w:left="679"/>
        <w:rPr>
          <w:rFonts w:ascii="仿宋" w:hAnsi="仿宋" w:eastAsia="仿宋" w:cs="仿宋"/>
          <w:sz w:val="31"/>
          <w:szCs w:val="31"/>
        </w:rPr>
      </w:pPr>
      <w:r>
        <w:rPr>
          <w:rFonts w:ascii="楷体" w:hAnsi="楷体" w:eastAsia="楷体" w:cs="楷体"/>
          <w:b/>
          <w:bCs/>
          <w:spacing w:val="-3"/>
          <w:sz w:val="31"/>
          <w:szCs w:val="31"/>
        </w:rPr>
        <w:t>第九条</w:t>
      </w:r>
      <w:r>
        <w:rPr>
          <w:rFonts w:ascii="楷体" w:hAnsi="楷体" w:eastAsia="楷体" w:cs="楷体"/>
          <w:spacing w:val="-3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3"/>
          <w:sz w:val="31"/>
          <w:szCs w:val="31"/>
        </w:rPr>
        <w:t>审批程序。</w:t>
      </w:r>
    </w:p>
    <w:p w14:paraId="5CDFE748">
      <w:pPr>
        <w:spacing w:before="206" w:line="317" w:lineRule="auto"/>
        <w:ind w:left="24" w:right="125" w:firstLine="75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34"/>
          <w:sz w:val="31"/>
          <w:szCs w:val="31"/>
        </w:rPr>
        <w:t>(一)单个担保主体贷款金额在200万元</w:t>
      </w:r>
      <w:r>
        <w:rPr>
          <w:rFonts w:ascii="仿宋" w:hAnsi="仿宋" w:eastAsia="仿宋" w:cs="仿宋"/>
          <w:spacing w:val="33"/>
          <w:sz w:val="31"/>
          <w:szCs w:val="31"/>
        </w:rPr>
        <w:t>(含)以下的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7"/>
          <w:sz w:val="31"/>
          <w:szCs w:val="31"/>
        </w:rPr>
        <w:t>项目由担保公司评审会自行审议，审议通过后报股东单位或</w:t>
      </w:r>
      <w:r>
        <w:rPr>
          <w:rFonts w:ascii="仿宋" w:hAnsi="仿宋" w:eastAsia="仿宋" w:cs="仿宋"/>
          <w:spacing w:val="1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2"/>
          <w:sz w:val="31"/>
          <w:szCs w:val="31"/>
        </w:rPr>
        <w:t>授权管理机构备案。</w:t>
      </w:r>
    </w:p>
    <w:p w14:paraId="6E3183C4">
      <w:pPr>
        <w:spacing w:before="203" w:line="317" w:lineRule="auto"/>
        <w:ind w:left="24" w:right="98" w:firstLine="75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5"/>
          <w:sz w:val="31"/>
          <w:szCs w:val="31"/>
        </w:rPr>
        <w:t>(二)单个担保主体贷款金额在200万元以上，500万元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0"/>
          <w:sz w:val="31"/>
          <w:szCs w:val="31"/>
        </w:rPr>
        <w:t>(含)以下的项目由担保公司评审会审议通过后报股东单位</w:t>
      </w:r>
      <w:r>
        <w:rPr>
          <w:rFonts w:ascii="仿宋" w:hAnsi="仿宋" w:eastAsia="仿宋" w:cs="仿宋"/>
          <w:spacing w:val="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或授权管理机构审批，审批通过后报区国资委备案。</w:t>
      </w:r>
    </w:p>
    <w:p w14:paraId="6F67859D">
      <w:pPr>
        <w:spacing w:before="203" w:line="331" w:lineRule="auto"/>
        <w:ind w:left="24" w:right="150" w:firstLine="75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20"/>
          <w:sz w:val="31"/>
          <w:szCs w:val="31"/>
        </w:rPr>
        <w:t>(三)单个担保主体贷款金额在500万元以上的项</w:t>
      </w:r>
      <w:r>
        <w:rPr>
          <w:rFonts w:ascii="仿宋" w:hAnsi="仿宋" w:eastAsia="仿宋" w:cs="仿宋"/>
          <w:spacing w:val="19"/>
          <w:sz w:val="31"/>
          <w:szCs w:val="31"/>
        </w:rPr>
        <w:t>目，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由担保公司评审会审议通过后报股东单位或授权管</w:t>
      </w:r>
      <w:r>
        <w:rPr>
          <w:rFonts w:ascii="仿宋" w:hAnsi="仿宋" w:eastAsia="仿宋" w:cs="仿宋"/>
          <w:spacing w:val="5"/>
          <w:sz w:val="31"/>
          <w:szCs w:val="31"/>
        </w:rPr>
        <w:t>理机构复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审，复审通过后报担保公司融资担保联席评审会议办公室，</w:t>
      </w:r>
      <w:r>
        <w:rPr>
          <w:rFonts w:ascii="仿宋" w:hAnsi="仿宋" w:eastAsia="仿宋" w:cs="仿宋"/>
          <w:spacing w:val="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由办公室通知召开区融资担保联席评审会议专题研究，并出</w:t>
      </w:r>
      <w:r>
        <w:rPr>
          <w:rFonts w:ascii="仿宋" w:hAnsi="仿宋" w:eastAsia="仿宋" w:cs="仿宋"/>
          <w:spacing w:val="1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4"/>
          <w:sz w:val="31"/>
          <w:szCs w:val="31"/>
        </w:rPr>
        <w:t>具意见函。</w:t>
      </w:r>
    </w:p>
    <w:p w14:paraId="6EB715B8">
      <w:pPr>
        <w:spacing w:before="237" w:line="224" w:lineRule="auto"/>
        <w:ind w:left="679"/>
        <w:rPr>
          <w:rFonts w:ascii="仿宋" w:hAnsi="仿宋" w:eastAsia="仿宋" w:cs="仿宋"/>
          <w:sz w:val="31"/>
          <w:szCs w:val="31"/>
        </w:rPr>
      </w:pPr>
      <w:r>
        <w:rPr>
          <w:rFonts w:ascii="楷体" w:hAnsi="楷体" w:eastAsia="楷体" w:cs="楷体"/>
          <w:b/>
          <w:bCs/>
          <w:spacing w:val="-1"/>
          <w:sz w:val="31"/>
          <w:szCs w:val="31"/>
        </w:rPr>
        <w:t>第十条</w:t>
      </w:r>
      <w:r>
        <w:rPr>
          <w:rFonts w:ascii="楷体" w:hAnsi="楷体" w:eastAsia="楷体" w:cs="楷体"/>
          <w:spacing w:val="-2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"/>
          <w:sz w:val="31"/>
          <w:szCs w:val="31"/>
        </w:rPr>
        <w:t>担保期限。</w:t>
      </w:r>
    </w:p>
    <w:p w14:paraId="0C75B0C6">
      <w:pPr>
        <w:spacing w:before="208" w:line="350" w:lineRule="auto"/>
        <w:ind w:left="24" w:firstLine="64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z w:val="31"/>
          <w:szCs w:val="31"/>
        </w:rPr>
        <w:t>为单个担保主体或项目提供担保的期限，原则上不超过1</w:t>
      </w:r>
      <w:r>
        <w:rPr>
          <w:rFonts w:ascii="仿宋" w:hAnsi="仿宋" w:eastAsia="仿宋" w:cs="仿宋"/>
          <w:spacing w:val="1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年。单个担保主体或项目持续扶持担保贷款最长不超过5年，</w:t>
      </w:r>
      <w:r>
        <w:rPr>
          <w:rFonts w:ascii="仿宋" w:hAnsi="仿宋" w:eastAsia="仿宋" w:cs="仿宋"/>
          <w:spacing w:val="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3"/>
          <w:sz w:val="31"/>
          <w:szCs w:val="31"/>
        </w:rPr>
        <w:t>第3年起每年需压缩不少于20%的担保规模。</w:t>
      </w:r>
    </w:p>
    <w:p w14:paraId="5E1A4155">
      <w:pPr>
        <w:spacing w:before="57" w:line="337" w:lineRule="auto"/>
        <w:ind w:left="679" w:right="2894" w:firstLine="1880"/>
        <w:rPr>
          <w:rFonts w:ascii="仿宋" w:hAnsi="仿宋" w:eastAsia="仿宋" w:cs="仿宋"/>
          <w:sz w:val="31"/>
          <w:szCs w:val="31"/>
        </w:rPr>
      </w:pPr>
      <w:r>
        <w:rPr>
          <w:rFonts w:ascii="黑体" w:hAnsi="黑体" w:eastAsia="黑体" w:cs="黑体"/>
          <w:b/>
          <w:bCs/>
          <w:spacing w:val="15"/>
          <w:sz w:val="31"/>
          <w:szCs w:val="31"/>
        </w:rPr>
        <w:t>第四章风险补偿机制</w:t>
      </w:r>
      <w:r>
        <w:rPr>
          <w:rFonts w:ascii="黑体" w:hAnsi="黑体" w:eastAsia="黑体" w:cs="黑体"/>
          <w:spacing w:val="1"/>
          <w:sz w:val="31"/>
          <w:szCs w:val="31"/>
        </w:rPr>
        <w:t xml:space="preserve"> </w:t>
      </w:r>
      <w:r>
        <w:rPr>
          <w:rFonts w:ascii="楷体" w:hAnsi="楷体" w:eastAsia="楷体" w:cs="楷体"/>
          <w:b/>
          <w:bCs/>
          <w:spacing w:val="-3"/>
          <w:sz w:val="31"/>
          <w:szCs w:val="31"/>
        </w:rPr>
        <w:t>第十一条</w:t>
      </w:r>
      <w:r>
        <w:rPr>
          <w:rFonts w:ascii="楷体" w:hAnsi="楷体" w:eastAsia="楷体" w:cs="楷体"/>
          <w:spacing w:val="-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3"/>
          <w:sz w:val="31"/>
          <w:szCs w:val="31"/>
        </w:rPr>
        <w:t>补助标准及拨付。</w:t>
      </w:r>
    </w:p>
    <w:p w14:paraId="340E3C92">
      <w:pPr>
        <w:spacing w:before="48" w:line="349" w:lineRule="auto"/>
        <w:ind w:left="24" w:right="124" w:firstLine="64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6"/>
          <w:sz w:val="31"/>
          <w:szCs w:val="31"/>
        </w:rPr>
        <w:t>每年的补助额度=上一年度新增担保额*3%计算，纳入区</w:t>
      </w:r>
      <w:r>
        <w:rPr>
          <w:rFonts w:ascii="仿宋" w:hAnsi="仿宋" w:eastAsia="仿宋" w:cs="仿宋"/>
          <w:spacing w:val="1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级财政年度预算，下一年度第一季度拨付。</w:t>
      </w:r>
    </w:p>
    <w:p w14:paraId="18DB346F">
      <w:pPr>
        <w:spacing w:before="44" w:line="224" w:lineRule="auto"/>
        <w:ind w:left="679"/>
        <w:rPr>
          <w:rFonts w:ascii="仿宋" w:hAnsi="仿宋" w:eastAsia="仿宋" w:cs="仿宋"/>
          <w:sz w:val="31"/>
          <w:szCs w:val="31"/>
        </w:rPr>
      </w:pPr>
      <w:r>
        <w:rPr>
          <w:rFonts w:ascii="楷体" w:hAnsi="楷体" w:eastAsia="楷体" w:cs="楷体"/>
          <w:b/>
          <w:bCs/>
          <w:spacing w:val="-3"/>
          <w:sz w:val="31"/>
          <w:szCs w:val="31"/>
        </w:rPr>
        <w:t>第十二条</w:t>
      </w:r>
      <w:r>
        <w:rPr>
          <w:rFonts w:ascii="楷体" w:hAnsi="楷体" w:eastAsia="楷体" w:cs="楷体"/>
          <w:spacing w:val="-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3"/>
          <w:sz w:val="31"/>
          <w:szCs w:val="31"/>
        </w:rPr>
        <w:t>补助资金的管理。</w:t>
      </w:r>
    </w:p>
    <w:p w14:paraId="1FFFE31A">
      <w:pPr>
        <w:spacing w:before="218" w:line="221" w:lineRule="auto"/>
        <w:ind w:left="674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8"/>
          <w:sz w:val="31"/>
          <w:szCs w:val="31"/>
        </w:rPr>
        <w:t>补助资金设立专户管理，专门用于核销担保公司按</w:t>
      </w:r>
      <w:r>
        <w:rPr>
          <w:rFonts w:ascii="仿宋" w:hAnsi="仿宋" w:eastAsia="仿宋" w:cs="仿宋"/>
          <w:spacing w:val="7"/>
          <w:sz w:val="31"/>
          <w:szCs w:val="31"/>
        </w:rPr>
        <w:t>法定</w:t>
      </w:r>
    </w:p>
    <w:p w14:paraId="70FFA6BA">
      <w:pPr>
        <w:spacing w:line="221" w:lineRule="auto"/>
        <w:rPr>
          <w:rFonts w:ascii="仿宋" w:hAnsi="仿宋" w:eastAsia="仿宋" w:cs="仿宋"/>
          <w:sz w:val="31"/>
          <w:szCs w:val="31"/>
        </w:rPr>
        <w:sectPr>
          <w:footerReference r:id="rId9" w:type="default"/>
          <w:pgSz w:w="11900" w:h="16830"/>
          <w:pgMar w:top="1430" w:right="1704" w:bottom="1157" w:left="1785" w:header="0" w:footer="990" w:gutter="0"/>
          <w:cols w:space="720" w:num="1"/>
        </w:sectPr>
      </w:pPr>
    </w:p>
    <w:p w14:paraId="356500EE">
      <w:pPr>
        <w:spacing w:before="227" w:line="222" w:lineRule="auto"/>
        <w:ind w:left="9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1"/>
          <w:sz w:val="31"/>
          <w:szCs w:val="31"/>
        </w:rPr>
        <w:t>程序代偿未能回收的款项。</w:t>
      </w:r>
    </w:p>
    <w:p w14:paraId="43AB748D">
      <w:pPr>
        <w:spacing w:before="215" w:line="222" w:lineRule="auto"/>
        <w:ind w:left="3294"/>
        <w:outlineLvl w:val="6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b/>
          <w:bCs/>
          <w:spacing w:val="61"/>
          <w:sz w:val="31"/>
          <w:szCs w:val="31"/>
        </w:rPr>
        <w:t>第五章附则</w:t>
      </w:r>
    </w:p>
    <w:p w14:paraId="4F8C9E39">
      <w:pPr>
        <w:spacing w:before="230" w:line="346" w:lineRule="auto"/>
        <w:ind w:left="89" w:right="539" w:firstLine="639"/>
        <w:rPr>
          <w:rFonts w:ascii="楷体" w:hAnsi="楷体" w:eastAsia="楷体" w:cs="楷体"/>
          <w:sz w:val="31"/>
          <w:szCs w:val="31"/>
        </w:rPr>
      </w:pPr>
      <w:r>
        <w:rPr>
          <w:rFonts w:ascii="楷体" w:hAnsi="楷体" w:eastAsia="楷体" w:cs="楷体"/>
          <w:spacing w:val="2"/>
          <w:sz w:val="31"/>
          <w:szCs w:val="31"/>
        </w:rPr>
        <w:t>第十三条</w:t>
      </w:r>
      <w:r>
        <w:rPr>
          <w:rFonts w:ascii="楷体" w:hAnsi="楷体" w:eastAsia="楷体" w:cs="楷体"/>
          <w:spacing w:val="-3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本办法与有关法律、法规不一致或相关法律法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楷体" w:hAnsi="楷体" w:eastAsia="楷体" w:cs="楷体"/>
          <w:sz w:val="31"/>
          <w:szCs w:val="31"/>
        </w:rPr>
        <w:t>规另有规定的，从其规定。</w:t>
      </w:r>
    </w:p>
    <w:p w14:paraId="3668BBE2">
      <w:pPr>
        <w:spacing w:before="47" w:line="328" w:lineRule="auto"/>
        <w:ind w:left="729" w:right="2705"/>
        <w:rPr>
          <w:rFonts w:ascii="仿宋" w:hAnsi="仿宋" w:eastAsia="仿宋" w:cs="仿宋"/>
          <w:sz w:val="31"/>
          <w:szCs w:val="31"/>
        </w:rPr>
      </w:pPr>
      <w:r>
        <w:rPr>
          <w:rFonts w:ascii="楷体" w:hAnsi="楷体" w:eastAsia="楷体" w:cs="楷体"/>
          <w:spacing w:val="3"/>
          <w:sz w:val="31"/>
          <w:szCs w:val="31"/>
        </w:rPr>
        <w:t>第十四条</w:t>
      </w:r>
      <w:r>
        <w:rPr>
          <w:rFonts w:ascii="楷体" w:hAnsi="楷体" w:eastAsia="楷体" w:cs="楷体"/>
          <w:spacing w:val="-3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本办法由区财政局负责解释。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楷体" w:hAnsi="楷体" w:eastAsia="楷体" w:cs="楷体"/>
          <w:spacing w:val="-3"/>
          <w:sz w:val="31"/>
          <w:szCs w:val="31"/>
        </w:rPr>
        <w:t>第十五条</w:t>
      </w:r>
      <w:r>
        <w:rPr>
          <w:rFonts w:ascii="楷体" w:hAnsi="楷体" w:eastAsia="楷体" w:cs="楷体"/>
          <w:spacing w:val="6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3"/>
          <w:sz w:val="31"/>
          <w:szCs w:val="31"/>
        </w:rPr>
        <w:t>本办法自发布之日起施行。</w:t>
      </w:r>
    </w:p>
    <w:p w14:paraId="3BF73552">
      <w:pPr>
        <w:spacing w:before="1"/>
      </w:pPr>
    </w:p>
    <w:p w14:paraId="360C6209">
      <w:pPr>
        <w:spacing w:before="1"/>
      </w:pPr>
    </w:p>
    <w:p w14:paraId="0BAB97B6">
      <w:pPr>
        <w:spacing w:before="1"/>
      </w:pPr>
    </w:p>
    <w:p w14:paraId="0AF16F51">
      <w:pPr>
        <w:spacing w:before="1"/>
      </w:pPr>
    </w:p>
    <w:p w14:paraId="2388CDA6">
      <w:pPr>
        <w:spacing w:before="1"/>
      </w:pPr>
    </w:p>
    <w:p w14:paraId="6626ED02">
      <w:pPr>
        <w:spacing w:before="1"/>
      </w:pPr>
    </w:p>
    <w:p w14:paraId="20D9A6DC"/>
    <w:p w14:paraId="7AA583D7"/>
    <w:p w14:paraId="7C4AD477"/>
    <w:p w14:paraId="6973728D"/>
    <w:p w14:paraId="2E0989BD"/>
    <w:p w14:paraId="71BD487F"/>
    <w:p w14:paraId="5FAD5911"/>
    <w:p w14:paraId="3A71D563"/>
    <w:p w14:paraId="12755691"/>
    <w:p w14:paraId="7CFFE891"/>
    <w:p w14:paraId="7172E150"/>
    <w:p w14:paraId="3D9238EE"/>
    <w:p w14:paraId="204D4A1D"/>
    <w:p w14:paraId="49A80CEB"/>
    <w:p w14:paraId="0A711A34"/>
    <w:p w14:paraId="416C5C1E"/>
    <w:p w14:paraId="6792927D"/>
    <w:p w14:paraId="5DDC4108"/>
    <w:p w14:paraId="0002A59B"/>
    <w:p w14:paraId="73AFA5DD"/>
    <w:p w14:paraId="072F2864"/>
    <w:p w14:paraId="05B7071B"/>
    <w:p w14:paraId="221676E9"/>
    <w:p w14:paraId="77420B69"/>
    <w:p w14:paraId="176DDDC1"/>
    <w:p w14:paraId="3A716B50"/>
    <w:p w14:paraId="35674204"/>
    <w:tbl>
      <w:tblPr>
        <w:tblStyle w:val="5"/>
        <w:tblW w:w="8880" w:type="dxa"/>
        <w:tblInd w:w="0" w:type="dxa"/>
        <w:tblBorders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insideH w:val="none" w:color="000000" w:sz="0" w:space="0"/>
          <w:insideV w:val="none" w:color="000000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208"/>
        <w:gridCol w:w="4672"/>
      </w:tblGrid>
      <w:tr w14:paraId="015656BF">
        <w:tblPrEx>
          <w:tblBorders>
            <w:top w:val="none" w:color="000000" w:sz="0" w:space="0"/>
            <w:left w:val="none" w:color="000000" w:sz="0" w:space="0"/>
            <w:bottom w:val="none" w:color="000000" w:sz="0" w:space="0"/>
            <w:right w:val="none" w:color="000000" w:sz="0" w:space="0"/>
            <w:insideH w:val="none" w:color="000000" w:sz="0" w:space="0"/>
            <w:insideV w:val="none" w:color="00000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8" w:hRule="atLeast"/>
        </w:trPr>
        <w:tc>
          <w:tcPr>
            <w:tcW w:w="8880" w:type="dxa"/>
            <w:gridSpan w:val="2"/>
            <w:tcBorders>
              <w:top w:val="single" w:color="000000" w:sz="4" w:space="0"/>
              <w:bottom w:val="single" w:color="000000" w:sz="4" w:space="0"/>
            </w:tcBorders>
            <w:vAlign w:val="top"/>
          </w:tcPr>
          <w:p w14:paraId="221D2B17">
            <w:pPr>
              <w:spacing w:before="254" w:line="343" w:lineRule="auto"/>
              <w:ind w:left="1199" w:right="105" w:hanging="800"/>
              <w:rPr>
                <w:rFonts w:ascii="宋体" w:hAnsi="宋体" w:eastAsia="宋体" w:cs="宋体"/>
                <w:sz w:val="27"/>
                <w:szCs w:val="27"/>
              </w:rPr>
            </w:pPr>
            <w:r>
              <w:rPr>
                <w:rFonts w:ascii="宋体" w:hAnsi="宋体" w:eastAsia="宋体" w:cs="宋体"/>
                <w:sz w:val="27"/>
                <w:szCs w:val="27"/>
              </w:rPr>
              <w:t>抄送：区委各部门，区人大常委会办公室，区政协办公室，区监察委，</w:t>
            </w:r>
            <w:r>
              <w:rPr>
                <w:rFonts w:ascii="宋体" w:hAnsi="宋体" w:eastAsia="宋体" w:cs="宋体"/>
                <w:spacing w:val="3"/>
                <w:sz w:val="27"/>
                <w:szCs w:val="2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27"/>
                <w:szCs w:val="27"/>
              </w:rPr>
              <w:t>区法院，区检察院，区人武部。</w:t>
            </w:r>
          </w:p>
        </w:tc>
      </w:tr>
      <w:tr w14:paraId="3700CE6A">
        <w:tblPrEx>
          <w:tblBorders>
            <w:top w:val="none" w:color="000000" w:sz="0" w:space="0"/>
            <w:left w:val="none" w:color="000000" w:sz="0" w:space="0"/>
            <w:bottom w:val="none" w:color="000000" w:sz="0" w:space="0"/>
            <w:right w:val="none" w:color="000000" w:sz="0" w:space="0"/>
            <w:insideH w:val="none" w:color="000000" w:sz="0" w:space="0"/>
            <w:insideV w:val="none" w:color="00000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1" w:hRule="atLeast"/>
        </w:trPr>
        <w:tc>
          <w:tcPr>
            <w:tcW w:w="4208" w:type="dxa"/>
            <w:tcBorders>
              <w:top w:val="single" w:color="000000" w:sz="4" w:space="0"/>
              <w:bottom w:val="single" w:color="000000" w:sz="4" w:space="0"/>
            </w:tcBorders>
            <w:vAlign w:val="top"/>
          </w:tcPr>
          <w:p w14:paraId="25260A26">
            <w:pPr>
              <w:spacing w:before="156" w:line="219" w:lineRule="auto"/>
              <w:ind w:left="79"/>
              <w:rPr>
                <w:rFonts w:ascii="宋体" w:hAnsi="宋体" w:eastAsia="宋体" w:cs="宋体"/>
                <w:sz w:val="27"/>
                <w:szCs w:val="27"/>
              </w:rPr>
            </w:pPr>
            <w:r>
              <w:rPr>
                <w:rFonts w:ascii="宋体" w:hAnsi="宋体" w:eastAsia="宋体" w:cs="宋体"/>
                <w:spacing w:val="1"/>
                <w:sz w:val="27"/>
                <w:szCs w:val="27"/>
              </w:rPr>
              <w:t>池州市贵区人民政府办公室</w:t>
            </w:r>
          </w:p>
        </w:tc>
        <w:tc>
          <w:tcPr>
            <w:tcW w:w="4672" w:type="dxa"/>
            <w:tcBorders>
              <w:top w:val="single" w:color="000000" w:sz="4" w:space="0"/>
              <w:bottom w:val="single" w:color="000000" w:sz="4" w:space="0"/>
            </w:tcBorders>
            <w:vAlign w:val="top"/>
          </w:tcPr>
          <w:p w14:paraId="696FFE40">
            <w:pPr>
              <w:spacing w:before="158" w:line="219" w:lineRule="auto"/>
              <w:ind w:left="971"/>
              <w:rPr>
                <w:rFonts w:ascii="宋体" w:hAnsi="宋体" w:eastAsia="宋体" w:cs="宋体"/>
                <w:sz w:val="27"/>
                <w:szCs w:val="27"/>
              </w:rPr>
            </w:pPr>
            <w:r>
              <w:rPr>
                <w:rFonts w:ascii="宋体" w:hAnsi="宋体" w:eastAsia="宋体" w:cs="宋体"/>
                <w:sz w:val="27"/>
                <w:szCs w:val="27"/>
              </w:rPr>
              <w:t>2020年11月30日印发</w:t>
            </w:r>
          </w:p>
        </w:tc>
      </w:tr>
    </w:tbl>
    <w:p w14:paraId="31DF3906">
      <w:pPr>
        <w:pStyle w:val="2"/>
      </w:pPr>
    </w:p>
    <w:sectPr>
      <w:footerReference r:id="rId10" w:type="default"/>
      <w:pgSz w:w="11900" w:h="16830"/>
      <w:pgMar w:top="1430" w:right="1279" w:bottom="1159" w:left="1740" w:header="0" w:footer="99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D63C625">
    <w:pPr>
      <w:spacing w:line="172" w:lineRule="auto"/>
      <w:ind w:left="3999"/>
      <w:rPr>
        <w:rFonts w:ascii="宋体" w:hAnsi="宋体" w:eastAsia="宋体" w:cs="宋体"/>
        <w:sz w:val="17"/>
        <w:szCs w:val="17"/>
      </w:rPr>
    </w:pPr>
    <w:r>
      <w:rPr>
        <w:rFonts w:ascii="宋体" w:hAnsi="宋体" w:eastAsia="宋体" w:cs="宋体"/>
        <w:spacing w:val="-2"/>
        <w:sz w:val="17"/>
        <w:szCs w:val="17"/>
      </w:rPr>
      <w:t>—1—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41D3A97">
    <w:pPr>
      <w:spacing w:line="169" w:lineRule="auto"/>
      <w:ind w:left="3980"/>
      <w:rPr>
        <w:rFonts w:ascii="仿宋" w:hAnsi="仿宋" w:eastAsia="仿宋" w:cs="仿宋"/>
        <w:sz w:val="17"/>
        <w:szCs w:val="17"/>
      </w:rPr>
    </w:pPr>
    <w:r>
      <w:rPr>
        <w:rFonts w:ascii="仿宋" w:hAnsi="仿宋" w:eastAsia="仿宋" w:cs="仿宋"/>
        <w:spacing w:val="-2"/>
        <w:sz w:val="17"/>
        <w:szCs w:val="17"/>
      </w:rPr>
      <w:t>—2—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5DE4979">
    <w:pPr>
      <w:spacing w:line="172" w:lineRule="auto"/>
      <w:ind w:left="3954"/>
      <w:rPr>
        <w:rFonts w:ascii="宋体" w:hAnsi="宋体" w:eastAsia="宋体" w:cs="宋体"/>
        <w:sz w:val="18"/>
        <w:szCs w:val="18"/>
      </w:rPr>
    </w:pPr>
    <w:r>
      <w:rPr>
        <w:rFonts w:ascii="宋体" w:hAnsi="宋体" w:eastAsia="宋体" w:cs="宋体"/>
        <w:spacing w:val="-2"/>
        <w:sz w:val="18"/>
        <w:szCs w:val="18"/>
      </w:rPr>
      <w:t>—3—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8302EE5">
    <w:pPr>
      <w:spacing w:line="172" w:lineRule="auto"/>
      <w:ind w:left="3944"/>
      <w:rPr>
        <w:rFonts w:ascii="宋体" w:hAnsi="宋体" w:eastAsia="宋体" w:cs="宋体"/>
        <w:sz w:val="17"/>
        <w:szCs w:val="17"/>
      </w:rPr>
    </w:pPr>
    <w:r>
      <w:rPr>
        <w:rFonts w:ascii="宋体" w:hAnsi="宋体" w:eastAsia="宋体" w:cs="宋体"/>
        <w:spacing w:val="-2"/>
        <w:sz w:val="17"/>
        <w:szCs w:val="17"/>
      </w:rPr>
      <w:t>—4—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723330A">
    <w:pPr>
      <w:spacing w:line="170" w:lineRule="auto"/>
      <w:ind w:left="3944"/>
      <w:rPr>
        <w:rFonts w:ascii="宋体" w:hAnsi="宋体" w:eastAsia="宋体" w:cs="宋体"/>
        <w:sz w:val="17"/>
        <w:szCs w:val="17"/>
      </w:rPr>
    </w:pPr>
    <w:r>
      <w:rPr>
        <w:rFonts w:ascii="宋体" w:hAnsi="宋体" w:eastAsia="宋体" w:cs="宋体"/>
        <w:spacing w:val="-2"/>
        <w:sz w:val="17"/>
        <w:szCs w:val="17"/>
      </w:rPr>
      <w:t>—5—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A8FE94C">
    <w:pPr>
      <w:spacing w:line="172" w:lineRule="auto"/>
      <w:ind w:left="3989"/>
      <w:rPr>
        <w:rFonts w:ascii="宋体" w:hAnsi="宋体" w:eastAsia="宋体" w:cs="宋体"/>
        <w:sz w:val="17"/>
        <w:szCs w:val="17"/>
      </w:rPr>
    </w:pPr>
    <w:r>
      <w:rPr>
        <w:rFonts w:ascii="宋体" w:hAnsi="宋体" w:eastAsia="宋体" w:cs="宋体"/>
        <w:spacing w:val="-2"/>
        <w:sz w:val="17"/>
        <w:szCs w:val="17"/>
      </w:rPr>
      <w:t>—6—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5EC51AE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5.xml"/><Relationship Id="rId8" Type="http://schemas.openxmlformats.org/officeDocument/2006/relationships/footer" Target="footer4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theme" Target="theme/theme1.xml"/><Relationship Id="rId10" Type="http://schemas.openxmlformats.org/officeDocument/2006/relationships/footer" Target="footer6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6</Pages>
  <Words>2129</Words>
  <Characters>2195</Characters>
  <TotalTime>0</TotalTime>
  <ScaleCrop>false</ScaleCrop>
  <LinksUpToDate>false</LinksUpToDate>
  <CharactersWithSpaces>2289</CharactersWithSpaces>
  <Application>WPS Office_12.1.0.18912_F1E327BC-269C-435d-A152-05C5408002CA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2024-12-09T10:59:00Z</dcterms:created>
  <dc:creator>Kingsoft-PDF</dc:creator>
  <cp:lastModifiedBy>cz</cp:lastModifiedBy>
  <dcterms:modified xsi:type="dcterms:W3CDTF">2024-12-09T03:00:22Z</dcterms:modified>
  <dc:subject>pdfbuilder</dc:subject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wqlLaW5nc29mdCBQREYgdG8gV1BTIDEwMA</vt:lpwstr>
  </property>
  <property fmtid="{D5CDD505-2E9C-101B-9397-08002B2CF9AE}" pid="3" name="Created">
    <vt:filetime>2024-12-09T10:59:53Z</vt:filetime>
  </property>
  <property fmtid="{D5CDD505-2E9C-101B-9397-08002B2CF9AE}" pid="4" name="UsrData">
    <vt:lpwstr>67565d252e8809001fb16979wl</vt:lpwstr>
  </property>
  <property fmtid="{D5CDD505-2E9C-101B-9397-08002B2CF9AE}" pid="5" name="KSOProductBuildVer">
    <vt:lpwstr>2052-12.1.0.18912</vt:lpwstr>
  </property>
  <property fmtid="{D5CDD505-2E9C-101B-9397-08002B2CF9AE}" pid="6" name="ICV">
    <vt:lpwstr>7C278A0D39994CCBBA16DD374A5C0041_12</vt:lpwstr>
  </property>
</Properties>
</file>