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78495D">
      <w:pPr>
        <w:keepNext w:val="0"/>
        <w:keepLines w:val="0"/>
        <w:widowControl w:val="0"/>
        <w:suppressLineNumbers w:val="0"/>
        <w:spacing w:before="0" w:beforeAutospacing="0" w:after="0" w:afterAutospacing="0" w:line="320" w:lineRule="exact"/>
        <w:ind w:left="0" w:right="0"/>
        <w:jc w:val="both"/>
        <w:rPr>
          <w:rFonts w:hint="eastAsia" w:ascii="方正小标宋简体" w:hAnsi="华文中宋" w:eastAsia="方正小标宋简体" w:cs="方正小标宋简体"/>
          <w:b/>
          <w:bCs w:val="0"/>
          <w:szCs w:val="32"/>
          <w:lang w:val="en-US"/>
        </w:rPr>
      </w:pPr>
      <w:bookmarkStart w:id="0" w:name="Start"/>
      <w:bookmarkEnd w:id="0"/>
    </w:p>
    <w:p w14:paraId="7DC9E9EA">
      <w:pPr>
        <w:keepNext w:val="0"/>
        <w:keepLines w:val="0"/>
        <w:widowControl w:val="0"/>
        <w:suppressLineNumbers w:val="0"/>
        <w:spacing w:before="0" w:beforeAutospacing="0" w:after="0" w:afterAutospacing="0" w:line="320" w:lineRule="exact"/>
        <w:ind w:left="0" w:right="0"/>
        <w:jc w:val="both"/>
        <w:rPr>
          <w:rFonts w:hint="eastAsia" w:ascii="方正小标宋简体" w:hAnsi="华文中宋" w:eastAsia="方正小标宋简体" w:cs="方正小标宋简体"/>
          <w:b/>
          <w:bCs w:val="0"/>
          <w:szCs w:val="32"/>
          <w:lang w:val="en-US"/>
        </w:rPr>
      </w:pPr>
      <w:bookmarkStart w:id="4" w:name="_GoBack"/>
      <w:bookmarkEnd w:id="4"/>
    </w:p>
    <w:p w14:paraId="22055D3E">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bookmarkStart w:id="1" w:name="正文"/>
      <w:r>
        <w:rPr>
          <w:rFonts w:hint="eastAsia" w:ascii="方正小标宋简体" w:hAnsi="方正小标宋简体" w:eastAsia="方正小标宋简体" w:cs="方正小标宋简体"/>
          <w:kern w:val="2"/>
          <w:sz w:val="44"/>
          <w:szCs w:val="44"/>
          <w:lang w:val="en-US" w:eastAsia="zh-CN" w:bidi="ar"/>
        </w:rPr>
        <w:t>关于印发《池州市贵池区2024年秋季开学</w:t>
      </w:r>
    </w:p>
    <w:p w14:paraId="3F1431D4">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r>
        <w:rPr>
          <w:rFonts w:hint="eastAsia" w:ascii="方正小标宋简体" w:hAnsi="方正小标宋简体" w:eastAsia="方正小标宋简体" w:cs="方正小标宋简体"/>
          <w:kern w:val="2"/>
          <w:sz w:val="44"/>
          <w:szCs w:val="44"/>
          <w:lang w:val="en-US" w:eastAsia="zh-CN" w:bidi="ar"/>
        </w:rPr>
        <w:t>中小学校园食品安全交叉互查行动</w:t>
      </w:r>
    </w:p>
    <w:p w14:paraId="0207E7F6">
      <w:pPr>
        <w:keepNext w:val="0"/>
        <w:keepLines w:val="0"/>
        <w:widowControl w:val="0"/>
        <w:suppressLineNumbers w:val="0"/>
        <w:spacing w:before="0" w:beforeAutospacing="0" w:after="0" w:afterAutospacing="0" w:line="660" w:lineRule="exact"/>
        <w:ind w:left="0" w:right="0"/>
        <w:jc w:val="center"/>
        <w:rPr>
          <w:rFonts w:hint="eastAsia" w:ascii="方正小标宋简体" w:hAnsi="华文中宋" w:eastAsia="方正小标宋简体" w:cs="方正小标宋简体"/>
          <w:color w:val="FF0000"/>
          <w:spacing w:val="-60"/>
          <w:w w:val="68"/>
          <w:sz w:val="100"/>
          <w:szCs w:val="100"/>
          <w:lang w:val="en-US"/>
        </w:rPr>
      </w:pPr>
      <w:r>
        <w:rPr>
          <w:rFonts w:hint="eastAsia" w:ascii="方正小标宋简体" w:hAnsi="方正小标宋简体" w:eastAsia="方正小标宋简体" w:cs="方正小标宋简体"/>
          <w:kern w:val="2"/>
          <w:sz w:val="44"/>
          <w:szCs w:val="44"/>
          <w:lang w:val="en-US" w:eastAsia="zh-CN" w:bidi="ar"/>
        </w:rPr>
        <w:t>实施方案》的通知</w:t>
      </w:r>
    </w:p>
    <w:p w14:paraId="099B31D6">
      <w:pPr>
        <w:keepNext w:val="0"/>
        <w:keepLines w:val="0"/>
        <w:widowControl w:val="0"/>
        <w:suppressLineNumbers w:val="0"/>
        <w:spacing w:before="0" w:beforeAutospacing="0" w:after="0" w:afterAutospacing="0" w:line="320" w:lineRule="exact"/>
        <w:ind w:left="0" w:right="0"/>
        <w:jc w:val="both"/>
        <w:rPr>
          <w:rFonts w:hint="eastAsia" w:ascii="方正仿宋简体" w:hAnsi="华文中宋" w:eastAsia="仿宋_GB2312" w:cs="方正仿宋简体"/>
          <w:szCs w:val="32"/>
          <w:lang w:val="en-US"/>
        </w:rPr>
      </w:pPr>
    </w:p>
    <w:p w14:paraId="7C3C9D59">
      <w:pPr>
        <w:keepNext w:val="0"/>
        <w:keepLines w:val="0"/>
        <w:widowControl w:val="0"/>
        <w:suppressLineNumbers w:val="0"/>
        <w:spacing w:before="0" w:beforeAutospacing="0" w:after="0" w:afterAutospacing="0" w:line="400" w:lineRule="exact"/>
        <w:ind w:left="0" w:right="0"/>
        <w:jc w:val="center"/>
        <w:rPr>
          <w:rFonts w:hint="eastAsia" w:ascii="仿宋_GB2312" w:hAnsi="华文中宋" w:eastAsia="仿宋_GB2312" w:cs="仿宋_GB2312"/>
          <w:kern w:val="2"/>
          <w:sz w:val="32"/>
          <w:szCs w:val="32"/>
          <w:lang w:val="en-US" w:eastAsia="zh-CN" w:bidi="ar"/>
        </w:rPr>
      </w:pPr>
      <w:bookmarkStart w:id="2" w:name="发文字号"/>
    </w:p>
    <w:p w14:paraId="3E0486D5">
      <w:pPr>
        <w:keepNext w:val="0"/>
        <w:keepLines w:val="0"/>
        <w:widowControl w:val="0"/>
        <w:suppressLineNumbers w:val="0"/>
        <w:spacing w:before="0" w:beforeAutospacing="0" w:after="0" w:afterAutospacing="0" w:line="400" w:lineRule="exact"/>
        <w:ind w:left="0" w:right="0"/>
        <w:jc w:val="center"/>
        <w:rPr>
          <w:rFonts w:hint="eastAsia" w:ascii="仿宋_GB2312" w:hAnsi="华文中宋" w:eastAsia="仿宋_GB2312" w:cs="仿宋_GB2312"/>
          <w:szCs w:val="32"/>
          <w:lang w:val="en-US"/>
        </w:rPr>
      </w:pPr>
      <w:r>
        <w:rPr>
          <w:rFonts w:hint="eastAsia" w:ascii="仿宋_GB2312" w:hAnsi="华文中宋" w:eastAsia="仿宋_GB2312" w:cs="仿宋_GB2312"/>
          <w:kern w:val="2"/>
          <w:sz w:val="32"/>
          <w:szCs w:val="32"/>
          <w:lang w:val="en-US" w:eastAsia="zh-CN" w:bidi="ar"/>
        </w:rPr>
        <w:t>贵市管〔2024〕103号</w:t>
      </w:r>
      <w:bookmarkEnd w:id="2"/>
    </w:p>
    <w:p w14:paraId="74D3E05A">
      <w:pPr>
        <w:keepNext w:val="0"/>
        <w:keepLines w:val="0"/>
        <w:widowControl w:val="0"/>
        <w:suppressLineNumbers w:val="0"/>
        <w:spacing w:before="0" w:beforeAutospacing="0" w:after="0" w:afterAutospacing="0" w:line="320" w:lineRule="exact"/>
        <w:ind w:left="0" w:right="0"/>
        <w:jc w:val="center"/>
        <w:rPr>
          <w:rFonts w:hint="eastAsia" w:ascii="方正仿宋简体" w:hAnsi="华文中宋" w:eastAsia="仿宋_GB2312" w:cs="方正仿宋简体"/>
          <w:szCs w:val="32"/>
          <w:lang w:val="en-US"/>
        </w:rPr>
      </w:pPr>
    </w:p>
    <w:p w14:paraId="3B0FEDFC">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57D3A9C1">
      <w:pPr>
        <w:keepNext w:val="0"/>
        <w:keepLines w:val="0"/>
        <w:widowControl w:val="0"/>
        <w:suppressLineNumbers w:val="0"/>
        <w:spacing w:before="0" w:beforeAutospacing="0" w:after="0" w:afterAutospacing="0" w:line="600" w:lineRule="exact"/>
        <w:ind w:left="0" w:right="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局属各单位：</w:t>
      </w:r>
    </w:p>
    <w:p w14:paraId="2A8501E3">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现将《池州市贵池区2024年秋季开学校园食品安全交叉互查行动实施方案》印发给你们，请遵照执行。</w:t>
      </w:r>
    </w:p>
    <w:p w14:paraId="49D80AD4">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640ADBA5">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53C18330">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116C79F0">
      <w:pPr>
        <w:keepNext w:val="0"/>
        <w:keepLines w:val="0"/>
        <w:widowControl w:val="0"/>
        <w:suppressLineNumbers w:val="0"/>
        <w:spacing w:before="0" w:beforeAutospacing="0" w:after="0" w:afterAutospacing="0" w:line="600" w:lineRule="exact"/>
        <w:ind w:left="0" w:right="0" w:firstLine="4108" w:firstLineChars="13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池州市贵池区市场监督管理局</w:t>
      </w:r>
    </w:p>
    <w:p w14:paraId="4FF52B82">
      <w:pPr>
        <w:keepNext w:val="0"/>
        <w:keepLines w:val="0"/>
        <w:widowControl w:val="0"/>
        <w:suppressLineNumbers w:val="0"/>
        <w:spacing w:before="0" w:beforeAutospacing="0" w:after="0" w:afterAutospacing="0" w:line="600" w:lineRule="exact"/>
        <w:ind w:left="0" w:right="0" w:firstLine="5056" w:firstLineChars="16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2024年9月14日</w:t>
      </w:r>
    </w:p>
    <w:p w14:paraId="7FF4C2AD">
      <w:pPr>
        <w:keepNext w:val="0"/>
        <w:keepLines w:val="0"/>
        <w:widowControl w:val="0"/>
        <w:suppressLineNumbers w:val="0"/>
        <w:spacing w:before="0" w:beforeAutospacing="0" w:after="0" w:afterAutospacing="0" w:line="600" w:lineRule="exact"/>
        <w:ind w:left="0" w:right="0" w:firstLine="3296" w:firstLineChars="1600"/>
        <w:jc w:val="both"/>
        <w:rPr>
          <w:rFonts w:hint="eastAsia" w:ascii="仿宋_GB2312" w:hAnsi="仿宋_GB2312" w:eastAsia="仿宋_GB2312" w:cs="仿宋_GB2312"/>
          <w:szCs w:val="32"/>
          <w:lang w:val="en-US"/>
        </w:rPr>
      </w:pPr>
    </w:p>
    <w:p w14:paraId="51F4DE26">
      <w:pPr>
        <w:keepNext w:val="0"/>
        <w:keepLines w:val="0"/>
        <w:widowControl w:val="0"/>
        <w:suppressLineNumbers w:val="0"/>
        <w:spacing w:before="0" w:beforeAutospacing="0" w:after="0" w:afterAutospacing="0" w:line="600" w:lineRule="exact"/>
        <w:ind w:left="0" w:right="0" w:firstLine="3296" w:firstLineChars="1600"/>
        <w:jc w:val="both"/>
        <w:rPr>
          <w:rFonts w:hint="eastAsia" w:ascii="仿宋_GB2312" w:hAnsi="仿宋_GB2312" w:eastAsia="仿宋_GB2312" w:cs="仿宋_GB2312"/>
          <w:szCs w:val="32"/>
          <w:lang w:val="en-US"/>
        </w:rPr>
      </w:pPr>
    </w:p>
    <w:p w14:paraId="63CB105D">
      <w:pPr>
        <w:keepNext w:val="0"/>
        <w:keepLines w:val="0"/>
        <w:widowControl w:val="0"/>
        <w:suppressLineNumbers w:val="0"/>
        <w:spacing w:before="0" w:beforeAutospacing="0" w:after="0" w:afterAutospacing="0" w:line="600" w:lineRule="exact"/>
        <w:ind w:left="0" w:right="0" w:firstLine="3296" w:firstLineChars="1600"/>
        <w:jc w:val="both"/>
        <w:rPr>
          <w:rFonts w:hint="eastAsia" w:ascii="仿宋_GB2312" w:hAnsi="仿宋_GB2312" w:eastAsia="仿宋_GB2312" w:cs="仿宋_GB2312"/>
          <w:szCs w:val="32"/>
          <w:lang w:val="en-US"/>
        </w:rPr>
      </w:pPr>
    </w:p>
    <w:p w14:paraId="6816DD9B">
      <w:pPr>
        <w:keepNext w:val="0"/>
        <w:keepLines w:val="0"/>
        <w:widowControl w:val="0"/>
        <w:suppressLineNumbers w:val="0"/>
        <w:spacing w:before="0" w:beforeAutospacing="0" w:after="0" w:afterAutospacing="0" w:line="600" w:lineRule="exact"/>
        <w:ind w:left="0" w:right="0" w:firstLine="3296" w:firstLineChars="1600"/>
        <w:jc w:val="both"/>
        <w:rPr>
          <w:rFonts w:hint="eastAsia" w:ascii="仿宋_GB2312" w:hAnsi="仿宋_GB2312" w:eastAsia="仿宋_GB2312" w:cs="仿宋_GB2312"/>
          <w:szCs w:val="32"/>
          <w:lang w:val="en-US"/>
        </w:rPr>
      </w:pPr>
    </w:p>
    <w:p w14:paraId="2C66BC4B">
      <w:pPr>
        <w:keepNext w:val="0"/>
        <w:keepLines w:val="0"/>
        <w:widowControl w:val="0"/>
        <w:suppressLineNumbers w:val="0"/>
        <w:spacing w:before="0" w:beforeAutospacing="0" w:after="0" w:afterAutospacing="0" w:line="600" w:lineRule="exact"/>
        <w:ind w:left="0" w:right="0" w:firstLine="3296" w:firstLineChars="1600"/>
        <w:jc w:val="both"/>
        <w:rPr>
          <w:rFonts w:hint="eastAsia" w:ascii="仿宋_GB2312" w:hAnsi="仿宋_GB2312" w:eastAsia="仿宋_GB2312" w:cs="仿宋_GB2312"/>
          <w:szCs w:val="32"/>
          <w:lang w:val="en-US"/>
        </w:rPr>
      </w:pPr>
    </w:p>
    <w:p w14:paraId="28A48FBF">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r>
        <w:rPr>
          <w:rFonts w:hint="eastAsia" w:ascii="方正小标宋简体" w:hAnsi="方正小标宋简体" w:eastAsia="方正小标宋简体" w:cs="方正小标宋简体"/>
          <w:kern w:val="2"/>
          <w:sz w:val="44"/>
          <w:szCs w:val="44"/>
          <w:lang w:val="en-US" w:eastAsia="zh-CN" w:bidi="ar"/>
        </w:rPr>
        <w:t>池州市贵池区2024年秋季开学校园食品</w:t>
      </w:r>
    </w:p>
    <w:p w14:paraId="6E33894F">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r>
        <w:rPr>
          <w:rFonts w:hint="eastAsia" w:ascii="方正小标宋简体" w:hAnsi="方正小标宋简体" w:eastAsia="方正小标宋简体" w:cs="方正小标宋简体"/>
          <w:kern w:val="2"/>
          <w:sz w:val="44"/>
          <w:szCs w:val="44"/>
          <w:lang w:val="en-US" w:eastAsia="zh-CN" w:bidi="ar"/>
        </w:rPr>
        <w:t>安全交叉互查行动实施方案</w:t>
      </w:r>
    </w:p>
    <w:p w14:paraId="13F2724D">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18F523B5">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为进一步督促学校食堂、承包经营企业、校外供餐单位做好秋季开学食品安全工作，切实保障2024年秋季开学期间广大师生饮食安全。根据《安徽省市场监督管理局办公室关于印发〈安徽省在集中整治中开展中小学校园食品安全突出问题专项整治方案〉的通知》（皖市监办函〔2024〕105号）、《池州市开展中小学校园食品安全突出问题专项整治工作方案》（池市监办〔2024〕54号）、《关于印发〈池州市贵池区开展中小学校园食品安全突出问题专项整治工作方案〉的通知》（贵市管〔2024〕66号）及《安徽省市场监督管理局安徽省教育厅安徽省卫生健康委员会安徽省公安厅安徽省疾病预防控制局关于做好2024年秋季开学学校食品安全等风险隐患排查工作的通知》（皖市监函〔2024〕365号）的文件要求，决定集中时间、集中力量在全区开展2024年秋季开学食品安全交叉互查行动，特制定本实施方案。</w:t>
      </w:r>
    </w:p>
    <w:p w14:paraId="5D5E4B13">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一、行动时间</w:t>
      </w:r>
    </w:p>
    <w:p w14:paraId="4007084B">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color w:val="000000"/>
          <w:szCs w:val="32"/>
          <w:lang w:val="en-US"/>
        </w:rPr>
      </w:pPr>
      <w:r>
        <w:rPr>
          <w:rFonts w:hint="eastAsia" w:ascii="仿宋_GB2312" w:hAnsi="Times New Roman" w:eastAsia="仿宋_GB2312" w:cs="仿宋_GB2312"/>
          <w:color w:val="000000"/>
          <w:kern w:val="2"/>
          <w:sz w:val="32"/>
          <w:szCs w:val="32"/>
          <w:lang w:val="en-US" w:eastAsia="zh-CN" w:bidi="ar"/>
        </w:rPr>
        <w:t>2024年9月13日上午</w:t>
      </w:r>
    </w:p>
    <w:p w14:paraId="5F5B106A">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二、行动安排</w:t>
      </w:r>
    </w:p>
    <w:p w14:paraId="4ABD419D">
      <w:pPr>
        <w:pStyle w:val="4"/>
        <w:keepNext w:val="0"/>
        <w:keepLines w:val="0"/>
        <w:widowControl/>
        <w:suppressLineNumbers w:val="0"/>
        <w:spacing w:line="600" w:lineRule="exact"/>
        <w:ind w:left="0" w:firstLine="632" w:firstLineChars="200"/>
        <w:rPr>
          <w:rFonts w:hint="eastAsia" w:ascii="仿宋_GB2312" w:eastAsia="仿宋_GB2312" w:cs="仿宋_GB2312"/>
          <w:color w:val="000000"/>
          <w:sz w:val="32"/>
          <w:szCs w:val="32"/>
          <w:lang w:val="en-US"/>
        </w:rPr>
      </w:pPr>
      <w:r>
        <w:rPr>
          <w:rFonts w:hint="eastAsia" w:ascii="仿宋_GB2312" w:hAnsi="Calibri" w:eastAsia="仿宋_GB2312" w:cs="仿宋_GB2312"/>
          <w:color w:val="000000"/>
          <w:sz w:val="32"/>
          <w:szCs w:val="32"/>
          <w:lang w:eastAsia="zh-CN"/>
        </w:rPr>
        <w:t>各监管所</w:t>
      </w:r>
      <w:r>
        <w:rPr>
          <w:rFonts w:hint="eastAsia" w:ascii="仿宋_GB2312" w:eastAsia="仿宋_GB2312" w:cs="仿宋_GB2312"/>
          <w:color w:val="000000"/>
          <w:sz w:val="32"/>
          <w:szCs w:val="32"/>
          <w:lang w:eastAsia="zh-CN"/>
        </w:rPr>
        <w:t>抽调</w:t>
      </w:r>
      <w:r>
        <w:rPr>
          <w:rFonts w:hint="eastAsia" w:ascii="仿宋_GB2312" w:eastAsia="仿宋_GB2312" w:cs="仿宋_GB2312"/>
          <w:color w:val="000000"/>
          <w:sz w:val="32"/>
          <w:szCs w:val="32"/>
          <w:lang w:val="en-US"/>
        </w:rPr>
        <w:t>2</w:t>
      </w:r>
      <w:r>
        <w:rPr>
          <w:rFonts w:hint="eastAsia" w:ascii="仿宋_GB2312" w:eastAsia="仿宋_GB2312" w:cs="仿宋_GB2312"/>
          <w:color w:val="000000"/>
          <w:sz w:val="32"/>
          <w:szCs w:val="32"/>
          <w:lang w:eastAsia="zh-CN"/>
        </w:rPr>
        <w:t>名执法人员，按照交叉互查行动安排表（附件</w:t>
      </w:r>
      <w:r>
        <w:rPr>
          <w:rFonts w:hint="eastAsia" w:ascii="仿宋_GB2312" w:eastAsia="仿宋_GB2312" w:cs="仿宋_GB2312"/>
          <w:color w:val="000000"/>
          <w:sz w:val="32"/>
          <w:szCs w:val="32"/>
          <w:lang w:val="en-US"/>
        </w:rPr>
        <w:t>1</w:t>
      </w:r>
      <w:r>
        <w:rPr>
          <w:rFonts w:hint="eastAsia" w:ascii="仿宋_GB2312" w:eastAsia="仿宋_GB2312" w:cs="仿宋_GB2312"/>
          <w:color w:val="000000"/>
          <w:sz w:val="32"/>
          <w:szCs w:val="32"/>
          <w:lang w:eastAsia="zh-CN"/>
        </w:rPr>
        <w:t>）对相应所开展检查。随机检查不少于</w:t>
      </w:r>
      <w:r>
        <w:rPr>
          <w:rFonts w:hint="eastAsia" w:ascii="仿宋_GB2312" w:eastAsia="仿宋_GB2312" w:cs="仿宋_GB2312"/>
          <w:color w:val="000000"/>
          <w:sz w:val="32"/>
          <w:szCs w:val="32"/>
          <w:lang w:val="en-US"/>
        </w:rPr>
        <w:t>2</w:t>
      </w:r>
      <w:r>
        <w:rPr>
          <w:rFonts w:hint="eastAsia" w:ascii="仿宋_GB2312" w:eastAsia="仿宋_GB2312" w:cs="仿宋_GB2312"/>
          <w:color w:val="000000"/>
          <w:sz w:val="32"/>
          <w:szCs w:val="32"/>
          <w:lang w:eastAsia="zh-CN"/>
        </w:rPr>
        <w:t>家中小学食堂（含校外供餐单位），所查辖区无中小学的抽查</w:t>
      </w:r>
      <w:r>
        <w:rPr>
          <w:rFonts w:hint="eastAsia" w:ascii="仿宋_GB2312" w:eastAsia="仿宋_GB2312" w:cs="仿宋_GB2312"/>
          <w:color w:val="000000"/>
          <w:sz w:val="32"/>
          <w:szCs w:val="32"/>
          <w:lang w:val="en-US"/>
        </w:rPr>
        <w:t>2</w:t>
      </w:r>
      <w:r>
        <w:rPr>
          <w:rFonts w:hint="eastAsia" w:ascii="仿宋_GB2312" w:eastAsia="仿宋_GB2312" w:cs="仿宋_GB2312"/>
          <w:color w:val="000000"/>
          <w:sz w:val="32"/>
          <w:szCs w:val="32"/>
          <w:lang w:eastAsia="zh-CN"/>
        </w:rPr>
        <w:t>家其他学校。</w:t>
      </w:r>
      <w:r>
        <w:rPr>
          <w:rFonts w:hint="eastAsia" w:ascii="仿宋_GB2312" w:hAnsi="Calibri" w:eastAsia="仿宋_GB2312" w:cs="仿宋_GB2312"/>
          <w:color w:val="000000"/>
          <w:kern w:val="2"/>
          <w:sz w:val="32"/>
          <w:szCs w:val="32"/>
          <w:lang w:eastAsia="zh-CN"/>
        </w:rPr>
        <w:t>各互查组</w:t>
      </w:r>
      <w:r>
        <w:rPr>
          <w:rFonts w:hint="eastAsia" w:ascii="仿宋_GB2312" w:eastAsia="仿宋_GB2312" w:cs="仿宋_GB2312"/>
          <w:color w:val="000000"/>
          <w:sz w:val="32"/>
          <w:szCs w:val="32"/>
          <w:lang w:eastAsia="zh-CN"/>
        </w:rPr>
        <w:t>要重点检查一次性供餐人数较多的、食品安全隐患较为突出的学校食堂和校外供餐单位。被检查所要提前与互查组对接，确保完成检查任务。</w:t>
      </w:r>
    </w:p>
    <w:p w14:paraId="52EBD6F4">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三、督查内容</w:t>
      </w:r>
    </w:p>
    <w:p w14:paraId="4169AA19">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color w:val="000000"/>
          <w:szCs w:val="32"/>
          <w:lang w:val="en-US"/>
        </w:rPr>
      </w:pPr>
      <w:r>
        <w:rPr>
          <w:rFonts w:hint="eastAsia" w:ascii="仿宋_GB2312" w:hAnsi="Times New Roman" w:eastAsia="仿宋_GB2312" w:cs="仿宋_GB2312"/>
          <w:b/>
          <w:bCs/>
          <w:color w:val="000000"/>
          <w:kern w:val="2"/>
          <w:sz w:val="32"/>
          <w:szCs w:val="32"/>
          <w:lang w:val="en-US" w:eastAsia="zh-CN" w:bidi="ar"/>
        </w:rPr>
        <w:t>一是</w:t>
      </w:r>
      <w:r>
        <w:rPr>
          <w:rFonts w:hint="eastAsia" w:ascii="仿宋_GB2312" w:hAnsi="Times New Roman" w:eastAsia="仿宋_GB2312" w:cs="仿宋_GB2312"/>
          <w:color w:val="000000"/>
          <w:kern w:val="2"/>
          <w:sz w:val="32"/>
          <w:szCs w:val="32"/>
          <w:lang w:val="en-US" w:eastAsia="zh-CN" w:bidi="ar"/>
        </w:rPr>
        <w:t>鼠患等病媒生物防治设施设备配备情况。将防鼠八项措施作为从业人员培训、考核的内容，并纳入“日管控、周排查、月调度”，严格落实防鼠“一日两查”；</w:t>
      </w:r>
      <w:r>
        <w:rPr>
          <w:rFonts w:hint="eastAsia" w:ascii="仿宋_GB2312" w:hAnsi="Times New Roman" w:eastAsia="仿宋_GB2312" w:cs="仿宋_GB2312"/>
          <w:b/>
          <w:bCs/>
          <w:color w:val="000000"/>
          <w:kern w:val="2"/>
          <w:sz w:val="32"/>
          <w:szCs w:val="32"/>
          <w:lang w:val="en-US" w:eastAsia="zh-CN" w:bidi="ar"/>
        </w:rPr>
        <w:t>二是</w:t>
      </w:r>
      <w:r>
        <w:rPr>
          <w:rFonts w:hint="eastAsia" w:ascii="仿宋_GB2312" w:hAnsi="Times New Roman" w:eastAsia="仿宋_GB2312" w:cs="仿宋_GB2312"/>
          <w:color w:val="000000"/>
          <w:kern w:val="2"/>
          <w:sz w:val="32"/>
          <w:szCs w:val="32"/>
          <w:lang w:val="en-US" w:eastAsia="zh-CN" w:bidi="ar"/>
        </w:rPr>
        <w:t>规范复用餐饮具清洗消毒。配齐与供餐人数相匹配的清洗消毒设施设备并正常运行，清洗消毒岗位从业人员有训、考核；</w:t>
      </w:r>
      <w:r>
        <w:rPr>
          <w:rFonts w:hint="eastAsia" w:ascii="仿宋_GB2312" w:hAnsi="Times New Roman" w:eastAsia="仿宋_GB2312" w:cs="仿宋_GB2312"/>
          <w:b/>
          <w:bCs/>
          <w:color w:val="000000"/>
          <w:kern w:val="2"/>
          <w:sz w:val="32"/>
          <w:szCs w:val="32"/>
          <w:lang w:val="en-US" w:eastAsia="zh-CN" w:bidi="ar"/>
        </w:rPr>
        <w:t>三是</w:t>
      </w:r>
      <w:r>
        <w:rPr>
          <w:rFonts w:hint="eastAsia" w:ascii="仿宋_GB2312" w:hAnsi="Times New Roman" w:eastAsia="仿宋_GB2312" w:cs="仿宋_GB2312"/>
          <w:color w:val="000000"/>
          <w:kern w:val="2"/>
          <w:sz w:val="32"/>
          <w:szCs w:val="32"/>
          <w:lang w:val="en-US" w:eastAsia="zh-CN" w:bidi="ar"/>
        </w:rPr>
        <w:t>规范大宗食材采购。实行大宗食材公开招标、集中定点采购制度，公示大宗食材供货者信息，签订质量安全协议、建立大宗食材供应企业评价与退出机制，落实进货查验义务；</w:t>
      </w:r>
      <w:r>
        <w:rPr>
          <w:rFonts w:hint="eastAsia" w:ascii="仿宋_GB2312" w:hAnsi="Times New Roman" w:eastAsia="仿宋_GB2312" w:cs="仿宋_GB2312"/>
          <w:b/>
          <w:bCs/>
          <w:color w:val="000000"/>
          <w:kern w:val="2"/>
          <w:sz w:val="32"/>
          <w:szCs w:val="32"/>
          <w:lang w:val="en-US" w:eastAsia="zh-CN" w:bidi="ar"/>
        </w:rPr>
        <w:t>四是</w:t>
      </w:r>
      <w:r>
        <w:rPr>
          <w:rFonts w:hint="eastAsia" w:ascii="仿宋_GB2312" w:hAnsi="Times New Roman" w:eastAsia="仿宋_GB2312" w:cs="仿宋_GB2312"/>
          <w:color w:val="000000"/>
          <w:kern w:val="2"/>
          <w:sz w:val="32"/>
          <w:szCs w:val="32"/>
          <w:lang w:val="en-US" w:eastAsia="zh-CN" w:bidi="ar"/>
        </w:rPr>
        <w:t>严格落实食品安全制度。突出许可情况、食品安全自查、食品留样、从业人员健康管理、设施设备维护等制度落实情况；</w:t>
      </w:r>
      <w:r>
        <w:rPr>
          <w:rFonts w:hint="eastAsia" w:ascii="仿宋_GB2312" w:hAnsi="Times New Roman" w:eastAsia="仿宋_GB2312" w:cs="仿宋_GB2312"/>
          <w:b/>
          <w:bCs/>
          <w:color w:val="000000"/>
          <w:kern w:val="2"/>
          <w:sz w:val="32"/>
          <w:szCs w:val="32"/>
          <w:lang w:val="en-US" w:eastAsia="zh-CN" w:bidi="ar"/>
        </w:rPr>
        <w:t>五是</w:t>
      </w:r>
      <w:r>
        <w:rPr>
          <w:rFonts w:hint="eastAsia" w:ascii="仿宋_GB2312" w:hAnsi="Times New Roman" w:eastAsia="仿宋_GB2312" w:cs="仿宋_GB2312"/>
          <w:color w:val="000000"/>
          <w:kern w:val="2"/>
          <w:sz w:val="32"/>
          <w:szCs w:val="32"/>
          <w:lang w:val="en-US" w:eastAsia="zh-CN" w:bidi="ar"/>
        </w:rPr>
        <w:t>严格加工过程控制。做好进货查验、清洗切配、加工烹饪、备餐供餐全过程控制，确保生熟分开存放、食品烧熟煮透、餐饮安全卫生，加工工具、容器等落实标识化管理；</w:t>
      </w:r>
      <w:r>
        <w:rPr>
          <w:rFonts w:hint="eastAsia" w:ascii="仿宋_GB2312" w:hAnsi="Times New Roman" w:eastAsia="仿宋_GB2312" w:cs="仿宋_GB2312"/>
          <w:b/>
          <w:bCs/>
          <w:color w:val="000000"/>
          <w:kern w:val="2"/>
          <w:sz w:val="32"/>
          <w:szCs w:val="32"/>
          <w:lang w:val="en-US" w:eastAsia="zh-CN" w:bidi="ar"/>
        </w:rPr>
        <w:t>六是</w:t>
      </w:r>
      <w:r>
        <w:rPr>
          <w:rFonts w:hint="eastAsia" w:ascii="仿宋_GB2312" w:hAnsi="Times New Roman" w:eastAsia="仿宋_GB2312" w:cs="仿宋_GB2312"/>
          <w:color w:val="000000"/>
          <w:kern w:val="2"/>
          <w:sz w:val="32"/>
          <w:szCs w:val="32"/>
          <w:lang w:val="en-US" w:eastAsia="zh-CN" w:bidi="ar"/>
        </w:rPr>
        <w:t>妥善处置食品安全问题投诉。建立学校食品安全“你呼我应”工作机制，建立工作台账、公示投诉举报反映渠道；</w:t>
      </w:r>
      <w:r>
        <w:rPr>
          <w:rFonts w:hint="eastAsia" w:ascii="仿宋_GB2312" w:hAnsi="Times New Roman" w:eastAsia="仿宋_GB2312" w:cs="仿宋_GB2312"/>
          <w:b/>
          <w:bCs/>
          <w:color w:val="000000"/>
          <w:kern w:val="2"/>
          <w:sz w:val="32"/>
          <w:szCs w:val="32"/>
          <w:lang w:val="en-US" w:eastAsia="zh-CN" w:bidi="ar"/>
        </w:rPr>
        <w:t>七是</w:t>
      </w:r>
      <w:r>
        <w:rPr>
          <w:rFonts w:hint="eastAsia" w:ascii="仿宋_GB2312" w:hAnsi="Times New Roman" w:eastAsia="仿宋_GB2312" w:cs="仿宋_GB2312"/>
          <w:color w:val="000000"/>
          <w:kern w:val="2"/>
          <w:sz w:val="32"/>
          <w:szCs w:val="32"/>
          <w:lang w:val="en-US" w:eastAsia="zh-CN" w:bidi="ar"/>
        </w:rPr>
        <w:t>餐饮服务监督检查要点表中应检查的其他事项。</w:t>
      </w:r>
    </w:p>
    <w:p w14:paraId="45CC6E04">
      <w:pPr>
        <w:pStyle w:val="4"/>
        <w:keepNext w:val="0"/>
        <w:keepLines w:val="0"/>
        <w:widowControl/>
        <w:suppressLineNumbers w:val="0"/>
        <w:spacing w:line="600" w:lineRule="exact"/>
        <w:ind w:left="0" w:firstLine="632" w:firstLineChars="200"/>
        <w:rPr>
          <w:rFonts w:hint="eastAsia" w:ascii="黑体" w:hAnsi="宋体" w:eastAsia="黑体" w:cs="黑体"/>
          <w:sz w:val="32"/>
          <w:szCs w:val="32"/>
          <w:lang w:val="en-US"/>
        </w:rPr>
      </w:pPr>
      <w:r>
        <w:rPr>
          <w:rFonts w:hint="eastAsia" w:ascii="黑体" w:hAnsi="宋体" w:eastAsia="黑体" w:cs="黑体"/>
          <w:sz w:val="32"/>
          <w:szCs w:val="32"/>
          <w:lang w:eastAsia="zh-CN"/>
        </w:rPr>
        <w:t>四、工作要求</w:t>
      </w:r>
    </w:p>
    <w:p w14:paraId="114C84BD">
      <w:pPr>
        <w:pStyle w:val="4"/>
        <w:keepNext w:val="0"/>
        <w:keepLines w:val="0"/>
        <w:widowControl/>
        <w:suppressLineNumbers w:val="0"/>
        <w:spacing w:line="600" w:lineRule="exact"/>
        <w:ind w:left="0" w:firstLine="632" w:firstLineChars="200"/>
        <w:rPr>
          <w:rFonts w:hint="eastAsia" w:ascii="仿宋_GB2312" w:eastAsia="仿宋_GB2312" w:cs="仿宋_GB2312"/>
          <w:sz w:val="32"/>
          <w:szCs w:val="32"/>
          <w:lang w:val="en-US"/>
        </w:rPr>
      </w:pPr>
      <w:r>
        <w:rPr>
          <w:rFonts w:hint="eastAsia" w:ascii="楷体" w:hAnsi="楷体" w:eastAsia="楷体" w:cs="楷体_GB2312"/>
          <w:color w:val="000000"/>
          <w:sz w:val="32"/>
          <w:szCs w:val="32"/>
          <w:lang w:eastAsia="zh-CN"/>
        </w:rPr>
        <w:t>（一）加强领导，高度重视。</w:t>
      </w:r>
      <w:r>
        <w:rPr>
          <w:rFonts w:hint="eastAsia" w:ascii="仿宋_GB2312" w:eastAsia="仿宋_GB2312" w:cs="仿宋_GB2312"/>
          <w:color w:val="000000"/>
          <w:sz w:val="32"/>
          <w:szCs w:val="32"/>
          <w:lang w:eastAsia="zh-CN"/>
        </w:rPr>
        <w:t>要从讲政治的高度，将此次秋季开学食品安全交叉互查行动与中小学校园食品安全突出问题专项整治、</w:t>
      </w:r>
      <w:r>
        <w:rPr>
          <w:rFonts w:hint="eastAsia" w:ascii="仿宋_GB2312" w:eastAsia="仿宋_GB2312" w:cs="仿宋_GB2312"/>
          <w:color w:val="000000"/>
          <w:sz w:val="32"/>
          <w:szCs w:val="32"/>
          <w:lang w:val="en-US"/>
        </w:rPr>
        <w:t>2024</w:t>
      </w:r>
      <w:r>
        <w:rPr>
          <w:rFonts w:hint="eastAsia" w:ascii="仿宋_GB2312" w:eastAsia="仿宋_GB2312" w:cs="仿宋_GB2312"/>
          <w:color w:val="000000"/>
          <w:sz w:val="32"/>
          <w:szCs w:val="32"/>
          <w:lang w:eastAsia="zh-CN"/>
        </w:rPr>
        <w:t>年秋季开学学校食品安全风险隐患排查工作有机结合，确保消除秋季开学校园食品安全风险隐患。</w:t>
      </w:r>
    </w:p>
    <w:p w14:paraId="4A89B114">
      <w:pPr>
        <w:pStyle w:val="4"/>
        <w:keepNext w:val="0"/>
        <w:keepLines w:val="0"/>
        <w:widowControl/>
        <w:suppressLineNumbers w:val="0"/>
        <w:spacing w:line="600" w:lineRule="exact"/>
        <w:ind w:left="0" w:firstLine="632" w:firstLineChars="200"/>
        <w:rPr>
          <w:rFonts w:hint="eastAsia" w:ascii="仿宋_GB2312" w:eastAsia="仿宋_GB2312" w:cs="楷体_GB2312"/>
          <w:color w:val="000000"/>
          <w:sz w:val="32"/>
          <w:szCs w:val="32"/>
          <w:lang w:val="en-US"/>
        </w:rPr>
      </w:pPr>
      <w:r>
        <w:rPr>
          <w:rFonts w:hint="eastAsia" w:ascii="楷体" w:hAnsi="楷体" w:eastAsia="楷体" w:cs="楷体_GB2312"/>
          <w:color w:val="000000"/>
          <w:sz w:val="32"/>
          <w:szCs w:val="32"/>
          <w:lang w:eastAsia="zh-CN"/>
        </w:rPr>
        <w:t>（二）详实记录，及时报送。</w:t>
      </w:r>
      <w:r>
        <w:rPr>
          <w:rFonts w:hint="eastAsia" w:ascii="仿宋_GB2312" w:eastAsia="仿宋_GB2312" w:cs="仿宋_GB2312"/>
          <w:color w:val="000000"/>
          <w:sz w:val="32"/>
          <w:szCs w:val="32"/>
          <w:lang w:eastAsia="zh-CN"/>
        </w:rPr>
        <w:t>互查组要根据督查内容进行详细检查并填写交食品经营监督检查结果记录表（附件</w:t>
      </w:r>
      <w:r>
        <w:rPr>
          <w:rFonts w:hint="eastAsia" w:ascii="仿宋_GB2312" w:eastAsia="仿宋_GB2312" w:cs="仿宋_GB2312"/>
          <w:color w:val="000000"/>
          <w:sz w:val="32"/>
          <w:szCs w:val="32"/>
          <w:lang w:val="en-US"/>
        </w:rPr>
        <w:t>2</w:t>
      </w:r>
      <w:r>
        <w:rPr>
          <w:rFonts w:hint="eastAsia" w:ascii="仿宋_GB2312" w:eastAsia="仿宋_GB2312" w:cs="仿宋_GB2312"/>
          <w:color w:val="000000"/>
          <w:sz w:val="32"/>
          <w:szCs w:val="32"/>
          <w:lang w:eastAsia="zh-CN"/>
        </w:rPr>
        <w:t>）。在检查结束后</w:t>
      </w:r>
      <w:r>
        <w:rPr>
          <w:rFonts w:hint="eastAsia" w:ascii="仿宋_GB2312" w:eastAsia="仿宋_GB2312" w:cs="仿宋_GB2312"/>
          <w:color w:val="000000"/>
          <w:sz w:val="32"/>
          <w:szCs w:val="32"/>
          <w:lang w:val="en-US"/>
        </w:rPr>
        <w:t>2</w:t>
      </w:r>
      <w:r>
        <w:rPr>
          <w:rFonts w:hint="eastAsia" w:ascii="仿宋_GB2312" w:eastAsia="仿宋_GB2312" w:cs="仿宋_GB2312"/>
          <w:color w:val="000000"/>
          <w:sz w:val="32"/>
          <w:szCs w:val="32"/>
          <w:lang w:eastAsia="zh-CN"/>
        </w:rPr>
        <w:t>日内，将附件</w:t>
      </w:r>
      <w:r>
        <w:rPr>
          <w:rFonts w:hint="eastAsia" w:ascii="仿宋_GB2312" w:eastAsia="仿宋_GB2312" w:cs="仿宋_GB2312"/>
          <w:color w:val="000000"/>
          <w:sz w:val="32"/>
          <w:szCs w:val="32"/>
          <w:lang w:val="en-US"/>
        </w:rPr>
        <w:t>2</w:t>
      </w:r>
      <w:r>
        <w:rPr>
          <w:rFonts w:hint="eastAsia" w:ascii="仿宋_GB2312" w:eastAsia="仿宋_GB2312" w:cs="仿宋_GB2312"/>
          <w:color w:val="000000"/>
          <w:sz w:val="32"/>
          <w:szCs w:val="32"/>
          <w:lang w:eastAsia="zh-CN"/>
        </w:rPr>
        <w:t>交至区局食品监管科。</w:t>
      </w:r>
    </w:p>
    <w:p w14:paraId="2A672BF5">
      <w:pPr>
        <w:pStyle w:val="4"/>
        <w:keepNext w:val="0"/>
        <w:keepLines w:val="0"/>
        <w:widowControl/>
        <w:suppressLineNumbers w:val="0"/>
        <w:spacing w:line="600" w:lineRule="exact"/>
        <w:ind w:left="0" w:firstLine="632" w:firstLineChars="200"/>
        <w:rPr>
          <w:rFonts w:hint="eastAsia" w:ascii="仿宋_GB2312" w:eastAsia="仿宋_GB2312" w:cs="仿宋_GB2312"/>
          <w:color w:val="000000"/>
          <w:sz w:val="32"/>
          <w:szCs w:val="32"/>
          <w:lang w:val="en-US"/>
        </w:rPr>
      </w:pPr>
      <w:r>
        <w:rPr>
          <w:rFonts w:hint="eastAsia" w:ascii="楷体" w:hAnsi="楷体" w:eastAsia="楷体" w:cs="楷体_GB2312"/>
          <w:color w:val="000000"/>
          <w:sz w:val="32"/>
          <w:szCs w:val="32"/>
          <w:lang w:eastAsia="zh-CN"/>
        </w:rPr>
        <w:t>（三）认真总结，落实整改。</w:t>
      </w:r>
      <w:r>
        <w:rPr>
          <w:rFonts w:hint="eastAsia" w:ascii="仿宋_GB2312" w:eastAsia="仿宋_GB2312" w:cs="仿宋_GB2312"/>
          <w:color w:val="000000"/>
          <w:sz w:val="32"/>
          <w:szCs w:val="32"/>
          <w:lang w:eastAsia="zh-CN"/>
        </w:rPr>
        <w:t>被检查的所要在检查结束后</w:t>
      </w:r>
      <w:r>
        <w:rPr>
          <w:rFonts w:hint="eastAsia" w:ascii="仿宋_GB2312" w:eastAsia="仿宋_GB2312" w:cs="仿宋_GB2312"/>
          <w:color w:val="000000"/>
          <w:sz w:val="32"/>
          <w:szCs w:val="32"/>
          <w:lang w:val="en-US"/>
        </w:rPr>
        <w:t>7</w:t>
      </w:r>
      <w:r>
        <w:rPr>
          <w:rFonts w:hint="eastAsia" w:ascii="仿宋_GB2312" w:eastAsia="仿宋_GB2312" w:cs="仿宋_GB2312"/>
          <w:color w:val="000000"/>
          <w:sz w:val="32"/>
          <w:szCs w:val="32"/>
          <w:lang w:eastAsia="zh-CN"/>
        </w:rPr>
        <w:t>日内，完成问题整改情况复核并向区局食品监管科报送问题整改落实情况报告（附整改佐证材料）。</w:t>
      </w:r>
    </w:p>
    <w:p w14:paraId="140413FE">
      <w:pPr>
        <w:pStyle w:val="4"/>
        <w:keepNext w:val="0"/>
        <w:keepLines w:val="0"/>
        <w:widowControl/>
        <w:suppressLineNumbers w:val="0"/>
        <w:spacing w:line="600" w:lineRule="exact"/>
        <w:ind w:left="0" w:firstLine="632" w:firstLineChars="200"/>
        <w:rPr>
          <w:rFonts w:hint="eastAsia" w:ascii="仿宋_GB2312" w:eastAsia="仿宋_GB2312" w:cs="仿宋_GB2312"/>
          <w:color w:val="000000"/>
          <w:sz w:val="32"/>
          <w:szCs w:val="32"/>
          <w:lang w:val="en-US"/>
        </w:rPr>
      </w:pPr>
      <w:r>
        <w:rPr>
          <w:rFonts w:hint="eastAsia" w:ascii="仿宋_GB2312" w:eastAsia="仿宋_GB2312" w:cs="仿宋_GB2312"/>
          <w:color w:val="000000"/>
          <w:sz w:val="32"/>
          <w:szCs w:val="32"/>
          <w:lang w:eastAsia="zh-CN"/>
        </w:rPr>
        <w:t>联系人：张润</w:t>
      </w:r>
    </w:p>
    <w:p w14:paraId="177256DC">
      <w:pPr>
        <w:pStyle w:val="4"/>
        <w:keepNext w:val="0"/>
        <w:keepLines w:val="0"/>
        <w:widowControl/>
        <w:suppressLineNumbers w:val="0"/>
        <w:spacing w:line="600" w:lineRule="exact"/>
        <w:ind w:left="0" w:firstLine="632" w:firstLineChars="200"/>
        <w:rPr>
          <w:rFonts w:hint="eastAsia" w:ascii="仿宋_GB2312" w:eastAsia="仿宋_GB2312" w:cs="仿宋_GB2312"/>
          <w:color w:val="000000"/>
          <w:sz w:val="32"/>
          <w:szCs w:val="32"/>
          <w:lang w:val="en-US"/>
        </w:rPr>
      </w:pPr>
      <w:r>
        <w:rPr>
          <w:rFonts w:hint="eastAsia" w:ascii="仿宋_GB2312" w:eastAsia="仿宋_GB2312" w:cs="仿宋_GB2312"/>
          <w:color w:val="000000"/>
          <w:sz w:val="32"/>
          <w:szCs w:val="32"/>
          <w:lang w:eastAsia="zh-CN"/>
        </w:rPr>
        <w:t>联系电话：</w:t>
      </w:r>
      <w:r>
        <w:rPr>
          <w:rFonts w:hint="eastAsia" w:ascii="仿宋_GB2312" w:eastAsia="仿宋_GB2312" w:cs="仿宋_GB2312"/>
          <w:color w:val="000000"/>
          <w:sz w:val="32"/>
          <w:szCs w:val="32"/>
          <w:lang w:val="en-US"/>
        </w:rPr>
        <w:t>0566-2617919</w:t>
      </w:r>
    </w:p>
    <w:p w14:paraId="169774CE">
      <w:pPr>
        <w:pStyle w:val="4"/>
        <w:keepNext w:val="0"/>
        <w:keepLines w:val="0"/>
        <w:widowControl/>
        <w:suppressLineNumbers w:val="0"/>
        <w:spacing w:line="600" w:lineRule="exact"/>
        <w:ind w:left="0" w:firstLine="632" w:firstLineChars="200"/>
        <w:rPr>
          <w:rFonts w:hint="eastAsia" w:ascii="仿宋_GB2312" w:eastAsia="仿宋_GB2312" w:cs="仿宋_GB2312"/>
          <w:color w:val="000000"/>
          <w:sz w:val="32"/>
          <w:szCs w:val="32"/>
          <w:lang w:val="en-US"/>
        </w:rPr>
      </w:pPr>
    </w:p>
    <w:p w14:paraId="0989A88F">
      <w:pPr>
        <w:pStyle w:val="4"/>
        <w:keepNext w:val="0"/>
        <w:keepLines w:val="0"/>
        <w:widowControl/>
        <w:suppressLineNumbers w:val="0"/>
        <w:spacing w:line="600" w:lineRule="exact"/>
        <w:ind w:left="0" w:firstLine="632" w:firstLineChars="200"/>
        <w:rPr>
          <w:rFonts w:hint="eastAsia" w:ascii="仿宋_GB2312" w:eastAsia="仿宋_GB2312" w:cs="仿宋_GB2312"/>
          <w:color w:val="000000"/>
          <w:sz w:val="32"/>
          <w:szCs w:val="32"/>
          <w:lang w:val="en-US"/>
        </w:rPr>
      </w:pPr>
      <w:r>
        <w:rPr>
          <w:rFonts w:hint="eastAsia" w:ascii="仿宋_GB2312" w:eastAsia="仿宋_GB2312" w:cs="仿宋_GB2312"/>
          <w:color w:val="000000"/>
          <w:sz w:val="32"/>
          <w:szCs w:val="32"/>
          <w:lang w:eastAsia="zh-CN"/>
        </w:rPr>
        <w:t>附件：</w:t>
      </w:r>
      <w:r>
        <w:rPr>
          <w:rFonts w:hint="eastAsia" w:ascii="仿宋_GB2312" w:eastAsia="仿宋_GB2312" w:cs="仿宋_GB2312"/>
          <w:color w:val="000000"/>
          <w:sz w:val="32"/>
          <w:szCs w:val="32"/>
          <w:lang w:val="en-US"/>
        </w:rPr>
        <w:t>1.</w:t>
      </w:r>
      <w:r>
        <w:rPr>
          <w:rFonts w:hint="eastAsia" w:ascii="仿宋_GB2312" w:eastAsia="仿宋_GB2312" w:cs="仿宋_GB2312"/>
          <w:color w:val="000000"/>
          <w:sz w:val="32"/>
          <w:szCs w:val="32"/>
          <w:lang w:eastAsia="zh-CN"/>
        </w:rPr>
        <w:t>交叉互查行动安排表；</w:t>
      </w:r>
    </w:p>
    <w:p w14:paraId="0C8EAC71">
      <w:pPr>
        <w:pStyle w:val="4"/>
        <w:keepNext w:val="0"/>
        <w:keepLines w:val="0"/>
        <w:widowControl/>
        <w:numPr>
          <w:ilvl w:val="0"/>
          <w:numId w:val="0"/>
        </w:numPr>
        <w:suppressLineNumbers w:val="0"/>
        <w:spacing w:line="600" w:lineRule="exact"/>
        <w:ind w:right="0" w:rightChars="0" w:firstLine="1580" w:firstLineChars="500"/>
        <w:rPr>
          <w:rFonts w:hint="eastAsia" w:ascii="仿宋_GB2312" w:eastAsia="仿宋_GB2312" w:cs="仿宋_GB2312"/>
          <w:color w:val="000000"/>
          <w:sz w:val="32"/>
          <w:szCs w:val="32"/>
          <w:lang w:eastAsia="zh-CN"/>
        </w:rPr>
      </w:pPr>
      <w:r>
        <w:rPr>
          <w:rFonts w:hint="eastAsia" w:ascii="仿宋_GB2312" w:eastAsia="仿宋_GB2312" w:cs="仿宋_GB2312"/>
          <w:color w:val="000000"/>
          <w:sz w:val="32"/>
          <w:szCs w:val="32"/>
          <w:lang w:val="en-US" w:eastAsia="zh-CN"/>
        </w:rPr>
        <w:t>2.</w:t>
      </w:r>
      <w:r>
        <w:rPr>
          <w:rFonts w:hint="eastAsia" w:ascii="仿宋_GB2312" w:eastAsia="仿宋_GB2312" w:cs="仿宋_GB2312"/>
          <w:color w:val="000000"/>
          <w:sz w:val="32"/>
          <w:szCs w:val="32"/>
          <w:lang w:eastAsia="zh-CN"/>
        </w:rPr>
        <w:t>食品经营监督检查结果记录表。</w:t>
      </w:r>
      <w:bookmarkEnd w:id="1"/>
    </w:p>
    <w:p w14:paraId="65DFC753">
      <w:pPr>
        <w:pStyle w:val="4"/>
        <w:keepNext w:val="0"/>
        <w:keepLines w:val="0"/>
        <w:widowControl/>
        <w:numPr>
          <w:ilvl w:val="0"/>
          <w:numId w:val="0"/>
        </w:numPr>
        <w:suppressLineNumbers w:val="0"/>
        <w:spacing w:line="600" w:lineRule="exact"/>
        <w:ind w:right="0" w:rightChars="0"/>
        <w:rPr>
          <w:rFonts w:hint="eastAsia" w:ascii="仿宋" w:hAnsi="仿宋" w:eastAsia="仿宋" w:cs="宋体"/>
          <w:bCs/>
          <w:kern w:val="0"/>
          <w:position w:val="2"/>
          <w:szCs w:val="32"/>
          <w:lang w:val="en-US"/>
        </w:rPr>
      </w:pPr>
      <w:r>
        <w:rPr>
          <w:rFonts w:hint="default" w:ascii="Times New Roman" w:hAnsi="Times New Roman" w:eastAsia="仿宋_GB2312" w:cs="Times New Roman"/>
          <w:kern w:val="2"/>
          <w:sz w:val="32"/>
          <w:szCs w:val="24"/>
          <w:lang w:val="en-US" w:eastAsia="zh-CN" w:bidi="ar"/>
        </w:rPr>
        <mc:AlternateContent>
          <mc:Choice Requires="wpg">
            <w:drawing>
              <wp:anchor distT="0" distB="0" distL="114300" distR="114300" simplePos="0" relativeHeight="251659264" behindDoc="0" locked="0" layoutInCell="1" allowOverlap="1">
                <wp:simplePos x="0" y="0"/>
                <wp:positionH relativeFrom="column">
                  <wp:posOffset>-216535</wp:posOffset>
                </wp:positionH>
                <wp:positionV relativeFrom="paragraph">
                  <wp:posOffset>970915</wp:posOffset>
                </wp:positionV>
                <wp:extent cx="6037580" cy="1133475"/>
                <wp:effectExtent l="4445" t="4445" r="15875" b="5080"/>
                <wp:wrapNone/>
                <wp:docPr id="7" name="组合 17"/>
                <wp:cNvGraphicFramePr/>
                <a:graphic xmlns:a="http://schemas.openxmlformats.org/drawingml/2006/main">
                  <a:graphicData uri="http://schemas.microsoft.com/office/word/2010/wordprocessingGroup">
                    <wpg:wgp>
                      <wpg:cNvGrpSpPr/>
                      <wpg:grpSpPr>
                        <a:xfrm>
                          <a:off x="0" y="0"/>
                          <a:ext cx="6037580" cy="1133475"/>
                          <a:chOff x="1337" y="9218"/>
                          <a:chExt cx="9346" cy="1785"/>
                        </a:xfrm>
                      </wpg:grpSpPr>
                      <wps:wsp>
                        <wps:cNvPr id="3" name="文本框 18"/>
                        <wps:cNvSpPr txBox="1"/>
                        <wps:spPr>
                          <a:xfrm>
                            <a:off x="1337" y="9218"/>
                            <a:ext cx="9346" cy="178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01D3668D">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8"/>
                                  <w:szCs w:val="28"/>
                                  <w:lang w:val="en-US"/>
                                </w:rPr>
                              </w:pPr>
                              <w:r>
                                <w:rPr>
                                  <w:rFonts w:hint="eastAsia" w:ascii="仿宋_GB2312" w:hAnsi="Times New Roman" w:eastAsia="仿宋_GB2312" w:cs="仿宋_GB2312"/>
                                  <w:kern w:val="2"/>
                                  <w:sz w:val="28"/>
                                  <w:szCs w:val="28"/>
                                  <w:lang w:val="en-US" w:eastAsia="zh-CN" w:bidi="ar"/>
                                </w:rPr>
                                <w:t>抄送：区委办、区人大办、区政府办、区政协办，何金华副区长。</w:t>
                              </w:r>
                            </w:p>
                            <w:p w14:paraId="00418F0B">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8"/>
                                  <w:szCs w:val="28"/>
                                  <w:lang w:val="en-US"/>
                                </w:rPr>
                              </w:pPr>
                              <w:r>
                                <w:rPr>
                                  <w:rFonts w:hint="eastAsia" w:ascii="仿宋_GB2312" w:hAnsi="仿宋" w:eastAsia="仿宋_GB2312" w:cs="宋体"/>
                                  <w:bCs/>
                                  <w:kern w:val="0"/>
                                  <w:position w:val="2"/>
                                  <w:sz w:val="28"/>
                                  <w:szCs w:val="28"/>
                                  <w:lang w:val="en-US" w:eastAsia="zh-CN" w:bidi="ar"/>
                                </w:rPr>
                                <w:t>池州市贵池区市场监督管理局　　　               2024年9月14日印发</w:t>
                              </w:r>
                            </w:p>
                          </w:txbxContent>
                        </wps:txbx>
                        <wps:bodyPr upright="1"/>
                      </wps:wsp>
                      <wps:wsp>
                        <wps:cNvPr id="4" name="自选图形 19"/>
                        <wps:cNvCnPr/>
                        <wps:spPr>
                          <a:xfrm>
                            <a:off x="1337" y="9315"/>
                            <a:ext cx="9346" cy="0"/>
                          </a:xfrm>
                          <a:prstGeom prst="straightConnector1">
                            <a:avLst/>
                          </a:prstGeom>
                          <a:ln w="19050" cap="flat" cmpd="sng">
                            <a:solidFill>
                              <a:srgbClr val="000000"/>
                            </a:solidFill>
                            <a:prstDash val="solid"/>
                            <a:headEnd type="none" w="med" len="med"/>
                            <a:tailEnd type="none" w="med" len="med"/>
                          </a:ln>
                        </wps:spPr>
                        <wps:bodyPr/>
                      </wps:wsp>
                      <wps:wsp>
                        <wps:cNvPr id="5" name="自选图形 20"/>
                        <wps:cNvCnPr/>
                        <wps:spPr>
                          <a:xfrm>
                            <a:off x="1337" y="10440"/>
                            <a:ext cx="9346" cy="0"/>
                          </a:xfrm>
                          <a:prstGeom prst="straightConnector1">
                            <a:avLst/>
                          </a:prstGeom>
                          <a:ln w="19050" cap="flat" cmpd="sng">
                            <a:solidFill>
                              <a:srgbClr val="000000"/>
                            </a:solidFill>
                            <a:prstDash val="solid"/>
                            <a:headEnd type="none" w="med" len="med"/>
                            <a:tailEnd type="none" w="med" len="med"/>
                          </a:ln>
                        </wps:spPr>
                        <wps:bodyPr/>
                      </wps:wsp>
                      <wps:wsp>
                        <wps:cNvPr id="6" name="自选图形 21"/>
                        <wps:cNvCnPr/>
                        <wps:spPr>
                          <a:xfrm>
                            <a:off x="1337" y="9870"/>
                            <a:ext cx="9346" cy="0"/>
                          </a:xfrm>
                          <a:prstGeom prst="straightConnector1">
                            <a:avLst/>
                          </a:prstGeom>
                          <a:ln w="9000" cap="flat" cmpd="sng">
                            <a:solidFill>
                              <a:srgbClr val="000000"/>
                            </a:solidFill>
                            <a:prstDash val="solid"/>
                            <a:headEnd type="none" w="med" len="med"/>
                            <a:tailEnd type="none" w="med" len="med"/>
                          </a:ln>
                        </wps:spPr>
                        <wps:bodyPr/>
                      </wps:wsp>
                    </wpg:wgp>
                  </a:graphicData>
                </a:graphic>
              </wp:anchor>
            </w:drawing>
          </mc:Choice>
          <mc:Fallback>
            <w:pict>
              <v:group id="组合 17" o:spid="_x0000_s1026" o:spt="203" style="position:absolute;left:0pt;margin-left:-17.05pt;margin-top:76.45pt;height:89.25pt;width:475.4pt;z-index:251659264;mso-width-relative:page;mso-height-relative:page;" coordorigin="1337,9218" coordsize="9346,1785" o:gfxdata="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">
                <o:lock v:ext="edit" aspectratio="f"/>
                <v:shape id="文本框 18" o:spid="_x0000_s1026" o:spt="202" type="#_x0000_t202" style="position:absolute;left:1337;top:9218;height:1785;width:9346;" fillcolor="#FFFFFF" filled="t" stroked="t" coordsize="21600,21600" o:gfxdata="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rqKkm8AAAA&#10;2gAAAA8AAAAAAAAAAQAgAAAAIgAAAGRycy9kb3ducmV2LnhtbFBLAQIUABQAAAAIAIdO4kAzLwWe&#10;OwAAADkAAAAQAAAAAAAAAAEAIAAAAAsBAABkcnMvc2hhcGV4bWwueG1sUEsFBgAAAAAGAAYAWwEA&#10;ALUDAAAAAA==&#10;">
                  <v:fill on="t" focussize="0,0"/>
                  <v:stroke color="#FFFFFF" joinstyle="miter"/>
                  <v:imagedata o:title=""/>
                  <o:lock v:ext="edit" aspectratio="f"/>
                  <v:textbox>
                    <w:txbxContent>
                      <w:p w14:paraId="01D3668D">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8"/>
                            <w:szCs w:val="28"/>
                            <w:lang w:val="en-US"/>
                          </w:rPr>
                        </w:pPr>
                        <w:r>
                          <w:rPr>
                            <w:rFonts w:hint="eastAsia" w:ascii="仿宋_GB2312" w:hAnsi="Times New Roman" w:eastAsia="仿宋_GB2312" w:cs="仿宋_GB2312"/>
                            <w:kern w:val="2"/>
                            <w:sz w:val="28"/>
                            <w:szCs w:val="28"/>
                            <w:lang w:val="en-US" w:eastAsia="zh-CN" w:bidi="ar"/>
                          </w:rPr>
                          <w:t>抄送：区委办、区人大办、区政府办、区政协办，何金华副区长。</w:t>
                        </w:r>
                      </w:p>
                      <w:p w14:paraId="00418F0B">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8"/>
                            <w:szCs w:val="28"/>
                            <w:lang w:val="en-US"/>
                          </w:rPr>
                        </w:pPr>
                        <w:r>
                          <w:rPr>
                            <w:rFonts w:hint="eastAsia" w:ascii="仿宋_GB2312" w:hAnsi="仿宋" w:eastAsia="仿宋_GB2312" w:cs="宋体"/>
                            <w:bCs/>
                            <w:kern w:val="0"/>
                            <w:position w:val="2"/>
                            <w:sz w:val="28"/>
                            <w:szCs w:val="28"/>
                            <w:lang w:val="en-US" w:eastAsia="zh-CN" w:bidi="ar"/>
                          </w:rPr>
                          <w:t>池州市贵池区市场监督管理局　　　               2024年9月14日印发</w:t>
                        </w:r>
                      </w:p>
                    </w:txbxContent>
                  </v:textbox>
                </v:shape>
                <v:shape id="自选图形 19" o:spid="_x0000_s1026" o:spt="32" type="#_x0000_t32" style="position:absolute;left:1337;top:9315;height:0;width:9346;" filled="f" stroked="t" coordsize="21600,21600" o:gfxdata="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E9NfbsAAADa&#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shape>
                <v:shape id="自选图形 20" o:spid="_x0000_s1026" o:spt="32" type="#_x0000_t32" style="position:absolute;left:1337;top:10440;height:0;width:9346;" filled="f" stroked="t" coordsize="21600,21600" o:gfxdata="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wPo5rsAAADa&#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shape>
                <v:shape id="自选图形 21" o:spid="_x0000_s1026" o:spt="32" type="#_x0000_t32" style="position:absolute;left:1337;top:9870;height:0;width:9346;" filled="f" stroked="t" coordsize="21600,21600" o:gfxdata="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D12Q74A&#10;AADaAAAADwAAAAAAAAABACAAAAAiAAAAZHJzL2Rvd25yZXYueG1sUEsBAhQAFAAAAAgAh07iQDMv&#10;BZ47AAAAOQAAABAAAAAAAAAAAQAgAAAADQEAAGRycy9zaGFwZXhtbC54bWxQSwUGAAAAAAYABgBb&#10;AQAAtwMAAAAA&#10;">
                  <v:fill on="f" focussize="0,0"/>
                  <v:stroke weight="0.708661417322835pt" color="#000000" joinstyle="round"/>
                  <v:imagedata o:title=""/>
                  <o:lock v:ext="edit" aspectratio="f"/>
                </v:shape>
              </v:group>
            </w:pict>
          </mc:Fallback>
        </mc:AlternateContent>
      </w:r>
      <w:bookmarkStart w:id="3" w:name="End"/>
      <w:bookmarkEnd w:id="3"/>
    </w:p>
    <w:p w14:paraId="0374E823"/>
    <w:p w14:paraId="16B52037"/>
    <w:p w14:paraId="78934D48">
      <w:pPr>
        <w:pStyle w:val="4"/>
        <w:widowControl/>
        <w:spacing w:line="600" w:lineRule="exact"/>
        <w:jc w:val="both"/>
        <w:rPr>
          <w:rFonts w:hint="eastAsia" w:ascii="方正小标宋简体" w:hAnsi="方正小标宋简体" w:eastAsia="方正小标宋简体" w:cs="方正小标宋简体"/>
          <w:sz w:val="32"/>
          <w:szCs w:val="32"/>
        </w:rPr>
      </w:pPr>
      <w:r>
        <w:rPr>
          <w:rFonts w:ascii="黑体" w:hAnsi="黑体" w:eastAsia="黑体" w:cs="黑体"/>
          <w:color w:val="000000"/>
          <w:sz w:val="32"/>
          <w:szCs w:val="32"/>
        </w:rPr>
        <w:t>附件1</w:t>
      </w:r>
    </w:p>
    <w:p w14:paraId="3B3CC656">
      <w:pPr>
        <w:spacing w:line="60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交叉互查行动安排表</w:t>
      </w:r>
    </w:p>
    <w:p w14:paraId="6EB74CAC">
      <w:pPr>
        <w:spacing w:line="600" w:lineRule="exact"/>
        <w:jc w:val="center"/>
        <w:rPr>
          <w:rFonts w:hint="eastAsia" w:ascii="方正小标宋简体" w:hAnsi="方正小标宋简体" w:eastAsia="方正小标宋简体" w:cs="方正小标宋简体"/>
          <w:sz w:val="44"/>
          <w:szCs w:val="44"/>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373"/>
        <w:gridCol w:w="2409"/>
        <w:gridCol w:w="1276"/>
      </w:tblGrid>
      <w:tr w14:paraId="721B6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14:paraId="07EC8E0A">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r>
              <w:rPr>
                <w:rFonts w:hint="eastAsia" w:ascii="仿宋_GB2312" w:hAnsi="仿宋_GB2312" w:eastAsia="仿宋_GB2312" w:cs="仿宋_GB2312"/>
                <w:kern w:val="0"/>
                <w:sz w:val="32"/>
                <w:szCs w:val="32"/>
              </w:rPr>
              <w:t>组别</w:t>
            </w:r>
          </w:p>
        </w:tc>
        <w:tc>
          <w:tcPr>
            <w:tcW w:w="2373" w:type="dxa"/>
          </w:tcPr>
          <w:p w14:paraId="34F8233B">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互查组</w:t>
            </w:r>
          </w:p>
        </w:tc>
        <w:tc>
          <w:tcPr>
            <w:tcW w:w="2409" w:type="dxa"/>
          </w:tcPr>
          <w:p w14:paraId="5DF9AB96">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被检查所</w:t>
            </w:r>
          </w:p>
        </w:tc>
        <w:tc>
          <w:tcPr>
            <w:tcW w:w="1276" w:type="dxa"/>
          </w:tcPr>
          <w:p w14:paraId="098CDB12">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备注</w:t>
            </w:r>
          </w:p>
        </w:tc>
      </w:tr>
      <w:tr w14:paraId="2395B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01D1FC7B">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第一组</w:t>
            </w:r>
          </w:p>
        </w:tc>
        <w:tc>
          <w:tcPr>
            <w:tcW w:w="2373" w:type="dxa"/>
          </w:tcPr>
          <w:p w14:paraId="394A5C17">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池口所</w:t>
            </w:r>
          </w:p>
        </w:tc>
        <w:tc>
          <w:tcPr>
            <w:tcW w:w="2409" w:type="dxa"/>
          </w:tcPr>
          <w:p w14:paraId="615863A8">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城关</w:t>
            </w:r>
          </w:p>
        </w:tc>
        <w:tc>
          <w:tcPr>
            <w:tcW w:w="1276" w:type="dxa"/>
          </w:tcPr>
          <w:p w14:paraId="226BF51E">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170A7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1CDD7A34">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第二组</w:t>
            </w:r>
          </w:p>
        </w:tc>
        <w:tc>
          <w:tcPr>
            <w:tcW w:w="2373" w:type="dxa"/>
          </w:tcPr>
          <w:p w14:paraId="770F5EAA">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秋浦所</w:t>
            </w:r>
          </w:p>
        </w:tc>
        <w:tc>
          <w:tcPr>
            <w:tcW w:w="2409" w:type="dxa"/>
          </w:tcPr>
          <w:p w14:paraId="3934EDF5">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杏花村</w:t>
            </w:r>
          </w:p>
        </w:tc>
        <w:tc>
          <w:tcPr>
            <w:tcW w:w="1276" w:type="dxa"/>
          </w:tcPr>
          <w:p w14:paraId="21205B13">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0CD1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5CB4A893">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第三组</w:t>
            </w:r>
          </w:p>
        </w:tc>
        <w:tc>
          <w:tcPr>
            <w:tcW w:w="2373" w:type="dxa"/>
          </w:tcPr>
          <w:p w14:paraId="55B91518">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杏花村所</w:t>
            </w:r>
          </w:p>
        </w:tc>
        <w:tc>
          <w:tcPr>
            <w:tcW w:w="2409" w:type="dxa"/>
          </w:tcPr>
          <w:p w14:paraId="1F49E61D">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秋江</w:t>
            </w:r>
          </w:p>
        </w:tc>
        <w:tc>
          <w:tcPr>
            <w:tcW w:w="1276" w:type="dxa"/>
          </w:tcPr>
          <w:p w14:paraId="4D90B850">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3E26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108F31B5">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第四组</w:t>
            </w:r>
          </w:p>
        </w:tc>
        <w:tc>
          <w:tcPr>
            <w:tcW w:w="2373" w:type="dxa"/>
          </w:tcPr>
          <w:p w14:paraId="12557F92">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城关所</w:t>
            </w:r>
          </w:p>
        </w:tc>
        <w:tc>
          <w:tcPr>
            <w:tcW w:w="2409" w:type="dxa"/>
          </w:tcPr>
          <w:p w14:paraId="1594F176">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涓桥</w:t>
            </w:r>
          </w:p>
        </w:tc>
        <w:tc>
          <w:tcPr>
            <w:tcW w:w="1276" w:type="dxa"/>
          </w:tcPr>
          <w:p w14:paraId="528ECC39">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04074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3B0724FB">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第五组</w:t>
            </w:r>
          </w:p>
        </w:tc>
        <w:tc>
          <w:tcPr>
            <w:tcW w:w="2373" w:type="dxa"/>
          </w:tcPr>
          <w:p w14:paraId="2F31BDDC">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里山所</w:t>
            </w:r>
          </w:p>
        </w:tc>
        <w:tc>
          <w:tcPr>
            <w:tcW w:w="2409" w:type="dxa"/>
          </w:tcPr>
          <w:p w14:paraId="0C035BDC">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马衙</w:t>
            </w:r>
          </w:p>
        </w:tc>
        <w:tc>
          <w:tcPr>
            <w:tcW w:w="1276" w:type="dxa"/>
          </w:tcPr>
          <w:p w14:paraId="173B43E7">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31667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60CA5E02">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第六组</w:t>
            </w:r>
          </w:p>
        </w:tc>
        <w:tc>
          <w:tcPr>
            <w:tcW w:w="2373" w:type="dxa"/>
          </w:tcPr>
          <w:p w14:paraId="7C56D989">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秋江所</w:t>
            </w:r>
          </w:p>
        </w:tc>
        <w:tc>
          <w:tcPr>
            <w:tcW w:w="2409" w:type="dxa"/>
          </w:tcPr>
          <w:p w14:paraId="6EEA651A">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池口</w:t>
            </w:r>
          </w:p>
        </w:tc>
        <w:tc>
          <w:tcPr>
            <w:tcW w:w="1276" w:type="dxa"/>
          </w:tcPr>
          <w:p w14:paraId="6F79D299">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05142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0E91A011">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第七组</w:t>
            </w:r>
          </w:p>
        </w:tc>
        <w:tc>
          <w:tcPr>
            <w:tcW w:w="2373" w:type="dxa"/>
          </w:tcPr>
          <w:p w14:paraId="2EC86AF5">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牛头山所</w:t>
            </w:r>
          </w:p>
        </w:tc>
        <w:tc>
          <w:tcPr>
            <w:tcW w:w="2409" w:type="dxa"/>
          </w:tcPr>
          <w:p w14:paraId="05B0C6A4">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殷汇</w:t>
            </w:r>
          </w:p>
        </w:tc>
        <w:tc>
          <w:tcPr>
            <w:tcW w:w="1276" w:type="dxa"/>
          </w:tcPr>
          <w:p w14:paraId="3F569E22">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66F5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3E4D4D79">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第八组</w:t>
            </w:r>
          </w:p>
        </w:tc>
        <w:tc>
          <w:tcPr>
            <w:tcW w:w="2373" w:type="dxa"/>
          </w:tcPr>
          <w:p w14:paraId="7A7865E2">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乌沙所</w:t>
            </w:r>
          </w:p>
        </w:tc>
        <w:tc>
          <w:tcPr>
            <w:tcW w:w="2409" w:type="dxa"/>
          </w:tcPr>
          <w:p w14:paraId="27C2E8DF">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牛头山</w:t>
            </w:r>
          </w:p>
        </w:tc>
        <w:tc>
          <w:tcPr>
            <w:tcW w:w="1276" w:type="dxa"/>
          </w:tcPr>
          <w:p w14:paraId="5C07E641">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3AAE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14:paraId="0CBF52FB">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0"/>
                <w:sz w:val="20"/>
              </w:rPr>
            </w:pPr>
            <w:r>
              <w:rPr>
                <w:rFonts w:hint="eastAsia" w:ascii="仿宋_GB2312" w:hAnsi="仿宋_GB2312" w:eastAsia="仿宋_GB2312" w:cs="仿宋_GB2312"/>
                <w:kern w:val="0"/>
                <w:sz w:val="32"/>
                <w:szCs w:val="32"/>
              </w:rPr>
              <w:t>第九组</w:t>
            </w:r>
          </w:p>
        </w:tc>
        <w:tc>
          <w:tcPr>
            <w:tcW w:w="2373" w:type="dxa"/>
          </w:tcPr>
          <w:p w14:paraId="65D227E1">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殷汇所</w:t>
            </w:r>
          </w:p>
        </w:tc>
        <w:tc>
          <w:tcPr>
            <w:tcW w:w="2409" w:type="dxa"/>
          </w:tcPr>
          <w:p w14:paraId="0EB1715E">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梅村</w:t>
            </w:r>
          </w:p>
        </w:tc>
        <w:tc>
          <w:tcPr>
            <w:tcW w:w="1276" w:type="dxa"/>
          </w:tcPr>
          <w:p w14:paraId="0C95DFB4">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0576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14:paraId="6749DAC8">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0"/>
                <w:sz w:val="20"/>
              </w:rPr>
            </w:pPr>
            <w:r>
              <w:rPr>
                <w:rFonts w:hint="eastAsia" w:ascii="仿宋_GB2312" w:hAnsi="仿宋_GB2312" w:eastAsia="仿宋_GB2312" w:cs="仿宋_GB2312"/>
                <w:kern w:val="0"/>
                <w:sz w:val="32"/>
                <w:szCs w:val="32"/>
              </w:rPr>
              <w:t>第十组</w:t>
            </w:r>
          </w:p>
        </w:tc>
        <w:tc>
          <w:tcPr>
            <w:tcW w:w="2373" w:type="dxa"/>
          </w:tcPr>
          <w:p w14:paraId="27307C7E">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梅村所</w:t>
            </w:r>
          </w:p>
        </w:tc>
        <w:tc>
          <w:tcPr>
            <w:tcW w:w="2409" w:type="dxa"/>
          </w:tcPr>
          <w:p w14:paraId="1A78A0AA">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梅街</w:t>
            </w:r>
          </w:p>
        </w:tc>
        <w:tc>
          <w:tcPr>
            <w:tcW w:w="1276" w:type="dxa"/>
          </w:tcPr>
          <w:p w14:paraId="5AAE0F7D">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77625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14:paraId="351548AE">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0"/>
                <w:sz w:val="20"/>
              </w:rPr>
            </w:pPr>
            <w:r>
              <w:rPr>
                <w:rFonts w:hint="eastAsia" w:ascii="仿宋_GB2312" w:hAnsi="仿宋_GB2312" w:eastAsia="仿宋_GB2312" w:cs="仿宋_GB2312"/>
                <w:kern w:val="0"/>
                <w:sz w:val="32"/>
                <w:szCs w:val="32"/>
              </w:rPr>
              <w:t>第十一组</w:t>
            </w:r>
          </w:p>
        </w:tc>
        <w:tc>
          <w:tcPr>
            <w:tcW w:w="2373" w:type="dxa"/>
          </w:tcPr>
          <w:p w14:paraId="67BA29A6">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梅街所</w:t>
            </w:r>
          </w:p>
        </w:tc>
        <w:tc>
          <w:tcPr>
            <w:tcW w:w="2409" w:type="dxa"/>
          </w:tcPr>
          <w:p w14:paraId="399709B3">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里山</w:t>
            </w:r>
          </w:p>
        </w:tc>
        <w:tc>
          <w:tcPr>
            <w:tcW w:w="1276" w:type="dxa"/>
          </w:tcPr>
          <w:p w14:paraId="29401FD4">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1E0F5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14:paraId="78C0C0B2">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0"/>
                <w:sz w:val="20"/>
              </w:rPr>
            </w:pPr>
            <w:r>
              <w:rPr>
                <w:rFonts w:hint="eastAsia" w:ascii="仿宋_GB2312" w:hAnsi="仿宋_GB2312" w:eastAsia="仿宋_GB2312" w:cs="仿宋_GB2312"/>
                <w:kern w:val="0"/>
                <w:sz w:val="32"/>
                <w:szCs w:val="32"/>
              </w:rPr>
              <w:t>第十二组</w:t>
            </w:r>
          </w:p>
        </w:tc>
        <w:tc>
          <w:tcPr>
            <w:tcW w:w="2373" w:type="dxa"/>
          </w:tcPr>
          <w:p w14:paraId="3C24E1AF">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涓桥所</w:t>
            </w:r>
          </w:p>
        </w:tc>
        <w:tc>
          <w:tcPr>
            <w:tcW w:w="2409" w:type="dxa"/>
          </w:tcPr>
          <w:p w14:paraId="4E3684A1">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乌沙</w:t>
            </w:r>
          </w:p>
        </w:tc>
        <w:tc>
          <w:tcPr>
            <w:tcW w:w="1276" w:type="dxa"/>
          </w:tcPr>
          <w:p w14:paraId="514F5E88">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2DBF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14:paraId="7FCA99E2">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0"/>
                <w:sz w:val="20"/>
              </w:rPr>
            </w:pPr>
            <w:r>
              <w:rPr>
                <w:rFonts w:hint="eastAsia" w:ascii="仿宋_GB2312" w:hAnsi="仿宋_GB2312" w:eastAsia="仿宋_GB2312" w:cs="仿宋_GB2312"/>
                <w:kern w:val="0"/>
                <w:sz w:val="32"/>
                <w:szCs w:val="32"/>
              </w:rPr>
              <w:t>第十三组</w:t>
            </w:r>
          </w:p>
        </w:tc>
        <w:tc>
          <w:tcPr>
            <w:tcW w:w="2373" w:type="dxa"/>
          </w:tcPr>
          <w:p w14:paraId="107281F8">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马衙所</w:t>
            </w:r>
          </w:p>
        </w:tc>
        <w:tc>
          <w:tcPr>
            <w:tcW w:w="2409" w:type="dxa"/>
          </w:tcPr>
          <w:p w14:paraId="5C565025">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秋浦</w:t>
            </w:r>
          </w:p>
        </w:tc>
        <w:tc>
          <w:tcPr>
            <w:tcW w:w="1276" w:type="dxa"/>
          </w:tcPr>
          <w:p w14:paraId="7D64DE11">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7331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14:paraId="3313E0F7">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0"/>
                <w:sz w:val="20"/>
              </w:rPr>
            </w:pPr>
            <w:r>
              <w:rPr>
                <w:rFonts w:hint="eastAsia" w:ascii="仿宋_GB2312" w:hAnsi="仿宋_GB2312" w:eastAsia="仿宋_GB2312" w:cs="仿宋_GB2312"/>
                <w:kern w:val="0"/>
                <w:sz w:val="32"/>
                <w:szCs w:val="32"/>
              </w:rPr>
              <w:t>第十四组</w:t>
            </w:r>
          </w:p>
        </w:tc>
        <w:tc>
          <w:tcPr>
            <w:tcW w:w="2373" w:type="dxa"/>
          </w:tcPr>
          <w:p w14:paraId="054D9975">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墩上所</w:t>
            </w:r>
          </w:p>
        </w:tc>
        <w:tc>
          <w:tcPr>
            <w:tcW w:w="2409" w:type="dxa"/>
          </w:tcPr>
          <w:p w14:paraId="6A79F4AD">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梅龙</w:t>
            </w:r>
          </w:p>
        </w:tc>
        <w:tc>
          <w:tcPr>
            <w:tcW w:w="1276" w:type="dxa"/>
          </w:tcPr>
          <w:p w14:paraId="77D039B5">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3F13A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14:paraId="2E27A4F8">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0"/>
                <w:sz w:val="20"/>
              </w:rPr>
            </w:pPr>
            <w:r>
              <w:rPr>
                <w:rFonts w:hint="eastAsia" w:ascii="仿宋_GB2312" w:hAnsi="仿宋_GB2312" w:eastAsia="仿宋_GB2312" w:cs="仿宋_GB2312"/>
                <w:kern w:val="0"/>
                <w:sz w:val="32"/>
                <w:szCs w:val="32"/>
              </w:rPr>
              <w:t>第十五组</w:t>
            </w:r>
          </w:p>
        </w:tc>
        <w:tc>
          <w:tcPr>
            <w:tcW w:w="2373" w:type="dxa"/>
          </w:tcPr>
          <w:p w14:paraId="464793F9">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高新区所</w:t>
            </w:r>
          </w:p>
        </w:tc>
        <w:tc>
          <w:tcPr>
            <w:tcW w:w="2409" w:type="dxa"/>
          </w:tcPr>
          <w:p w14:paraId="1D5023D4">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墩上</w:t>
            </w:r>
          </w:p>
        </w:tc>
        <w:tc>
          <w:tcPr>
            <w:tcW w:w="1276" w:type="dxa"/>
          </w:tcPr>
          <w:p w14:paraId="281A591F">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r w14:paraId="067F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14:paraId="2D2B6F9D">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第十六组</w:t>
            </w:r>
          </w:p>
        </w:tc>
        <w:tc>
          <w:tcPr>
            <w:tcW w:w="2373" w:type="dxa"/>
          </w:tcPr>
          <w:p w14:paraId="08EA5582">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梅龙所</w:t>
            </w:r>
          </w:p>
        </w:tc>
        <w:tc>
          <w:tcPr>
            <w:tcW w:w="2409" w:type="dxa"/>
          </w:tcPr>
          <w:p w14:paraId="72F7E11A">
            <w:pPr>
              <w:keepNext w:val="0"/>
              <w:keepLines w:val="0"/>
              <w:suppressLineNumbers w:val="0"/>
              <w:spacing w:before="0" w:beforeAutospacing="0" w:after="0" w:afterAutospacing="0" w:line="600" w:lineRule="exact"/>
              <w:ind w:left="0" w:right="0"/>
              <w:jc w:val="center"/>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高新区</w:t>
            </w:r>
          </w:p>
        </w:tc>
        <w:tc>
          <w:tcPr>
            <w:tcW w:w="1276" w:type="dxa"/>
          </w:tcPr>
          <w:p w14:paraId="6903DE63">
            <w:pPr>
              <w:keepNext w:val="0"/>
              <w:keepLines w:val="0"/>
              <w:suppressLineNumbers w:val="0"/>
              <w:spacing w:before="0" w:beforeAutospacing="0" w:after="0" w:afterAutospacing="0" w:line="600" w:lineRule="exact"/>
              <w:ind w:left="0" w:right="0"/>
              <w:jc w:val="center"/>
              <w:rPr>
                <w:rFonts w:hint="default" w:ascii="方正小标宋简体" w:hAnsi="方正小标宋简体" w:eastAsia="方正小标宋简体" w:cs="方正小标宋简体"/>
                <w:kern w:val="0"/>
                <w:sz w:val="44"/>
                <w:szCs w:val="44"/>
              </w:rPr>
            </w:pPr>
          </w:p>
        </w:tc>
      </w:tr>
    </w:tbl>
    <w:p w14:paraId="5D201C7E"/>
    <w:p w14:paraId="30FCDA1C">
      <w:pPr>
        <w:jc w:val="left"/>
        <w:rPr>
          <w:rFonts w:ascii="仿宋_GB2312" w:eastAsia="仿宋_GB2312" w:cs="仿宋_GB2312"/>
          <w:color w:val="000000"/>
          <w:sz w:val="32"/>
          <w:szCs w:val="32"/>
        </w:rPr>
      </w:pPr>
      <w:r>
        <w:rPr>
          <w:rFonts w:hint="eastAsia" w:ascii="黑体" w:hAnsi="黑体" w:eastAsia="黑体" w:cs="黑体"/>
          <w:color w:val="000000"/>
          <w:sz w:val="32"/>
          <w:szCs w:val="32"/>
        </w:rPr>
        <w:t xml:space="preserve">附件2  </w:t>
      </w:r>
    </w:p>
    <w:p w14:paraId="2AE01379">
      <w:pPr>
        <w:adjustRightInd w:val="0"/>
        <w:snapToGrid w:val="0"/>
        <w:spacing w:line="520" w:lineRule="exact"/>
        <w:jc w:val="center"/>
        <w:rPr>
          <w:rFonts w:ascii="方正小标宋简体" w:eastAsia="方正小标宋简体"/>
          <w:sz w:val="44"/>
          <w:szCs w:val="44"/>
        </w:rPr>
      </w:pPr>
      <w:r>
        <w:rPr>
          <w:rFonts w:hint="eastAsia" w:ascii="方正小标宋简体" w:eastAsia="方正小标宋简体"/>
          <w:sz w:val="44"/>
          <w:szCs w:val="44"/>
        </w:rPr>
        <w:t>池州市贵池区市场监督管理局</w:t>
      </w:r>
    </w:p>
    <w:p w14:paraId="38CFC2E8">
      <w:pPr>
        <w:adjustRightInd w:val="0"/>
        <w:snapToGrid w:val="0"/>
        <w:spacing w:line="520" w:lineRule="exact"/>
        <w:jc w:val="center"/>
        <w:rPr>
          <w:rFonts w:ascii="方正小标宋简体" w:eastAsia="方正小标宋简体"/>
          <w:sz w:val="44"/>
          <w:szCs w:val="44"/>
        </w:rPr>
      </w:pPr>
      <w:r>
        <w:rPr>
          <w:rFonts w:hint="eastAsia" w:ascii="方正小标宋简体" w:eastAsia="方正小标宋简体"/>
          <w:sz w:val="44"/>
          <w:szCs w:val="44"/>
        </w:rPr>
        <w:t>食品经营监督检查结果记录表</w:t>
      </w:r>
      <w:r>
        <w:rPr>
          <w:rFonts w:hint="eastAsia" w:ascii="宋体" w:hAnsi="宋体"/>
          <w:sz w:val="24"/>
        </w:rPr>
        <w:t xml:space="preserve">                                         </w:t>
      </w:r>
    </w:p>
    <w:tbl>
      <w:tblPr>
        <w:tblStyle w:val="5"/>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8"/>
        <w:gridCol w:w="2871"/>
        <w:gridCol w:w="166"/>
        <w:gridCol w:w="1189"/>
        <w:gridCol w:w="3605"/>
      </w:tblGrid>
      <w:tr w14:paraId="301D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808" w:type="dxa"/>
            <w:noWrap/>
            <w:vAlign w:val="center"/>
          </w:tcPr>
          <w:p w14:paraId="2A7D4C91">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r>
              <w:rPr>
                <w:rFonts w:hint="eastAsia" w:ascii="宋体" w:hAnsi="宋体"/>
                <w:szCs w:val="21"/>
              </w:rPr>
              <w:t>被检查单位名称</w:t>
            </w:r>
          </w:p>
        </w:tc>
        <w:tc>
          <w:tcPr>
            <w:tcW w:w="3037" w:type="dxa"/>
            <w:gridSpan w:val="2"/>
            <w:noWrap/>
            <w:vAlign w:val="center"/>
          </w:tcPr>
          <w:p w14:paraId="34C1D005">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p>
        </w:tc>
        <w:tc>
          <w:tcPr>
            <w:tcW w:w="1189" w:type="dxa"/>
            <w:noWrap/>
            <w:vAlign w:val="center"/>
          </w:tcPr>
          <w:p w14:paraId="3B287E9F">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r>
              <w:rPr>
                <w:rFonts w:hint="eastAsia" w:ascii="宋体" w:hAnsi="宋体"/>
                <w:szCs w:val="21"/>
              </w:rPr>
              <w:t>经营地址</w:t>
            </w:r>
          </w:p>
        </w:tc>
        <w:tc>
          <w:tcPr>
            <w:tcW w:w="3605" w:type="dxa"/>
            <w:noWrap/>
            <w:vAlign w:val="center"/>
          </w:tcPr>
          <w:p w14:paraId="6F50F034">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p>
        </w:tc>
      </w:tr>
      <w:tr w14:paraId="44887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808" w:type="dxa"/>
            <w:noWrap/>
            <w:vAlign w:val="center"/>
          </w:tcPr>
          <w:p w14:paraId="0687DE85">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r>
              <w:rPr>
                <w:rFonts w:hint="eastAsia" w:ascii="宋体" w:hAnsi="宋体"/>
                <w:szCs w:val="21"/>
              </w:rPr>
              <w:t>联系人</w:t>
            </w:r>
          </w:p>
        </w:tc>
        <w:tc>
          <w:tcPr>
            <w:tcW w:w="3037" w:type="dxa"/>
            <w:gridSpan w:val="2"/>
            <w:noWrap/>
            <w:vAlign w:val="center"/>
          </w:tcPr>
          <w:p w14:paraId="3FC49ED1">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p>
        </w:tc>
        <w:tc>
          <w:tcPr>
            <w:tcW w:w="1189" w:type="dxa"/>
            <w:noWrap/>
            <w:vAlign w:val="center"/>
          </w:tcPr>
          <w:p w14:paraId="7FBC8435">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r>
              <w:rPr>
                <w:rFonts w:hint="eastAsia" w:ascii="宋体" w:hAnsi="宋体"/>
                <w:szCs w:val="21"/>
              </w:rPr>
              <w:t>联系方式</w:t>
            </w:r>
          </w:p>
        </w:tc>
        <w:tc>
          <w:tcPr>
            <w:tcW w:w="3605" w:type="dxa"/>
            <w:noWrap/>
            <w:vAlign w:val="center"/>
          </w:tcPr>
          <w:p w14:paraId="1E555055">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p>
        </w:tc>
      </w:tr>
      <w:tr w14:paraId="58CBC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808" w:type="dxa"/>
            <w:noWrap/>
            <w:vAlign w:val="center"/>
          </w:tcPr>
          <w:p w14:paraId="1B4E5B07">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r>
              <w:rPr>
                <w:rFonts w:hint="eastAsia" w:ascii="宋体" w:hAnsi="宋体"/>
                <w:szCs w:val="21"/>
              </w:rPr>
              <w:t>许可证编号或</w:t>
            </w:r>
          </w:p>
          <w:p w14:paraId="15DF0E94">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r>
              <w:rPr>
                <w:rFonts w:hint="eastAsia" w:ascii="宋体" w:hAnsi="宋体"/>
                <w:szCs w:val="21"/>
              </w:rPr>
              <w:t>备案编号</w:t>
            </w:r>
          </w:p>
        </w:tc>
        <w:tc>
          <w:tcPr>
            <w:tcW w:w="3037" w:type="dxa"/>
            <w:gridSpan w:val="2"/>
            <w:noWrap/>
            <w:vAlign w:val="center"/>
          </w:tcPr>
          <w:p w14:paraId="6CCBCB86">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p>
        </w:tc>
        <w:tc>
          <w:tcPr>
            <w:tcW w:w="1189" w:type="dxa"/>
            <w:noWrap/>
            <w:vAlign w:val="center"/>
          </w:tcPr>
          <w:p w14:paraId="353EBA72">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r>
              <w:rPr>
                <w:rFonts w:hint="eastAsia" w:ascii="宋体" w:hAnsi="宋体"/>
                <w:szCs w:val="21"/>
              </w:rPr>
              <w:t>检查次数</w:t>
            </w:r>
          </w:p>
        </w:tc>
        <w:tc>
          <w:tcPr>
            <w:tcW w:w="3605" w:type="dxa"/>
            <w:noWrap/>
            <w:vAlign w:val="center"/>
          </w:tcPr>
          <w:p w14:paraId="701CD68C">
            <w:pPr>
              <w:keepNext w:val="0"/>
              <w:keepLines w:val="0"/>
              <w:suppressLineNumbers w:val="0"/>
              <w:adjustRightInd w:val="0"/>
              <w:snapToGrid w:val="0"/>
              <w:spacing w:before="0" w:beforeAutospacing="0" w:after="0" w:afterAutospacing="0" w:line="300" w:lineRule="exact"/>
              <w:ind w:left="0" w:right="0"/>
              <w:jc w:val="center"/>
              <w:rPr>
                <w:rFonts w:hint="default" w:ascii="宋体" w:hAnsi="宋体"/>
                <w:szCs w:val="21"/>
              </w:rPr>
            </w:pPr>
            <w:r>
              <w:rPr>
                <w:rFonts w:hint="eastAsia" w:ascii="宋体" w:hAnsi="宋体"/>
                <w:szCs w:val="21"/>
              </w:rPr>
              <w:t>本年度第  次检查</w:t>
            </w:r>
          </w:p>
        </w:tc>
      </w:tr>
      <w:tr w14:paraId="43A9E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5" w:hRule="atLeast"/>
          <w:jc w:val="center"/>
        </w:trPr>
        <w:tc>
          <w:tcPr>
            <w:tcW w:w="9639" w:type="dxa"/>
            <w:gridSpan w:val="5"/>
            <w:noWrap/>
          </w:tcPr>
          <w:p w14:paraId="1F60C1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b/>
                <w:szCs w:val="21"/>
              </w:rPr>
            </w:pPr>
            <w:r>
              <w:rPr>
                <w:rFonts w:hint="eastAsia" w:ascii="宋体" w:hAnsi="宋体"/>
                <w:b/>
                <w:szCs w:val="21"/>
              </w:rPr>
              <w:t>检查内容：</w:t>
            </w:r>
          </w:p>
          <w:p w14:paraId="079852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412" w:firstLineChars="200"/>
              <w:textAlignment w:val="auto"/>
              <w:rPr>
                <w:rFonts w:hint="default" w:ascii="宋体" w:hAnsi="宋体"/>
                <w:szCs w:val="21"/>
              </w:rPr>
            </w:pPr>
            <w:r>
              <w:rPr>
                <w:rFonts w:hint="eastAsia" w:ascii="宋体" w:hAnsi="宋体"/>
                <w:szCs w:val="21"/>
              </w:rPr>
              <w:t>池州市贵池区市场监督管理局检查人员</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根据《中华人民共和国食品安全法》及其实施条例、《反食品浪费法》《未成年人保护法》以及《食品生产经营监督检查管理办法》等规定，于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日对你单位进行了</w:t>
            </w:r>
            <w:r>
              <w:rPr>
                <w:rFonts w:hint="eastAsia" w:ascii="宋体" w:hAnsi="宋体" w:cs="宋体"/>
                <w:sz w:val="28"/>
                <w:szCs w:val="28"/>
              </w:rPr>
              <w:sym w:font="Wingdings 2" w:char="00A3"/>
            </w:r>
            <w:r>
              <w:rPr>
                <w:rFonts w:hint="eastAsia" w:ascii="宋体" w:hAnsi="宋体"/>
                <w:szCs w:val="21"/>
              </w:rPr>
              <w:t>日常监督检查</w:t>
            </w:r>
            <w:r>
              <w:rPr>
                <w:rFonts w:hint="eastAsia" w:ascii="仿宋_GB2312" w:hAnsi="仿宋_GB2312" w:eastAsia="仿宋_GB2312" w:cs="仿宋_GB2312"/>
                <w:sz w:val="28"/>
                <w:szCs w:val="28"/>
              </w:rPr>
              <w:sym w:font="Wingdings 2" w:char="00A3"/>
            </w:r>
            <w:r>
              <w:rPr>
                <w:rFonts w:hint="eastAsia" w:ascii="宋体" w:hAnsi="宋体"/>
                <w:szCs w:val="21"/>
              </w:rPr>
              <w:t>飞行检查</w:t>
            </w:r>
            <w:r>
              <w:rPr>
                <w:rFonts w:hint="eastAsia" w:ascii="仿宋_GB2312" w:hAnsi="仿宋_GB2312" w:eastAsia="仿宋_GB2312" w:cs="仿宋_GB2312"/>
                <w:sz w:val="28"/>
                <w:szCs w:val="28"/>
              </w:rPr>
              <w:sym w:font="Wingdings 2" w:char="00A3"/>
            </w:r>
            <w:r>
              <w:rPr>
                <w:rFonts w:hint="eastAsia" w:ascii="宋体" w:hAnsi="宋体"/>
                <w:szCs w:val="21"/>
              </w:rPr>
              <w:t>体系检查</w:t>
            </w:r>
            <w:r>
              <w:rPr>
                <w:rFonts w:hint="eastAsia" w:ascii="MS Gothic" w:hAnsi="MS Gothic" w:eastAsia="MS Gothic" w:cs="MS Gothic"/>
                <w:color w:val="333333"/>
                <w:sz w:val="27"/>
                <w:szCs w:val="27"/>
                <w:shd w:val="clear" w:color="auto" w:fill="FFFFFF"/>
              </w:rPr>
              <w:t>☑</w:t>
            </w:r>
            <w:r>
              <w:rPr>
                <w:rFonts w:hint="eastAsia" w:ascii="宋体" w:hAnsi="宋体"/>
                <w:szCs w:val="21"/>
              </w:rPr>
              <w:t>专项检查：</w:t>
            </w:r>
            <w:r>
              <w:rPr>
                <w:rFonts w:hint="eastAsia" w:ascii="宋体" w:hAnsi="宋体"/>
                <w:szCs w:val="21"/>
                <w:u w:val="single"/>
              </w:rPr>
              <w:t>秋季校园（含中小学专项）</w:t>
            </w:r>
            <w:r>
              <w:rPr>
                <w:rFonts w:hint="eastAsia" w:ascii="宋体" w:hAnsi="宋体"/>
                <w:szCs w:val="21"/>
              </w:rPr>
              <w:t>。本次监督检查依据</w:t>
            </w:r>
            <w:r>
              <w:rPr>
                <w:rFonts w:hint="eastAsia" w:ascii="仿宋_GB2312" w:hAnsi="仿宋_GB2312" w:eastAsia="仿宋_GB2312" w:cs="仿宋_GB2312"/>
                <w:sz w:val="28"/>
                <w:szCs w:val="28"/>
              </w:rPr>
              <w:sym w:font="Wingdings 2" w:char="00A3"/>
            </w:r>
            <w:r>
              <w:rPr>
                <w:rFonts w:hint="eastAsia" w:ascii="宋体" w:hAnsi="宋体"/>
                <w:szCs w:val="21"/>
              </w:rPr>
              <w:t>食品销售监督检查要点表</w:t>
            </w:r>
            <w:r>
              <w:rPr>
                <w:rFonts w:hint="eastAsia" w:ascii="MS Gothic" w:hAnsi="MS Gothic" w:eastAsia="MS Gothic" w:cs="MS Gothic"/>
                <w:color w:val="333333"/>
                <w:sz w:val="27"/>
                <w:szCs w:val="27"/>
                <w:shd w:val="clear" w:color="auto" w:fill="FFFFFF"/>
              </w:rPr>
              <w:t>☑</w:t>
            </w:r>
            <w:r>
              <w:rPr>
                <w:rFonts w:hint="eastAsia" w:ascii="宋体" w:hAnsi="宋体"/>
                <w:szCs w:val="21"/>
              </w:rPr>
              <w:t>餐饮服务监督检查要点表</w:t>
            </w:r>
            <w:r>
              <w:rPr>
                <w:rFonts w:hint="eastAsia" w:ascii="MS Gothic" w:hAnsi="MS Gothic" w:eastAsia="MS Gothic" w:cs="MS Gothic"/>
                <w:color w:val="333333"/>
                <w:sz w:val="27"/>
                <w:szCs w:val="27"/>
                <w:shd w:val="clear" w:color="auto" w:fill="FFFFFF"/>
              </w:rPr>
              <w:t>☑</w:t>
            </w:r>
            <w:r>
              <w:rPr>
                <w:rFonts w:hint="eastAsia" w:ascii="宋体" w:hAnsi="宋体"/>
                <w:szCs w:val="21"/>
              </w:rPr>
              <w:t>其他：</w:t>
            </w:r>
            <w:r>
              <w:rPr>
                <w:rFonts w:hint="eastAsia" w:ascii="宋体" w:hAnsi="宋体"/>
                <w:szCs w:val="21"/>
                <w:u w:val="single"/>
              </w:rPr>
              <w:t xml:space="preserve"> 中小学整治方案七项内容 </w:t>
            </w:r>
            <w:r>
              <w:rPr>
                <w:rFonts w:hint="eastAsia" w:ascii="宋体" w:hAnsi="宋体"/>
                <w:szCs w:val="21"/>
              </w:rPr>
              <w:t>，共检查了（    ）项内容，其中重点项（  ）项，一般项（  ）项。</w:t>
            </w:r>
          </w:p>
        </w:tc>
      </w:tr>
      <w:tr w14:paraId="25589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3" w:hRule="atLeast"/>
          <w:jc w:val="center"/>
        </w:trPr>
        <w:tc>
          <w:tcPr>
            <w:tcW w:w="9639" w:type="dxa"/>
            <w:gridSpan w:val="5"/>
            <w:noWrap/>
          </w:tcPr>
          <w:p w14:paraId="510B51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left"/>
              <w:textAlignment w:val="auto"/>
              <w:rPr>
                <w:rFonts w:hint="default" w:ascii="宋体" w:hAnsi="宋体"/>
                <w:szCs w:val="21"/>
              </w:rPr>
            </w:pPr>
            <w:r>
              <w:rPr>
                <w:rFonts w:hint="eastAsia" w:ascii="宋体" w:hAnsi="宋体"/>
                <w:b/>
                <w:szCs w:val="21"/>
              </w:rPr>
              <w:t>检查结果：</w:t>
            </w:r>
            <w:r>
              <w:rPr>
                <w:rFonts w:hint="eastAsia" w:ascii="宋体" w:hAnsi="宋体"/>
                <w:szCs w:val="21"/>
              </w:rPr>
              <w:t>本次检查发现不符合项（   ）项，其中：</w:t>
            </w:r>
          </w:p>
          <w:p w14:paraId="45E4D5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412" w:firstLineChars="200"/>
              <w:jc w:val="left"/>
              <w:textAlignment w:val="auto"/>
              <w:rPr>
                <w:rFonts w:hint="eastAsia" w:ascii="宋体" w:hAnsi="宋体"/>
                <w:szCs w:val="21"/>
              </w:rPr>
            </w:pPr>
            <w:r>
              <w:rPr>
                <w:rFonts w:hint="eastAsia" w:ascii="宋体" w:hAnsi="宋体"/>
                <w:szCs w:val="21"/>
              </w:rPr>
              <w:t>重点项（   ）项，需重点跟踪整改，项目序号及具体内容如下：</w:t>
            </w:r>
          </w:p>
          <w:p w14:paraId="5458E5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412" w:firstLineChars="200"/>
              <w:jc w:val="left"/>
              <w:textAlignment w:val="auto"/>
              <w:rPr>
                <w:rFonts w:hint="eastAsia" w:ascii="宋体" w:hAnsi="宋体"/>
                <w:szCs w:val="21"/>
              </w:rPr>
            </w:pPr>
          </w:p>
          <w:p w14:paraId="5F90C2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412" w:firstLineChars="200"/>
              <w:jc w:val="left"/>
              <w:textAlignment w:val="auto"/>
              <w:rPr>
                <w:rFonts w:hint="eastAsia" w:ascii="宋体" w:hAnsi="宋体"/>
                <w:szCs w:val="21"/>
              </w:rPr>
            </w:pPr>
            <w:r>
              <w:rPr>
                <w:rFonts w:hint="eastAsia" w:ascii="宋体" w:hAnsi="宋体"/>
                <w:szCs w:val="21"/>
              </w:rPr>
              <w:t>一般项（  ）项，项目序号分别是：</w:t>
            </w:r>
          </w:p>
          <w:p w14:paraId="22E2E5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412" w:firstLineChars="200"/>
              <w:jc w:val="left"/>
              <w:textAlignment w:val="auto"/>
              <w:rPr>
                <w:rFonts w:hint="eastAsia" w:ascii="宋体" w:hAnsi="宋体"/>
                <w:szCs w:val="21"/>
              </w:rPr>
            </w:pPr>
          </w:p>
          <w:p w14:paraId="3CB03C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412" w:firstLineChars="200"/>
              <w:jc w:val="left"/>
              <w:textAlignment w:val="auto"/>
              <w:rPr>
                <w:rFonts w:hint="eastAsia" w:ascii="宋体" w:hAnsi="宋体"/>
                <w:szCs w:val="21"/>
              </w:rPr>
            </w:pPr>
          </w:p>
          <w:p w14:paraId="704A1A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left"/>
              <w:textAlignment w:val="auto"/>
              <w:rPr>
                <w:rFonts w:hint="default" w:ascii="宋体" w:hAnsi="宋体"/>
                <w:b/>
                <w:szCs w:val="21"/>
              </w:rPr>
            </w:pPr>
            <w:r>
              <w:rPr>
                <w:rFonts w:hint="eastAsia" w:ascii="宋体" w:hAnsi="宋体"/>
                <w:b/>
                <w:szCs w:val="21"/>
              </w:rPr>
              <w:t>结果处理：</w:t>
            </w:r>
          </w:p>
          <w:p w14:paraId="4771B9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206" w:firstLineChars="100"/>
              <w:jc w:val="left"/>
              <w:textAlignment w:val="auto"/>
              <w:rPr>
                <w:rFonts w:hint="default" w:ascii="宋体" w:hAnsi="宋体"/>
                <w:szCs w:val="21"/>
              </w:rPr>
            </w:pPr>
            <w:r>
              <w:rPr>
                <w:rFonts w:hint="eastAsia" w:ascii="宋体" w:hAnsi="宋体"/>
                <w:szCs w:val="21"/>
              </w:rPr>
              <w:sym w:font="Wingdings 2" w:char="00A3"/>
            </w:r>
            <w:r>
              <w:rPr>
                <w:rFonts w:hint="eastAsia" w:ascii="宋体" w:hAnsi="宋体"/>
                <w:szCs w:val="21"/>
              </w:rPr>
              <w:t>此次检查未发现违法违规行为和风险隐患问题；</w:t>
            </w:r>
          </w:p>
          <w:p w14:paraId="05435D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206" w:leftChars="0" w:right="0" w:hanging="206" w:hangingChars="100"/>
              <w:jc w:val="left"/>
              <w:textAlignment w:val="auto"/>
              <w:rPr>
                <w:rFonts w:hint="default" w:ascii="宋体" w:hAnsi="宋体"/>
                <w:szCs w:val="21"/>
              </w:rPr>
            </w:pPr>
            <w:r>
              <w:rPr>
                <w:rFonts w:hint="eastAsia" w:ascii="宋体" w:hAnsi="宋体"/>
                <w:szCs w:val="21"/>
              </w:rPr>
              <w:t>□此次检查发现不符合监督检查要点表一般项目，存在轻微风险隐患，不涉及违法行为，责令当场改正，且已整改到位；</w:t>
            </w:r>
          </w:p>
          <w:p w14:paraId="52F76F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206" w:firstLineChars="100"/>
              <w:jc w:val="left"/>
              <w:textAlignment w:val="auto"/>
              <w:rPr>
                <w:rFonts w:hint="default" w:ascii="宋体" w:hAnsi="宋体"/>
                <w:szCs w:val="21"/>
              </w:rPr>
            </w:pPr>
            <w:r>
              <w:rPr>
                <w:rFonts w:hint="eastAsia" w:ascii="宋体" w:hAnsi="宋体"/>
                <w:szCs w:val="21"/>
              </w:rPr>
              <w:sym w:font="Wingdings 2" w:char="00A3"/>
            </w:r>
            <w:r>
              <w:rPr>
                <w:rFonts w:hint="eastAsia" w:ascii="宋体" w:hAnsi="宋体"/>
                <w:szCs w:val="21"/>
              </w:rPr>
              <w:t>此次检查发现不符合监督检查要点表相关项目，存在轻微违法违规行为，实施简易程序行政处罚，</w:t>
            </w:r>
          </w:p>
          <w:p w14:paraId="7BC1BD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412" w:firstLineChars="200"/>
              <w:jc w:val="left"/>
              <w:textAlignment w:val="auto"/>
              <w:rPr>
                <w:rFonts w:hint="default" w:ascii="宋体" w:hAnsi="宋体"/>
                <w:szCs w:val="21"/>
              </w:rPr>
            </w:pPr>
            <w:r>
              <w:rPr>
                <w:rFonts w:hint="eastAsia" w:ascii="宋体" w:hAnsi="宋体"/>
                <w:szCs w:val="21"/>
              </w:rPr>
              <w:t>并做出责令限期整改决定；</w:t>
            </w:r>
          </w:p>
          <w:p w14:paraId="6EE5DD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206" w:firstLineChars="100"/>
              <w:jc w:val="left"/>
              <w:textAlignment w:val="auto"/>
              <w:rPr>
                <w:rFonts w:hint="default" w:ascii="宋体" w:hAnsi="宋体"/>
                <w:szCs w:val="21"/>
              </w:rPr>
            </w:pPr>
            <w:r>
              <w:rPr>
                <w:rFonts w:hint="eastAsia" w:ascii="宋体" w:hAnsi="宋体"/>
                <w:szCs w:val="21"/>
              </w:rPr>
              <w:t>□此次检查发现不符合监督检查要点表相关项目，涉嫌违法违规，建议立案查处。</w:t>
            </w:r>
          </w:p>
          <w:p w14:paraId="572917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206" w:firstLineChars="100"/>
              <w:jc w:val="left"/>
              <w:textAlignment w:val="auto"/>
              <w:rPr>
                <w:rFonts w:hint="default" w:ascii="宋体" w:hAnsi="宋体"/>
                <w:szCs w:val="21"/>
                <w:u w:val="single"/>
              </w:rPr>
            </w:pPr>
            <w:r>
              <w:rPr>
                <w:rFonts w:hint="eastAsia" w:ascii="宋体" w:hAnsi="宋体"/>
                <w:szCs w:val="21"/>
              </w:rPr>
              <w:t>□限你单位</w:t>
            </w:r>
            <w:r>
              <w:rPr>
                <w:rFonts w:hint="eastAsia" w:ascii="宋体" w:hAnsi="宋体"/>
                <w:szCs w:val="21"/>
                <w:u w:val="single"/>
              </w:rPr>
              <w:t xml:space="preserve">    </w:t>
            </w:r>
            <w:r>
              <w:rPr>
                <w:rFonts w:hint="eastAsia" w:ascii="宋体" w:hAnsi="宋体"/>
                <w:szCs w:val="21"/>
              </w:rPr>
              <w:t>个工作日内整改完毕并提交整改报告。</w:t>
            </w:r>
          </w:p>
          <w:p w14:paraId="3B0F80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jc w:val="left"/>
              <w:textAlignment w:val="auto"/>
              <w:rPr>
                <w:rFonts w:hint="default" w:ascii="宋体" w:hAnsi="宋体"/>
                <w:b/>
                <w:szCs w:val="21"/>
              </w:rPr>
            </w:pPr>
            <w:r>
              <w:rPr>
                <w:rFonts w:hint="eastAsia" w:ascii="宋体" w:hAnsi="宋体"/>
                <w:b/>
                <w:szCs w:val="21"/>
              </w:rPr>
              <w:t>说明</w:t>
            </w:r>
            <w:r>
              <w:rPr>
                <w:rFonts w:hint="eastAsia" w:ascii="宋体" w:hAnsi="宋体"/>
                <w:szCs w:val="21"/>
              </w:rPr>
              <w:t>（可附页）</w:t>
            </w:r>
            <w:r>
              <w:rPr>
                <w:rFonts w:hint="eastAsia" w:ascii="宋体" w:hAnsi="宋体"/>
                <w:b/>
                <w:bCs/>
                <w:szCs w:val="21"/>
              </w:rPr>
              <w:t>：</w:t>
            </w:r>
          </w:p>
        </w:tc>
      </w:tr>
      <w:tr w14:paraId="5426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4679" w:type="dxa"/>
            <w:gridSpan w:val="2"/>
            <w:noWrap/>
          </w:tcPr>
          <w:p w14:paraId="5F388B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auto"/>
              <w:rPr>
                <w:rFonts w:hint="default" w:ascii="宋体"/>
                <w:szCs w:val="21"/>
              </w:rPr>
            </w:pPr>
            <w:r>
              <w:rPr>
                <w:rFonts w:hint="eastAsia" w:ascii="宋体"/>
                <w:szCs w:val="21"/>
              </w:rPr>
              <w:t>检查人员（签名）：</w:t>
            </w:r>
          </w:p>
          <w:p w14:paraId="0A6264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default" w:hAnsi="宋体"/>
                <w:szCs w:val="21"/>
              </w:rPr>
            </w:pPr>
            <w:r>
              <w:rPr>
                <w:rFonts w:hint="eastAsia" w:ascii="宋体"/>
                <w:szCs w:val="21"/>
              </w:rPr>
              <w:t>检查（执法）证件编号：</w:t>
            </w:r>
          </w:p>
          <w:p w14:paraId="21AC2312">
            <w:pPr>
              <w:keepNext w:val="0"/>
              <w:keepLines w:val="0"/>
              <w:suppressLineNumbers w:val="0"/>
              <w:spacing w:before="0" w:beforeAutospacing="0" w:after="0" w:afterAutospacing="0" w:line="420" w:lineRule="atLeast"/>
              <w:ind w:left="0" w:right="0"/>
              <w:jc w:val="center"/>
              <w:rPr>
                <w:rFonts w:hint="default" w:ascii="宋体" w:hAnsi="宋体"/>
                <w:szCs w:val="21"/>
              </w:rPr>
            </w:pPr>
            <w:r>
              <w:rPr>
                <w:rFonts w:hint="eastAsia" w:hAnsi="宋体"/>
                <w:szCs w:val="21"/>
              </w:rPr>
              <w:t xml:space="preserve">         年   月    日</w:t>
            </w:r>
          </w:p>
        </w:tc>
        <w:tc>
          <w:tcPr>
            <w:tcW w:w="4960" w:type="dxa"/>
            <w:gridSpan w:val="3"/>
            <w:noWrap/>
          </w:tcPr>
          <w:p w14:paraId="2B11F4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839"/>
              <w:textAlignment w:val="auto"/>
              <w:rPr>
                <w:rFonts w:hint="default" w:ascii="宋体" w:hAnsi="宋体"/>
                <w:szCs w:val="21"/>
              </w:rPr>
            </w:pPr>
            <w:r>
              <w:rPr>
                <w:rFonts w:hint="eastAsia" w:ascii="宋体" w:hAnsi="宋体"/>
                <w:szCs w:val="21"/>
              </w:rPr>
              <w:t>被检查单位意见：</w:t>
            </w:r>
          </w:p>
          <w:p w14:paraId="4D09F1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839"/>
              <w:textAlignment w:val="auto"/>
              <w:rPr>
                <w:rFonts w:hint="default" w:ascii="宋体" w:hAnsi="宋体"/>
                <w:szCs w:val="21"/>
              </w:rPr>
            </w:pPr>
            <w:r>
              <w:rPr>
                <w:rFonts w:hint="eastAsia" w:ascii="宋体" w:hAnsi="宋体"/>
                <w:szCs w:val="21"/>
              </w:rPr>
              <w:t>法定代表人或负责人：</w:t>
            </w:r>
          </w:p>
          <w:p w14:paraId="0A6FB47C">
            <w:pPr>
              <w:keepNext w:val="0"/>
              <w:keepLines w:val="0"/>
              <w:suppressLineNumbers w:val="0"/>
              <w:spacing w:before="0" w:beforeAutospacing="0" w:after="0" w:afterAutospacing="0"/>
              <w:ind w:left="0" w:right="0"/>
              <w:rPr>
                <w:rFonts w:hint="default" w:ascii="宋体" w:hAnsi="宋体"/>
                <w:szCs w:val="21"/>
              </w:rPr>
            </w:pPr>
            <w:r>
              <w:rPr>
                <w:rFonts w:hint="eastAsia" w:hAnsi="宋体"/>
                <w:szCs w:val="21"/>
              </w:rPr>
              <w:t xml:space="preserve">                        年   月   日（章）</w:t>
            </w:r>
          </w:p>
        </w:tc>
      </w:tr>
    </w:tbl>
    <w:p w14:paraId="2914BC64">
      <w:pPr>
        <w:adjustRightInd w:val="0"/>
        <w:snapToGrid w:val="0"/>
        <w:spacing w:line="420" w:lineRule="exact"/>
      </w:pPr>
      <w:r>
        <w:rPr>
          <w:rFonts w:hint="eastAsia" w:ascii="宋体" w:hAnsi="宋体"/>
          <w:szCs w:val="21"/>
        </w:rPr>
        <w:t>备注：已提醒食品经营者落实《安全生产法》主体责任义务。</w:t>
      </w:r>
    </w:p>
    <w:sectPr>
      <w:pgSz w:w="11906" w:h="16838"/>
      <w:pgMar w:top="2098" w:right="1474" w:bottom="1985" w:left="1588" w:header="851" w:footer="1135" w:gutter="0"/>
      <w:pgNumType w:fmt="numberInDash"/>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MzFkNmM0NDU0MTBkNjEyM2ZlNDhiOGI1M2NlOTkifQ=="/>
  </w:docVars>
  <w:rsids>
    <w:rsidRoot w:val="0C407DCA"/>
    <w:rsid w:val="0C407DCA"/>
    <w:rsid w:val="510B5D90"/>
    <w:rsid w:val="7B7F19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link w:val="9"/>
    <w:uiPriority w:val="0"/>
    <w:pPr>
      <w:tabs>
        <w:tab w:val="center" w:pos="4153"/>
        <w:tab w:val="right" w:pos="8306"/>
      </w:tabs>
      <w:snapToGrid w:val="0"/>
      <w:jc w:val="left"/>
    </w:pPr>
    <w:rPr>
      <w:sz w:val="18"/>
    </w:rPr>
  </w:style>
  <w:style w:type="paragraph" w:styleId="3">
    <w:name w:val="header"/>
    <w:basedOn w:val="1"/>
    <w:link w:val="8"/>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HTML Preformatted"/>
    <w:basedOn w:val="1"/>
    <w:link w:val="13"/>
    <w:uiPriority w:val="0"/>
    <w:pPr>
      <w:keepNext w:val="0"/>
      <w:keepLines w:val="0"/>
      <w:widowControl w:val="0"/>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jc w:val="left"/>
    </w:pPr>
    <w:rPr>
      <w:rFonts w:hint="eastAsia" w:ascii="宋体" w:hAnsi="宋体" w:eastAsia="宋体" w:cs="Times New Roman"/>
      <w:kern w:val="0"/>
      <w:sz w:val="24"/>
      <w:szCs w:val="24"/>
      <w:lang w:val="en-US" w:eastAsia="zh-CN" w:bidi="ar"/>
    </w:rPr>
  </w:style>
  <w:style w:type="table" w:styleId="6">
    <w:name w:val="Table Grid"/>
    <w:basedOn w:val="5"/>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眉 Char"/>
    <w:basedOn w:val="7"/>
    <w:link w:val="3"/>
    <w:uiPriority w:val="0"/>
    <w:rPr>
      <w:rFonts w:hint="eastAsia" w:ascii="仿宋_GB2312" w:eastAsia="仿宋_GB2312" w:cs="仿宋_GB2312"/>
      <w:kern w:val="2"/>
      <w:sz w:val="18"/>
      <w:szCs w:val="18"/>
    </w:rPr>
  </w:style>
  <w:style w:type="character" w:customStyle="1" w:styleId="9">
    <w:name w:val="页脚 Char"/>
    <w:basedOn w:val="7"/>
    <w:link w:val="2"/>
    <w:uiPriority w:val="0"/>
    <w:rPr>
      <w:rFonts w:hint="eastAsia" w:ascii="仿宋_GB2312" w:eastAsia="仿宋_GB2312" w:cs="仿宋_GB2312"/>
      <w:kern w:val="2"/>
      <w:sz w:val="18"/>
      <w:szCs w:val="18"/>
    </w:rPr>
  </w:style>
  <w:style w:type="character" w:customStyle="1" w:styleId="10">
    <w:name w:val="页眉 字符"/>
    <w:basedOn w:val="7"/>
    <w:qFormat/>
    <w:uiPriority w:val="0"/>
    <w:rPr>
      <w:rFonts w:hint="eastAsia" w:ascii="仿宋_GB2312" w:eastAsia="仿宋_GB2312" w:cs="仿宋_GB2312"/>
      <w:kern w:val="2"/>
      <w:sz w:val="18"/>
      <w:szCs w:val="18"/>
    </w:rPr>
  </w:style>
  <w:style w:type="character" w:customStyle="1" w:styleId="11">
    <w:name w:val="页脚 字符"/>
    <w:basedOn w:val="7"/>
    <w:qFormat/>
    <w:uiPriority w:val="0"/>
    <w:rPr>
      <w:rFonts w:hint="eastAsia" w:ascii="仿宋_GB2312" w:eastAsia="仿宋_GB2312" w:cs="仿宋_GB2312"/>
      <w:kern w:val="2"/>
      <w:sz w:val="18"/>
      <w:szCs w:val="18"/>
    </w:rPr>
  </w:style>
  <w:style w:type="character" w:customStyle="1" w:styleId="12">
    <w:name w:val="HTML 预设格式 字符"/>
    <w:basedOn w:val="7"/>
    <w:uiPriority w:val="0"/>
    <w:rPr>
      <w:rFonts w:ascii="Courier New" w:hAnsi="Courier New" w:eastAsia="仿宋_GB2312" w:cs="Courier New"/>
      <w:kern w:val="2"/>
    </w:rPr>
  </w:style>
  <w:style w:type="character" w:customStyle="1" w:styleId="13">
    <w:name w:val="HTML 预设格式 Char"/>
    <w:basedOn w:val="7"/>
    <w:link w:val="4"/>
    <w:uiPriority w:val="0"/>
    <w:rPr>
      <w:rFonts w:hint="eastAsia" w:ascii="宋体" w:hAnsi="宋体" w:eastAsia="宋体" w:cs="宋体"/>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2151</Words>
  <Characters>2216</Characters>
  <Lines>0</Lines>
  <Paragraphs>0</Paragraphs>
  <TotalTime>0</TotalTime>
  <ScaleCrop>false</ScaleCrop>
  <LinksUpToDate>false</LinksUpToDate>
  <CharactersWithSpaces>2360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2024-09-14T00:20:00Z</dcterms:created>
  <dc:creator>孙蕾</dc:creator>
  <cp:lastModifiedBy>孙蕾</cp:lastModifiedBy>
  <dcterms:modified xsi:type="dcterms:W3CDTF">2024-10-30T07:03:00Z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9D56C79D86174CB183AE81371B1BA5B2_11</vt:lpwstr>
  </property>
</Properties>
</file>