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67318C">
      <w:pPr>
        <w:keepNext w:val="0"/>
        <w:keepLines w:val="0"/>
        <w:widowControl w:val="0"/>
        <w:suppressLineNumbers w:val="0"/>
        <w:spacing w:before="0" w:beforeAutospacing="0" w:after="0" w:afterAutospacing="0" w:line="320" w:lineRule="exact"/>
        <w:ind w:left="0" w:right="0"/>
        <w:jc w:val="both"/>
        <w:rPr>
          <w:rFonts w:hint="eastAsia" w:ascii="方正仿宋简体" w:hAnsi="华文中宋" w:eastAsia="仿宋_GB2312" w:cs="方正仿宋简体"/>
          <w:szCs w:val="32"/>
          <w:lang w:val="en-US"/>
        </w:rPr>
      </w:pPr>
    </w:p>
    <w:p w14:paraId="19794EF2">
      <w:pPr>
        <w:keepNext w:val="0"/>
        <w:keepLines w:val="0"/>
        <w:widowControl w:val="0"/>
        <w:suppressLineNumbers w:val="0"/>
        <w:spacing w:before="0" w:beforeAutospacing="0" w:after="0" w:afterAutospacing="0" w:line="320" w:lineRule="exact"/>
        <w:ind w:left="0" w:right="0"/>
        <w:jc w:val="center"/>
        <w:rPr>
          <w:rFonts w:hint="eastAsia" w:ascii="方正小标宋简体" w:hAnsi="华文中宋" w:eastAsia="方正小标宋简体" w:cs="方正小标宋简体"/>
          <w:b/>
          <w:bCs w:val="0"/>
          <w:szCs w:val="32"/>
          <w:lang w:val="en-US"/>
        </w:rPr>
      </w:pPr>
      <w:bookmarkStart w:id="0" w:name="Start"/>
      <w:bookmarkEnd w:id="0"/>
    </w:p>
    <w:p w14:paraId="41750A99">
      <w:pPr>
        <w:keepNext w:val="0"/>
        <w:keepLines w:val="0"/>
        <w:widowControl/>
        <w:suppressLineNumbers w:val="0"/>
        <w:spacing w:before="0" w:beforeAutospacing="0" w:after="0" w:afterAutospacing="0" w:line="660" w:lineRule="exact"/>
        <w:ind w:left="0" w:right="0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/>
        </w:rPr>
      </w:pPr>
      <w:bookmarkStart w:id="1" w:name="正文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关于印发2024年贵池区知识产权行政</w:t>
      </w:r>
    </w:p>
    <w:p w14:paraId="1D10AC5C">
      <w:pPr>
        <w:keepNext w:val="0"/>
        <w:keepLines w:val="0"/>
        <w:widowControl/>
        <w:suppressLineNumbers w:val="0"/>
        <w:spacing w:before="0" w:beforeAutospacing="0" w:after="0" w:afterAutospacing="0" w:line="660" w:lineRule="exact"/>
        <w:ind w:left="0" w:right="0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保护实施方案的通知</w:t>
      </w:r>
    </w:p>
    <w:p w14:paraId="4A8BB5AC">
      <w:pPr>
        <w:keepNext w:val="0"/>
        <w:keepLines w:val="0"/>
        <w:widowControl w:val="0"/>
        <w:suppressLineNumbers w:val="0"/>
        <w:spacing w:before="115" w:beforeLines="20" w:beforeAutospacing="0" w:after="0" w:afterAutospacing="0" w:line="400" w:lineRule="exact"/>
        <w:ind w:left="0" w:right="0"/>
        <w:jc w:val="center"/>
        <w:rPr>
          <w:rFonts w:hint="eastAsia" w:ascii="仿宋_GB2312" w:hAnsi="华文中宋" w:eastAsia="仿宋_GB2312" w:cs="仿宋_GB2312"/>
          <w:kern w:val="2"/>
          <w:sz w:val="32"/>
          <w:szCs w:val="32"/>
          <w:lang w:val="en-US" w:eastAsia="zh-CN" w:bidi="ar"/>
        </w:rPr>
      </w:pPr>
      <w:bookmarkStart w:id="2" w:name="发文字号"/>
    </w:p>
    <w:p w14:paraId="6E17D508">
      <w:pPr>
        <w:keepNext w:val="0"/>
        <w:keepLines w:val="0"/>
        <w:widowControl w:val="0"/>
        <w:suppressLineNumbers w:val="0"/>
        <w:spacing w:before="115" w:beforeLines="20" w:beforeAutospacing="0" w:after="0" w:afterAutospacing="0" w:line="400" w:lineRule="exact"/>
        <w:ind w:left="0" w:right="0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仿宋_GB2312" w:hAnsi="华文中宋" w:eastAsia="仿宋_GB2312" w:cs="仿宋_GB2312"/>
          <w:kern w:val="2"/>
          <w:sz w:val="32"/>
          <w:szCs w:val="32"/>
          <w:lang w:val="en-US" w:eastAsia="zh-CN" w:bidi="ar"/>
        </w:rPr>
        <w:t>贵市管〔2024〕65号</w:t>
      </w:r>
      <w:bookmarkEnd w:id="2"/>
    </w:p>
    <w:p w14:paraId="4633A7A7">
      <w:pPr>
        <w:keepNext w:val="0"/>
        <w:keepLines w:val="0"/>
        <w:widowControl/>
        <w:suppressLineNumbers w:val="0"/>
        <w:spacing w:before="0" w:beforeAutospacing="0" w:after="0" w:afterAutospacing="0" w:line="540" w:lineRule="exact"/>
        <w:ind w:left="0" w:right="0" w:firstLine="412" w:firstLineChars="200"/>
        <w:jc w:val="left"/>
        <w:rPr>
          <w:rFonts w:hint="eastAsia" w:ascii="方正小标宋简体" w:hAnsi="方正小标宋简体" w:eastAsia="方正小标宋简体" w:cs="方正小标宋简体"/>
          <w:color w:val="000000"/>
          <w:kern w:val="0"/>
          <w:szCs w:val="32"/>
          <w:lang w:val="en-US"/>
        </w:rPr>
      </w:pPr>
    </w:p>
    <w:p w14:paraId="3E89584B">
      <w:pPr>
        <w:keepNext w:val="0"/>
        <w:keepLines w:val="0"/>
        <w:widowControl/>
        <w:suppressLineNumbers w:val="0"/>
        <w:spacing w:before="0" w:beforeAutospacing="0" w:after="0" w:afterAutospacing="0" w:line="540" w:lineRule="exact"/>
        <w:ind w:left="0" w:right="0"/>
        <w:jc w:val="left"/>
        <w:rPr>
          <w:szCs w:val="32"/>
          <w:lang w:val="en-US"/>
        </w:rPr>
      </w:pPr>
      <w:r>
        <w:rPr>
          <w:rFonts w:hint="eastAsia" w:ascii="Times New Roman" w:hAnsi="Times New Roman" w:eastAsia="仿宋_GB2312" w:cs="仿宋_GB2312"/>
          <w:kern w:val="2"/>
          <w:sz w:val="32"/>
          <w:szCs w:val="32"/>
          <w:lang w:val="en-US" w:eastAsia="zh-CN" w:bidi="ar"/>
        </w:rPr>
        <w:t>局属各单位：</w:t>
      </w:r>
    </w:p>
    <w:p w14:paraId="718E23D9">
      <w:pPr>
        <w:pStyle w:val="4"/>
        <w:keepNext w:val="0"/>
        <w:keepLines w:val="0"/>
        <w:widowControl/>
        <w:suppressLineNumbers w:val="0"/>
        <w:spacing w:line="540" w:lineRule="exact"/>
        <w:ind w:left="0" w:firstLine="632" w:firstLineChars="200"/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为深入实施《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2024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年池州市知识产权行政保护实施方案》（池市监办函〔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2024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〕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228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号）、《池州市市场监督管理局“守护知识产权”专项执法行动实施方案（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2024-2025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）》、《池州市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2024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年专利行政保护专项行动方案》（池市监办函〔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2024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〕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 xml:space="preserve">241 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号），严厉打击知识产权违法行为，加强专利侵权纠纷行政裁决，推进专利纠纷多元化解工作，强化贵池区知识产权全链条保护，全面推进知识产权强区建设。根据我区工作实际，区局制定了《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2024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年贵池区知识产权行政保护实施方案》，现印发给你们，请认真抓好落实，确保取得实效。</w:t>
      </w:r>
    </w:p>
    <w:p w14:paraId="7108171F">
      <w:pPr>
        <w:pStyle w:val="4"/>
        <w:keepNext w:val="0"/>
        <w:keepLines w:val="0"/>
        <w:widowControl/>
        <w:suppressLineNumbers w:val="0"/>
        <w:spacing w:line="540" w:lineRule="exact"/>
        <w:ind w:left="0" w:firstLine="632" w:firstLineChars="200"/>
        <w:rPr>
          <w:rFonts w:hint="eastAsia" w:ascii="方正小标宋简体" w:hAnsi="方正小标宋简体" w:eastAsia="方正小标宋简体" w:cs="方正小标宋简体"/>
          <w:color w:val="000000"/>
          <w:sz w:val="32"/>
          <w:szCs w:val="32"/>
          <w:lang w:val="en-US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32"/>
          <w:szCs w:val="32"/>
          <w:lang w:val="en-US"/>
        </w:rPr>
        <w:t xml:space="preserve"> </w:t>
      </w:r>
    </w:p>
    <w:p w14:paraId="5674D178">
      <w:pPr>
        <w:pStyle w:val="4"/>
        <w:keepNext w:val="0"/>
        <w:keepLines w:val="0"/>
        <w:widowControl/>
        <w:suppressLineNumbers w:val="0"/>
        <w:spacing w:line="540" w:lineRule="exact"/>
        <w:ind w:left="0" w:firstLine="632" w:firstLineChars="200"/>
        <w:rPr>
          <w:rFonts w:hint="eastAsia" w:ascii="方正小标宋简体" w:hAnsi="方正小标宋简体" w:eastAsia="方正小标宋简体" w:cs="方正小标宋简体"/>
          <w:color w:val="000000"/>
          <w:sz w:val="32"/>
          <w:szCs w:val="32"/>
          <w:lang w:val="en-US"/>
        </w:rPr>
      </w:pPr>
    </w:p>
    <w:p w14:paraId="68E0CBFC">
      <w:pPr>
        <w:pStyle w:val="4"/>
        <w:keepNext w:val="0"/>
        <w:keepLines w:val="0"/>
        <w:widowControl/>
        <w:suppressLineNumbers w:val="0"/>
        <w:spacing w:line="540" w:lineRule="exact"/>
        <w:ind w:left="0" w:firstLine="4108" w:firstLineChars="1300"/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池州市贵池区市场监督管理局</w:t>
      </w:r>
    </w:p>
    <w:p w14:paraId="52F24DF3">
      <w:pPr>
        <w:pStyle w:val="4"/>
        <w:keepNext w:val="0"/>
        <w:keepLines w:val="0"/>
        <w:widowControl/>
        <w:suppressLineNumbers w:val="0"/>
        <w:spacing w:line="540" w:lineRule="exact"/>
        <w:ind w:left="0" w:firstLine="4740" w:firstLineChars="1500"/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2024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年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6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14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日</w:t>
      </w:r>
    </w:p>
    <w:p w14:paraId="317CDCDA">
      <w:pPr>
        <w:pStyle w:val="4"/>
        <w:keepNext w:val="0"/>
        <w:keepLines w:val="0"/>
        <w:widowControl/>
        <w:suppressLineNumbers w:val="0"/>
        <w:spacing w:line="540" w:lineRule="exact"/>
        <w:ind w:left="0" w:firstLine="4740" w:firstLineChars="1500"/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</w:pPr>
    </w:p>
    <w:p w14:paraId="15183260">
      <w:pPr>
        <w:pStyle w:val="4"/>
        <w:keepNext w:val="0"/>
        <w:keepLines w:val="0"/>
        <w:widowControl/>
        <w:suppressLineNumbers w:val="0"/>
        <w:spacing w:line="540" w:lineRule="exact"/>
        <w:ind w:left="0" w:firstLine="4740" w:firstLineChars="1500"/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</w:pPr>
    </w:p>
    <w:p w14:paraId="2DE1E8D5">
      <w:pPr>
        <w:pStyle w:val="4"/>
        <w:keepNext w:val="0"/>
        <w:keepLines w:val="0"/>
        <w:widowControl/>
        <w:suppressLineNumbers w:val="0"/>
        <w:spacing w:line="66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z w:val="43"/>
          <w:szCs w:val="43"/>
          <w:lang w:val="en-US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/>
        </w:rPr>
        <w:t>2024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eastAsia="zh-CN"/>
        </w:rPr>
        <w:t>年贵池区知识产权行政保护实施方案</w:t>
      </w:r>
      <w:r>
        <w:rPr>
          <w:rFonts w:hint="eastAsia" w:ascii="方正小标宋简体" w:hAnsi="方正小标宋简体" w:eastAsia="方正小标宋简体" w:cs="方正小标宋简体"/>
          <w:color w:val="000000"/>
          <w:sz w:val="43"/>
          <w:szCs w:val="43"/>
          <w:lang w:val="en-US"/>
        </w:rPr>
        <w:t xml:space="preserve"> </w:t>
      </w:r>
    </w:p>
    <w:p w14:paraId="11EABD2E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</w:pPr>
    </w:p>
    <w:p w14:paraId="36DF9A01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为深入贯彻党中央国务院、省委省政府及市委市政府关于全面加强知识产权保护的决策部署，持续强化知识产权行政保护，助力打造市场化法治化国际化营商环境，推动高质量发展，制定本工作方案。</w:t>
      </w:r>
    </w:p>
    <w:p w14:paraId="704ECC46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rFonts w:hint="eastAsia" w:ascii="黑体" w:hAnsi="宋体" w:eastAsia="黑体" w:cs="黑体"/>
          <w:color w:val="000000"/>
          <w:sz w:val="32"/>
          <w:szCs w:val="32"/>
          <w:lang w:val="en-US"/>
        </w:rPr>
      </w:pPr>
      <w:r>
        <w:rPr>
          <w:rFonts w:hint="eastAsia" w:ascii="黑体" w:hAnsi="宋体" w:eastAsia="黑体" w:cs="黑体"/>
          <w:color w:val="000000"/>
          <w:sz w:val="32"/>
          <w:szCs w:val="32"/>
          <w:lang w:eastAsia="zh-CN"/>
        </w:rPr>
        <w:t>一、总体要求</w:t>
      </w:r>
      <w:bookmarkStart w:id="4" w:name="_GoBack"/>
      <w:bookmarkEnd w:id="4"/>
    </w:p>
    <w:p w14:paraId="3D3C5806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坚持以习近平新时代中国特色社会主义思想为指导，深入贯彻党的二十大和二十届二中全会精神，全面落实党中央国务院关于强化知识产权保决策部署，按照《知识产权强省建设纲要（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2021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—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2035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年）》《安徽省“十四五”知识产权发展规划》《关于强化知识产权保护若干措施》和《池州市推进知识产权建设实施方案》要求，坚持规范与保护并重，既严格保护知识产权，又防范个人和企业权利过度扩张，确保公共利益和激励创新兼得，全面加强知识产权行政保护，持续加强对重点领域、关键环节侵犯知识产权行为的打击和治理力度，努力提升知识产权全链条保护水平，健全完善支撑国际一流营商环境和创新环境的知识产权保护体系，为加快推进创新型知识产权强区奠定坚实基础。</w:t>
      </w:r>
    </w:p>
    <w:p w14:paraId="2EC04B07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rFonts w:hint="eastAsia" w:ascii="黑体" w:hAnsi="宋体" w:eastAsia="黑体" w:cs="黑体"/>
          <w:color w:val="000000"/>
          <w:sz w:val="32"/>
          <w:szCs w:val="32"/>
          <w:lang w:val="en-US"/>
        </w:rPr>
      </w:pPr>
      <w:r>
        <w:rPr>
          <w:rFonts w:hint="eastAsia" w:ascii="黑体" w:hAnsi="宋体" w:eastAsia="黑体" w:cs="黑体"/>
          <w:color w:val="000000"/>
          <w:sz w:val="32"/>
          <w:szCs w:val="32"/>
          <w:lang w:eastAsia="zh-CN"/>
        </w:rPr>
        <w:t>二、主要任务</w:t>
      </w:r>
    </w:p>
    <w:p w14:paraId="6665B1A8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楷体_GB2312" w:eastAsia="楷体_GB2312" w:cs="楷体_GB2312"/>
          <w:color w:val="000000"/>
          <w:sz w:val="32"/>
          <w:szCs w:val="32"/>
          <w:lang w:eastAsia="zh-CN"/>
        </w:rPr>
        <w:t>（一）强化法规规章贯彻实施</w:t>
      </w:r>
    </w:p>
    <w:p w14:paraId="6BD7F3B7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1.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推动《中华人民共和国专利法实施细则》和《规范申请专利行为的规定》宣传解读和贯彻实施，重点规制弄虚作假等非正常申请专利和通过提供虚假材料、隐瞒事实等手段获得专利年费减免等违法行为。</w:t>
      </w:r>
    </w:p>
    <w:p w14:paraId="55555AA9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2.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有效落实《地理标志产品保护办法》和《集体商标、证明商标注册和管理规定》，规范地理标志产品申报和地理标志产品专用标志申请。</w:t>
      </w:r>
    </w:p>
    <w:p w14:paraId="2CA80381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3.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深入推进《安徽省知识产权保护办法》贯彻落实，结合我市实际，完善知识产权行政保护政策和标准体系。</w:t>
      </w:r>
    </w:p>
    <w:p w14:paraId="1A48FA4D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楷体_GB2312" w:eastAsia="楷体_GB2312" w:cs="楷体_GB2312"/>
          <w:color w:val="000000"/>
          <w:sz w:val="32"/>
          <w:szCs w:val="32"/>
          <w:lang w:eastAsia="zh-CN"/>
        </w:rPr>
        <w:t>（二）强化专利行政保护和管理</w:t>
      </w:r>
    </w:p>
    <w:p w14:paraId="19714056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4.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开展专利行政保护专项行动，加大涉民营企业、中小微企业、外资企业等专利侵权纠纷办案力度。持续提升行政裁决办案质量效率。重点打击假冒他人专利的违法行为，涉嫌犯罪的，及时移送公安机关。加强专业指导，准确区分专利标识标注不规范和假冒专利违法行为。</w:t>
      </w:r>
    </w:p>
    <w:p w14:paraId="259971F0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5.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落实《专利侵权纠纷行政裁决办案指南》等办案规范，公开行政裁决法定依据、职责和案件受理范围，畅通行政裁决受理渠道，立案前知识产权维权援助机构提前介入，简化案件受理程序。</w:t>
      </w:r>
    </w:p>
    <w:p w14:paraId="60661EF6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6.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对案情相对简单、争议较小的专利侵权纠纷案件，按照便民原则，从速从快处理；对案情复杂、争议较大的案件，实行精细审理。发挥知识产权维权援助机构对专利侵权纠纷行政裁决支撑作用。</w:t>
      </w:r>
    </w:p>
    <w:p w14:paraId="772BC45B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7.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加快推进专利行政裁决队伍专业化建设，加强培训和交流，组织行政裁决比武，着力提升行政裁决队伍专业能力和业务水平。</w:t>
      </w:r>
    </w:p>
    <w:p w14:paraId="64EDF7EA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8.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推动知识产权技术调查官制度良好运行，技术调查官资源全市共享，着力提升案件技术认定的客观性和科学性。</w:t>
      </w:r>
    </w:p>
    <w:p w14:paraId="1DBA802B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9.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加强医药集中采购领域知识产权保护工作。</w:t>
      </w:r>
    </w:p>
    <w:p w14:paraId="555CF9A3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10.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持续开展对非正常专利申请的排查及处理工作，对非正常专利申请情况进行通报。严厉打击非正常专利申请行为，加强对违法失信代理行为的协同治理和信用监管。</w:t>
      </w:r>
    </w:p>
    <w:p w14:paraId="6ADF1417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11.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组织申报第三批创新主体专利申请精准管理名单。</w:t>
      </w:r>
    </w:p>
    <w:p w14:paraId="6BB998EF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楷体_GB2312" w:eastAsia="楷体_GB2312" w:cs="楷体_GB2312"/>
          <w:color w:val="000000"/>
          <w:sz w:val="32"/>
          <w:szCs w:val="32"/>
          <w:lang w:eastAsia="zh-CN"/>
        </w:rPr>
        <w:t>（三）强化商标行政保护和管理</w:t>
      </w:r>
    </w:p>
    <w:p w14:paraId="2CE1FE4E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12.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组织开展商标行政保护专项行动，严厉打击商标侵权和恶意商标注册申请行为。根据《商标一般违法判断标准》等有关规定，严肃处理使用带有欺骗性或有不良影响商标的违法行为，及时处置并反馈各级交办的案件线索；对于日常监管中发现的涉嫌违反禁用规定的注册商标，逐级请示启动依职权宣告无效程序。</w:t>
      </w:r>
    </w:p>
    <w:p w14:paraId="42A202CA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13.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深入贯彻《商标侵权判断标准》及其理解与适用，推进公正合理保护。</w:t>
      </w:r>
    </w:p>
    <w:p w14:paraId="5E7EC4D7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14.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加强对定牌加工企业监管，督促其严格履行商标审核义务，防范商标侵权行为发生。</w:t>
      </w:r>
    </w:p>
    <w:p w14:paraId="42DF31AA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15.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重点围绕仓储、运输、邮寄等关键环节，加强对涉及区域广、持续时间长、涉案金额大、社会关注度高等严重侵权行为案件的查处力度。</w:t>
      </w:r>
    </w:p>
    <w:p w14:paraId="2D9B74DD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16.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申报一批池州市商标保护名录，开展重点商标保护情况走访调查。及时更新驰名商标、地理标志、老字号保护联系人名单，协同公安机关、商务部门做好知名品牌保护，加大对“傍名牌”等恶意侵权行为的规制。</w:t>
      </w:r>
    </w:p>
    <w:p w14:paraId="25AC6588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17.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与烟草管理部门加强协作，加强对需强制注册商标商品的监管。</w:t>
      </w:r>
    </w:p>
    <w:p w14:paraId="346B6916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楷体_GB2312" w:eastAsia="楷体_GB2312" w:cs="楷体_GB2312"/>
          <w:color w:val="000000"/>
          <w:sz w:val="32"/>
          <w:szCs w:val="32"/>
          <w:lang w:eastAsia="zh-CN"/>
        </w:rPr>
        <w:t>（四）加强地理标志保护和管理</w:t>
      </w:r>
    </w:p>
    <w:p w14:paraId="077D4204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18.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在应季地理标志产品集中上市的时间节点，开展春茶和秋季地理标志保护专项行动，强化初级农产品、加工食品、道地药材、传统手工艺品等领域地理标志保护，有效治理地理标志侵权违法行为。</w:t>
      </w:r>
    </w:p>
    <w:p w14:paraId="362899C5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20.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加强地理标志专用标志使用管理，规范地理标志产品专用标志使用申请、变更和注销工作。</w:t>
      </w:r>
    </w:p>
    <w:p w14:paraId="6B638402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21.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组织开展地理标志统一认定保护资源信息核查，摸清地理标志保护资源信息底数并加以运用。</w:t>
      </w:r>
    </w:p>
    <w:p w14:paraId="48A7986F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22.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进一步规范地理标志专用标志使用申请产地核验工作，提高申报质量。加强地理标志专用标志使用监管和年报工作。</w:t>
      </w:r>
    </w:p>
    <w:p w14:paraId="0AB2DB84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楷体_GB2312" w:eastAsia="楷体_GB2312" w:cs="楷体_GB2312"/>
          <w:color w:val="000000"/>
          <w:sz w:val="32"/>
          <w:szCs w:val="32"/>
          <w:lang w:eastAsia="zh-CN"/>
        </w:rPr>
        <w:t>（五）加强民生热点及重点领域保护</w:t>
      </w:r>
    </w:p>
    <w:p w14:paraId="6E91A60E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23.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加强部门协作，持续做好对关系公共利益和人民群众切身利益的食品药品、康复辅助器具、儿童玩具、家用电器、种业、水泥、公共卫生以及绿色低碳技术等重点领域，特别是对民生物资、农业农村领域、网络市场领域、食品、影响青少年儿童视力相关产品等商品的知识产权行政保护。</w:t>
      </w:r>
    </w:p>
    <w:p w14:paraId="00C20EA4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24.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结合产业特点，加强探索研究，采取有力措施加大对半导体、新材料、高端装备制造、人工智能和数字经济、新能源和节能环保、健康医疗养老、绿色食品、文化旅游创意等战略性新兴产业的知识产权保护力度。</w:t>
      </w:r>
    </w:p>
    <w:p w14:paraId="01E21388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25.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健全企业知识产权保护诉求收集机制，有效处理内外资、国有、民营企业知识产权保护诉求，着力解决各类经营主体知识产权保护面临的痛点、难点、堵点问题。</w:t>
      </w:r>
    </w:p>
    <w:p w14:paraId="3E013FFC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26.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做好扫黑除恶市场流通领域相关整治工作，及时移送知识产权保护工作中涉黑涉恶和行业乱象线索。</w:t>
      </w:r>
    </w:p>
    <w:p w14:paraId="6199F68C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楷体_GB2312" w:eastAsia="楷体_GB2312" w:cs="楷体_GB2312"/>
          <w:color w:val="000000"/>
          <w:sz w:val="32"/>
          <w:szCs w:val="32"/>
          <w:lang w:eastAsia="zh-CN"/>
        </w:rPr>
        <w:t>（六）加强重大活动和重要节点保障</w:t>
      </w:r>
    </w:p>
    <w:p w14:paraId="44D59DF6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27.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协同做好各类重大政治、体育和文化活动官方标志和特殊标志保护。</w:t>
      </w:r>
    </w:p>
    <w:p w14:paraId="41EB2F28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28.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贯彻实施《安徽省展会知识产权保护细则》，配合做好大型展会知识产权保护工作；制定知识产权保护方案，设立知识产权维权服务工作站，采取展前排查、展中巡查、展后追查等措施，做好对侵权行为的防范、调解与查处工作，做好大型展会保障。</w:t>
      </w:r>
    </w:p>
    <w:p w14:paraId="1A582873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29.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围绕春节、五一、中秋、国庆等重要时间节点，针对性加强知识产权保护。</w:t>
      </w:r>
    </w:p>
    <w:p w14:paraId="7F37A21B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楷体_GB2312" w:eastAsia="楷体_GB2312" w:cs="楷体_GB2312"/>
          <w:color w:val="000000"/>
          <w:sz w:val="32"/>
          <w:szCs w:val="32"/>
          <w:lang w:eastAsia="zh-CN"/>
        </w:rPr>
        <w:t>（七）加强专业市场及关键环节保护</w:t>
      </w:r>
    </w:p>
    <w:p w14:paraId="149E1696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30.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加强流通领域知识产权保护，进行重点关注市场知识产权保护调查，开展省级知识产权保护规范化市场建设和贯标试点工作，做好国家级知识产权保护规范化市场的培育，推动实施《商品交易市场知识产权保护规范》国家标准和《安徽省流通领域（实体专业市场）知识产权保护工作指南（试行）》。</w:t>
      </w:r>
    </w:p>
    <w:p w14:paraId="744DA370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31.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推进《电子商务平台知识产权保护管理》推荐性国家标准执行，指导电商企业健全平台知识产权保护制度，落实知识产权保护责任。配合推动知识产权白名单系统应用。</w:t>
      </w:r>
    </w:p>
    <w:p w14:paraId="574197F5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32.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加强线上侵权假冒行为治理，加大对平台内经营者知识产权授权信息的抽查检查力度，完善线下线上一体化保护机制。</w:t>
      </w:r>
    </w:p>
    <w:p w14:paraId="2B150B74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楷体_GB2312" w:eastAsia="楷体_GB2312" w:cs="楷体_GB2312"/>
          <w:color w:val="000000"/>
          <w:sz w:val="32"/>
          <w:szCs w:val="32"/>
          <w:lang w:eastAsia="zh-CN"/>
        </w:rPr>
        <w:t>（八）发挥社会共治等多渠道保护作用</w:t>
      </w:r>
    </w:p>
    <w:p w14:paraId="7E935C8D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33.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推动更多行业性专业性调解组织参与知识产权纠纷调解。加强调解能力建设，做好调解员业务培训，鼓励探索有偿调解，积极调动调解员积极性。推动知识产权纠纷前端化解，提升诉调对接工作水平，着力提高诉前调解数量和成功率。评选发布知识产权纠纷多元调解典型经验和案例。</w:t>
      </w:r>
    </w:p>
    <w:p w14:paraId="220F95C7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34.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推动市仲裁委运用仲裁手段积极参与知识产权纠纷处理，做好调解协议仲裁确认。</w:t>
      </w:r>
    </w:p>
    <w:p w14:paraId="2CC929A4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35.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做好知识产权领域信用信息归集工作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,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科学构建符合本地实际的知识产权信用评价指标体系，开展信用评价，实施差异化监管措施。依法依规开展知识产权领域严重失信名单管理工作，推进构建跨部门、跨领域的失信联合惩戒机制。</w:t>
      </w:r>
    </w:p>
    <w:p w14:paraId="1EDF9CFB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楷体_GB2312" w:eastAsia="楷体_GB2312" w:cs="楷体_GB2312"/>
          <w:color w:val="000000"/>
          <w:sz w:val="32"/>
          <w:szCs w:val="32"/>
          <w:lang w:eastAsia="zh-CN"/>
        </w:rPr>
        <w:t>（九）深化知识产权维权援助机制</w:t>
      </w:r>
    </w:p>
    <w:p w14:paraId="62E0D356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36.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进一步完善知识产权维权援助工作体系，推动安徽省知识产权维权援助池州分中心建设，畅通知识产权维权援助工作网络，推动维权援助组织进园区、专业市场、行业协会、高校、大型电商平台。用好中国知识产权维权援助线上服务平台，为各类知识产权主体维权提供便利。</w:t>
      </w:r>
    </w:p>
    <w:p w14:paraId="6212F91B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37.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引导行业协会、商会积极参与知识产权维权援助和纠纷处理，建立健全知识产权保护互助救济和自律自治机制。</w:t>
      </w:r>
    </w:p>
    <w:p w14:paraId="7AAC2A7F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楷体_GB2312" w:eastAsia="楷体_GB2312" w:cs="楷体_GB2312"/>
          <w:color w:val="000000"/>
          <w:sz w:val="32"/>
          <w:szCs w:val="32"/>
          <w:lang w:eastAsia="zh-CN"/>
        </w:rPr>
        <w:t>（十）完善海外纠纷应对指导工作网络</w:t>
      </w:r>
    </w:p>
    <w:p w14:paraId="01A90CBC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38.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持续优化海外知识产权纠纷应对指导工作网络，拓展海外服务工作网点，设立企业海外知识产权观察哨点，提升工作站海外知识产权纠纷应对指导能力。</w:t>
      </w:r>
    </w:p>
    <w:p w14:paraId="7CE3593A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39.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加强海外知识产权纠纷信息监测预警，发布海外知识产权信息，组织实施风险预警项目。</w:t>
      </w:r>
    </w:p>
    <w:p w14:paraId="541ECFD5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楷体_GB2312" w:eastAsia="楷体_GB2312" w:cs="楷体_GB2312"/>
          <w:color w:val="000000"/>
          <w:sz w:val="32"/>
          <w:szCs w:val="32"/>
          <w:lang w:eastAsia="zh-CN"/>
        </w:rPr>
        <w:t>（十一）开展试点示范工作</w:t>
      </w:r>
    </w:p>
    <w:p w14:paraId="16E4553C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40.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积极申报县域国家级专利侵权纠纷行政裁决规范化建设试点，充分发挥行政裁决在化解知识产权矛盾纠纷中的优势。</w:t>
      </w:r>
    </w:p>
    <w:p w14:paraId="589C7FE6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楷体_GB2312" w:eastAsia="楷体_GB2312" w:cs="楷体_GB2312"/>
          <w:color w:val="000000"/>
          <w:sz w:val="32"/>
          <w:szCs w:val="32"/>
          <w:lang w:eastAsia="zh-CN"/>
        </w:rPr>
        <w:t>（十二）推进知识产权数字化监管新模式</w:t>
      </w:r>
    </w:p>
    <w:p w14:paraId="2EBA4CE3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sz w:val="32"/>
          <w:szCs w:val="32"/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41.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探索大数据、云计算、人工智能、区块链等新技术在知识产权监管中的应用。</w:t>
      </w:r>
    </w:p>
    <w:p w14:paraId="56F3AF6A">
      <w:pPr>
        <w:pStyle w:val="4"/>
        <w:keepNext w:val="0"/>
        <w:keepLines w:val="0"/>
        <w:widowControl/>
        <w:suppressLineNumbers w:val="0"/>
        <w:spacing w:line="600" w:lineRule="exact"/>
        <w:ind w:left="0" w:firstLine="632" w:firstLineChars="200"/>
        <w:rPr>
          <w:lang w:val="en-US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/>
        </w:rPr>
        <w:t>42.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贯彻落实《安徽省数据知识产权登记办法（试行）》，协同做好数据知识产权登记，探索数据知识产权保护措施。</w:t>
      </w:r>
      <w:bookmarkEnd w:id="1"/>
      <w:bookmarkStart w:id="3" w:name="End"/>
      <w:bookmarkEnd w:id="3"/>
    </w:p>
    <w:p w14:paraId="1F7A4104"/>
    <w:sectPr>
      <w:pgSz w:w="11906" w:h="16838"/>
      <w:pgMar w:top="2098" w:right="1474" w:bottom="1985" w:left="1588" w:header="851" w:footer="1135" w:gutter="0"/>
      <w:pgNumType w:fmt="numberInDash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仿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4MzFkNmM0NDU0MTBkNjEyM2ZlNDhiOGI1M2NlOTkifQ=="/>
  </w:docVars>
  <w:rsids>
    <w:rsidRoot w:val="00000000"/>
    <w:rsid w:val="11945540"/>
    <w:rsid w:val="41B264CE"/>
    <w:rsid w:val="4E436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link w:val="8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HTML Preformatted"/>
    <w:basedOn w:val="1"/>
    <w:link w:val="7"/>
    <w:qFormat/>
    <w:uiPriority w:val="0"/>
    <w:pPr>
      <w:keepNext w:val="0"/>
      <w:keepLines w:val="0"/>
      <w:widowControl w:val="0"/>
      <w:suppressLineNumber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7">
    <w:name w:val="HTML 预设格式 字符"/>
    <w:basedOn w:val="6"/>
    <w:link w:val="4"/>
    <w:uiPriority w:val="0"/>
    <w:rPr>
      <w:rFonts w:hint="eastAsia" w:ascii="宋体" w:hAnsi="宋体" w:eastAsia="宋体" w:cs="宋体"/>
      <w:sz w:val="24"/>
      <w:szCs w:val="24"/>
    </w:rPr>
  </w:style>
  <w:style w:type="character" w:customStyle="1" w:styleId="8">
    <w:name w:val="页眉 Char"/>
    <w:basedOn w:val="6"/>
    <w:link w:val="3"/>
    <w:uiPriority w:val="0"/>
    <w:rPr>
      <w:rFonts w:hint="eastAsia" w:ascii="仿宋_GB2312" w:eastAsia="仿宋_GB2312" w:cs="仿宋_GB2312"/>
      <w:kern w:val="2"/>
      <w:sz w:val="18"/>
      <w:szCs w:val="18"/>
    </w:rPr>
  </w:style>
  <w:style w:type="character" w:customStyle="1" w:styleId="9">
    <w:name w:val="页脚 Char"/>
    <w:basedOn w:val="6"/>
    <w:link w:val="2"/>
    <w:uiPriority w:val="0"/>
    <w:rPr>
      <w:rFonts w:hint="eastAsia" w:ascii="仿宋_GB2312" w:eastAsia="仿宋_GB2312" w:cs="仿宋_GB2312"/>
      <w:kern w:val="2"/>
      <w:sz w:val="18"/>
      <w:szCs w:val="18"/>
    </w:rPr>
  </w:style>
  <w:style w:type="character" w:customStyle="1" w:styleId="10">
    <w:name w:val="页眉 字符"/>
    <w:basedOn w:val="6"/>
    <w:qFormat/>
    <w:uiPriority w:val="0"/>
    <w:rPr>
      <w:rFonts w:hint="eastAsia" w:ascii="仿宋_GB2312" w:eastAsia="仿宋_GB2312" w:cs="仿宋_GB2312"/>
      <w:kern w:val="2"/>
      <w:sz w:val="18"/>
      <w:szCs w:val="18"/>
    </w:rPr>
  </w:style>
  <w:style w:type="character" w:customStyle="1" w:styleId="11">
    <w:name w:val="页脚 字符"/>
    <w:basedOn w:val="6"/>
    <w:qFormat/>
    <w:uiPriority w:val="0"/>
    <w:rPr>
      <w:rFonts w:hint="eastAsia" w:ascii="仿宋_GB2312" w:eastAsia="仿宋_GB2312" w:cs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3667</Words>
  <Characters>3787</Characters>
  <Lines>0</Lines>
  <Paragraphs>0</Paragraphs>
  <TotalTime>0</TotalTime>
  <ScaleCrop>false</ScaleCrop>
  <LinksUpToDate>false</LinksUpToDate>
  <CharactersWithSpaces>3790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2024-06-14T01:58:00Z</dcterms:created>
  <dc:creator>24403</dc:creator>
  <cp:lastModifiedBy>孙蕾</cp:lastModifiedBy>
  <dcterms:modified xsi:type="dcterms:W3CDTF">2024-10-30T07:01:45Z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EA43D12D8A4A44ADB3F3CAF663B5A9B1_12</vt:lpwstr>
  </property>
</Properties>
</file>