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728EB4">
      <w:pPr>
        <w:spacing w:line="680" w:lineRule="exact"/>
        <w:jc w:val="both"/>
        <w:rPr>
          <w:rFonts w:hint="eastAsia" w:ascii="方正小标宋简体" w:hAnsi="方正小标宋简体" w:eastAsia="方正小标宋简体" w:cs="方正小标宋简体"/>
          <w:b w:val="0"/>
          <w:bCs w:val="0"/>
          <w:w w:val="90"/>
          <w:sz w:val="44"/>
          <w:szCs w:val="44"/>
          <w:lang w:eastAsia="zh-CN"/>
        </w:rPr>
      </w:pPr>
      <w:bookmarkStart w:id="0" w:name="_Hlk135748086"/>
    </w:p>
    <w:p w14:paraId="6E85E3F6">
      <w:pPr>
        <w:spacing w:line="680" w:lineRule="exact"/>
        <w:jc w:val="center"/>
        <w:rPr>
          <w:rFonts w:hint="eastAsia" w:ascii="方正小标宋简体" w:hAnsi="方正小标宋简体" w:eastAsia="方正小标宋简体" w:cs="方正小标宋简体"/>
          <w:b w:val="0"/>
          <w:bCs w:val="0"/>
          <w:w w:val="100"/>
          <w:sz w:val="44"/>
          <w:szCs w:val="44"/>
        </w:rPr>
      </w:pPr>
      <w:r>
        <w:rPr>
          <w:rFonts w:hint="eastAsia" w:ascii="方正小标宋简体" w:hAnsi="方正小标宋简体" w:eastAsia="方正小标宋简体" w:cs="方正小标宋简体"/>
          <w:b w:val="0"/>
          <w:bCs w:val="0"/>
          <w:w w:val="100"/>
          <w:sz w:val="44"/>
          <w:szCs w:val="44"/>
          <w:lang w:eastAsia="zh-CN"/>
        </w:rPr>
        <w:t>关于</w:t>
      </w:r>
      <w:r>
        <w:rPr>
          <w:rFonts w:hint="eastAsia" w:ascii="方正小标宋简体" w:hAnsi="方正小标宋简体" w:eastAsia="方正小标宋简体" w:cs="方正小标宋简体"/>
          <w:b w:val="0"/>
          <w:bCs w:val="0"/>
          <w:w w:val="100"/>
          <w:sz w:val="44"/>
          <w:szCs w:val="44"/>
          <w:lang w:val="en-US" w:eastAsia="zh-CN"/>
        </w:rPr>
        <w:t>印发</w:t>
      </w:r>
      <w:r>
        <w:rPr>
          <w:rFonts w:hint="eastAsia" w:ascii="方正小标宋简体" w:hAnsi="方正小标宋简体" w:eastAsia="方正小标宋简体" w:cs="方正小标宋简体"/>
          <w:b w:val="0"/>
          <w:bCs w:val="0"/>
          <w:w w:val="100"/>
          <w:sz w:val="44"/>
          <w:szCs w:val="44"/>
          <w:lang w:eastAsia="zh-CN"/>
        </w:rPr>
        <w:t>《贵池区石灰石煅烧企业</w:t>
      </w:r>
      <w:r>
        <w:rPr>
          <w:rFonts w:hint="eastAsia" w:ascii="方正小标宋简体" w:hAnsi="方正小标宋简体" w:eastAsia="方正小标宋简体" w:cs="方正小标宋简体"/>
          <w:b w:val="0"/>
          <w:bCs w:val="0"/>
          <w:w w:val="100"/>
          <w:sz w:val="44"/>
          <w:szCs w:val="44"/>
        </w:rPr>
        <w:t>整治</w:t>
      </w:r>
    </w:p>
    <w:p w14:paraId="786B2CAC">
      <w:pPr>
        <w:spacing w:line="680" w:lineRule="exact"/>
        <w:jc w:val="center"/>
        <w:rPr>
          <w:rFonts w:hint="eastAsia" w:ascii="CESI黑体-GB2312" w:hAnsi="CESI黑体-GB2312" w:eastAsia="CESI黑体-GB2312" w:cs="CESI黑体-GB2312"/>
          <w:sz w:val="44"/>
          <w:szCs w:val="44"/>
          <w:lang w:eastAsia="zh-CN"/>
        </w:rPr>
      </w:pPr>
      <w:r>
        <w:rPr>
          <w:rFonts w:hint="eastAsia" w:ascii="方正小标宋简体" w:hAnsi="方正小标宋简体" w:eastAsia="方正小标宋简体" w:cs="方正小标宋简体"/>
          <w:b w:val="0"/>
          <w:bCs w:val="0"/>
          <w:w w:val="100"/>
          <w:sz w:val="44"/>
          <w:szCs w:val="44"/>
        </w:rPr>
        <w:t>提升实施方案</w:t>
      </w:r>
      <w:r>
        <w:rPr>
          <w:rFonts w:hint="eastAsia" w:ascii="方正小标宋简体" w:hAnsi="方正小标宋简体" w:eastAsia="方正小标宋简体" w:cs="方正小标宋简体"/>
          <w:b w:val="0"/>
          <w:bCs w:val="0"/>
          <w:w w:val="100"/>
          <w:sz w:val="44"/>
          <w:szCs w:val="44"/>
          <w:lang w:eastAsia="zh-CN"/>
        </w:rPr>
        <w:t>》的通知</w:t>
      </w:r>
    </w:p>
    <w:p w14:paraId="209258A1">
      <w:pPr>
        <w:spacing w:line="560" w:lineRule="exact"/>
        <w:jc w:val="center"/>
        <w:rPr>
          <w:rFonts w:hint="eastAsia" w:ascii="CESI黑体-GB2312" w:hAnsi="CESI黑体-GB2312" w:eastAsia="CESI黑体-GB2312" w:cs="CESI黑体-GB2312"/>
          <w:sz w:val="44"/>
          <w:szCs w:val="44"/>
          <w:lang w:eastAsia="zh-CN"/>
        </w:rPr>
      </w:pPr>
    </w:p>
    <w:p w14:paraId="71C92DBD">
      <w:pPr>
        <w:spacing w:line="56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贵工信字〔2024〕</w:t>
      </w:r>
      <w:r>
        <w:rPr>
          <w:rFonts w:hint="eastAsia" w:ascii="仿宋_GB2312" w:hAnsi="仿宋_GB2312" w:eastAsia="仿宋_GB2312" w:cs="仿宋_GB2312"/>
          <w:sz w:val="32"/>
          <w:szCs w:val="32"/>
          <w:lang w:val="en-US" w:eastAsia="zh-CN"/>
        </w:rPr>
        <w:t>95</w:t>
      </w:r>
      <w:r>
        <w:rPr>
          <w:rFonts w:hint="eastAsia" w:ascii="仿宋_GB2312" w:hAnsi="仿宋_GB2312" w:eastAsia="仿宋_GB2312" w:cs="仿宋_GB2312"/>
          <w:sz w:val="32"/>
          <w:szCs w:val="32"/>
        </w:rPr>
        <w:t>号</w:t>
      </w:r>
    </w:p>
    <w:p w14:paraId="0E5904EF">
      <w:pPr>
        <w:spacing w:line="560" w:lineRule="exact"/>
        <w:jc w:val="center"/>
        <w:rPr>
          <w:rFonts w:hint="eastAsia" w:ascii="仿宋_GB2312" w:hAnsi="仿宋_GB2312" w:eastAsia="仿宋_GB2312" w:cs="仿宋_GB2312"/>
          <w:sz w:val="32"/>
          <w:szCs w:val="32"/>
          <w:lang w:eastAsia="zh-CN"/>
        </w:rPr>
      </w:pPr>
    </w:p>
    <w:p w14:paraId="101AB5BF">
      <w:pPr>
        <w:spacing w:line="590" w:lineRule="exact"/>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各区直</w:t>
      </w:r>
      <w:r>
        <w:rPr>
          <w:rFonts w:hint="eastAsia" w:ascii="仿宋_GB2312" w:hAnsi="仿宋_GB2312" w:eastAsia="仿宋_GB2312" w:cs="仿宋_GB2312"/>
          <w:sz w:val="32"/>
          <w:szCs w:val="32"/>
          <w:lang w:eastAsia="zh-CN"/>
        </w:rPr>
        <w:t>有关单位</w:t>
      </w:r>
      <w:r>
        <w:rPr>
          <w:rFonts w:hint="eastAsia" w:ascii="仿宋_GB2312" w:hAnsi="仿宋_GB2312" w:eastAsia="仿宋_GB2312" w:cs="仿宋_GB2312"/>
          <w:sz w:val="32"/>
          <w:szCs w:val="32"/>
          <w:lang w:val="en-US" w:eastAsia="zh-CN"/>
        </w:rPr>
        <w:t>，池州高新区，有关镇、街道</w:t>
      </w:r>
      <w:r>
        <w:rPr>
          <w:rFonts w:hint="eastAsia" w:ascii="仿宋_GB2312" w:hAnsi="仿宋_GB2312" w:eastAsia="仿宋_GB2312" w:cs="仿宋_GB2312"/>
          <w:sz w:val="32"/>
          <w:szCs w:val="32"/>
          <w:lang w:eastAsia="zh-CN"/>
        </w:rPr>
        <w:t>：</w:t>
      </w:r>
    </w:p>
    <w:p w14:paraId="64C80810">
      <w:pPr>
        <w:spacing w:line="590" w:lineRule="exact"/>
        <w:ind w:firstLine="640" w:firstLineChars="200"/>
        <w:jc w:val="both"/>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《贵池区石灰石煅烧企业整治提升实施方案》业</w:t>
      </w:r>
      <w:r>
        <w:rPr>
          <w:rFonts w:hint="eastAsia" w:ascii="仿宋_GB2312" w:hAnsi="仿宋_GB2312" w:eastAsia="仿宋_GB2312" w:cs="仿宋_GB2312"/>
          <w:sz w:val="32"/>
          <w:szCs w:val="32"/>
          <w:lang w:val="en-US" w:eastAsia="zh-CN"/>
        </w:rPr>
        <w:t>经区政府领导同意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现印发给你们，请结合实际，认真组织实施。</w:t>
      </w:r>
    </w:p>
    <w:p w14:paraId="008F8904">
      <w:pPr>
        <w:spacing w:line="590" w:lineRule="exact"/>
        <w:jc w:val="both"/>
        <w:rPr>
          <w:rFonts w:hint="eastAsia" w:ascii="仿宋_GB2312" w:hAnsi="仿宋_GB2312" w:eastAsia="仿宋_GB2312" w:cs="仿宋_GB2312"/>
          <w:sz w:val="32"/>
          <w:szCs w:val="32"/>
          <w:lang w:val="en-US" w:eastAsia="zh-CN"/>
        </w:rPr>
      </w:pPr>
    </w:p>
    <w:p w14:paraId="6A22F9B4">
      <w:pPr>
        <w:spacing w:line="590" w:lineRule="exact"/>
        <w:ind w:firstLine="640" w:firstLineChars="200"/>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附件：贵池区石灰石煅烧企业整治提升实施方案</w:t>
      </w:r>
    </w:p>
    <w:p w14:paraId="53BAC9FC">
      <w:pPr>
        <w:spacing w:line="590" w:lineRule="exact"/>
        <w:jc w:val="both"/>
        <w:rPr>
          <w:rFonts w:hint="eastAsia" w:ascii="仿宋_GB2312" w:hAnsi="仿宋_GB2312" w:eastAsia="仿宋_GB2312" w:cs="仿宋_GB2312"/>
          <w:sz w:val="32"/>
          <w:szCs w:val="32"/>
          <w:lang w:eastAsia="zh-CN"/>
        </w:rPr>
      </w:pPr>
    </w:p>
    <w:p w14:paraId="552AED91">
      <w:pPr>
        <w:spacing w:line="590" w:lineRule="exact"/>
        <w:jc w:val="both"/>
        <w:rPr>
          <w:rFonts w:hint="eastAsia" w:ascii="仿宋_GB2312" w:hAnsi="仿宋_GB2312" w:eastAsia="仿宋_GB2312" w:cs="仿宋_GB2312"/>
          <w:sz w:val="32"/>
          <w:szCs w:val="32"/>
          <w:lang w:eastAsia="zh-CN"/>
        </w:rPr>
      </w:pPr>
    </w:p>
    <w:p w14:paraId="300EF2AE">
      <w:pPr>
        <w:spacing w:line="590" w:lineRule="exact"/>
        <w:jc w:val="both"/>
        <w:rPr>
          <w:rFonts w:hint="eastAsia" w:ascii="仿宋_GB2312" w:hAnsi="仿宋_GB2312" w:eastAsia="仿宋_GB2312" w:cs="仿宋_GB2312"/>
          <w:sz w:val="32"/>
          <w:szCs w:val="32"/>
          <w:lang w:val="en-US" w:eastAsia="zh-CN"/>
        </w:rPr>
      </w:pPr>
    </w:p>
    <w:p w14:paraId="4CC1EF4A">
      <w:pPr>
        <w:spacing w:line="590" w:lineRule="exact"/>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池州市贵池区工业和信息化局 </w:t>
      </w:r>
    </w:p>
    <w:p w14:paraId="2B9443AC">
      <w:pPr>
        <w:spacing w:line="590" w:lineRule="exact"/>
        <w:ind w:firstLine="4480" w:firstLineChars="14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2024年8月28日</w:t>
      </w:r>
    </w:p>
    <w:p w14:paraId="0404877F">
      <w:pPr>
        <w:spacing w:line="590" w:lineRule="exact"/>
        <w:ind w:firstLine="6080" w:firstLineChars="1900"/>
        <w:jc w:val="both"/>
        <w:rPr>
          <w:rFonts w:hint="eastAsia" w:ascii="仿宋_GB2312" w:hAnsi="仿宋_GB2312" w:eastAsia="仿宋_GB2312" w:cs="仿宋_GB2312"/>
          <w:sz w:val="32"/>
          <w:szCs w:val="32"/>
          <w:lang w:val="en-US" w:eastAsia="zh-CN"/>
        </w:rPr>
      </w:pPr>
    </w:p>
    <w:p w14:paraId="6A813C76">
      <w:pPr>
        <w:spacing w:line="590" w:lineRule="exact"/>
        <w:ind w:firstLine="6080" w:firstLineChars="1900"/>
        <w:jc w:val="both"/>
        <w:rPr>
          <w:rFonts w:hint="eastAsia" w:ascii="仿宋_GB2312" w:hAnsi="仿宋_GB2312" w:eastAsia="仿宋_GB2312" w:cs="仿宋_GB2312"/>
          <w:sz w:val="32"/>
          <w:szCs w:val="32"/>
          <w:lang w:val="en-US" w:eastAsia="zh-CN"/>
        </w:rPr>
      </w:pPr>
    </w:p>
    <w:p w14:paraId="6B08D01F">
      <w:pPr>
        <w:spacing w:line="590" w:lineRule="exact"/>
        <w:ind w:firstLine="6080" w:firstLineChars="1900"/>
        <w:jc w:val="both"/>
        <w:rPr>
          <w:rFonts w:hint="eastAsia" w:ascii="仿宋_GB2312" w:hAnsi="仿宋_GB2312" w:eastAsia="仿宋_GB2312" w:cs="仿宋_GB2312"/>
          <w:sz w:val="32"/>
          <w:szCs w:val="32"/>
          <w:lang w:val="en-US" w:eastAsia="zh-CN"/>
        </w:rPr>
      </w:pPr>
    </w:p>
    <w:p w14:paraId="2EAEFF6E">
      <w:pPr>
        <w:spacing w:line="590" w:lineRule="exact"/>
        <w:ind w:firstLine="6080" w:firstLineChars="1900"/>
        <w:jc w:val="both"/>
        <w:rPr>
          <w:rFonts w:hint="eastAsia" w:ascii="仿宋_GB2312" w:hAnsi="仿宋_GB2312" w:eastAsia="仿宋_GB2312" w:cs="仿宋_GB2312"/>
          <w:sz w:val="32"/>
          <w:szCs w:val="32"/>
          <w:lang w:val="en-US" w:eastAsia="zh-CN"/>
        </w:rPr>
      </w:pPr>
    </w:p>
    <w:p w14:paraId="2AD8ED93">
      <w:pPr>
        <w:spacing w:line="590" w:lineRule="exact"/>
        <w:ind w:firstLine="6080" w:firstLineChars="1900"/>
        <w:jc w:val="both"/>
        <w:rPr>
          <w:rFonts w:hint="eastAsia" w:ascii="仿宋_GB2312" w:hAnsi="仿宋_GB2312" w:eastAsia="仿宋_GB2312" w:cs="仿宋_GB2312"/>
          <w:sz w:val="32"/>
          <w:szCs w:val="32"/>
          <w:lang w:val="en-US" w:eastAsia="zh-CN"/>
        </w:rPr>
      </w:pPr>
    </w:p>
    <w:p w14:paraId="40DBD572">
      <w:pPr>
        <w:spacing w:line="590" w:lineRule="exact"/>
        <w:ind w:firstLine="6080" w:firstLineChars="1900"/>
        <w:jc w:val="both"/>
        <w:rPr>
          <w:rFonts w:hint="eastAsia" w:ascii="仿宋_GB2312" w:hAnsi="仿宋_GB2312" w:eastAsia="仿宋_GB2312" w:cs="仿宋_GB2312"/>
          <w:sz w:val="32"/>
          <w:szCs w:val="32"/>
          <w:lang w:val="en-US" w:eastAsia="zh-CN"/>
        </w:rPr>
      </w:pPr>
    </w:p>
    <w:p w14:paraId="647912B5">
      <w:pPr>
        <w:spacing w:line="590" w:lineRule="exact"/>
        <w:ind w:firstLine="6080" w:firstLineChars="1900"/>
        <w:jc w:val="both"/>
        <w:rPr>
          <w:rFonts w:hint="eastAsia" w:ascii="仿宋_GB2312" w:hAnsi="仿宋_GB2312" w:eastAsia="仿宋_GB2312" w:cs="仿宋_GB2312"/>
          <w:sz w:val="32"/>
          <w:szCs w:val="32"/>
          <w:lang w:val="en-US" w:eastAsia="zh-CN"/>
        </w:rPr>
      </w:pPr>
      <w:bookmarkStart w:id="1" w:name="_GoBack"/>
      <w:bookmarkEnd w:id="1"/>
    </w:p>
    <w:p w14:paraId="6447B2C8">
      <w:pPr>
        <w:spacing w:line="560" w:lineRule="exact"/>
        <w:jc w:val="center"/>
        <w:rPr>
          <w:rFonts w:hint="eastAsia" w:ascii="方正小标宋_GBK" w:hAnsi="黑体" w:eastAsia="方正小标宋_GBK" w:cs="黑体"/>
          <w:bCs/>
          <w:sz w:val="44"/>
          <w:szCs w:val="44"/>
        </w:rPr>
      </w:pPr>
      <w:r>
        <w:rPr>
          <w:rFonts w:hint="eastAsia" w:ascii="方正小标宋_GBK" w:hAnsi="黑体" w:eastAsia="方正小标宋_GBK" w:cs="黑体"/>
          <w:bCs/>
          <w:sz w:val="44"/>
          <w:szCs w:val="44"/>
          <w:lang w:eastAsia="zh-CN"/>
        </w:rPr>
        <w:t>贵池区石灰石煅烧企业</w:t>
      </w:r>
      <w:r>
        <w:rPr>
          <w:rFonts w:hint="eastAsia" w:ascii="方正小标宋_GBK" w:hAnsi="黑体" w:eastAsia="方正小标宋_GBK" w:cs="黑体"/>
          <w:bCs/>
          <w:sz w:val="44"/>
          <w:szCs w:val="44"/>
        </w:rPr>
        <w:t>整治提升实施方案</w:t>
      </w:r>
    </w:p>
    <w:p w14:paraId="4E4F4C23">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华文楷体" w:hAnsi="华文楷体" w:eastAsia="华文楷体" w:cs="华文楷体"/>
          <w:sz w:val="32"/>
          <w:szCs w:val="32"/>
          <w:lang w:val="en-US" w:eastAsia="zh-CN"/>
        </w:rPr>
      </w:pPr>
    </w:p>
    <w:p w14:paraId="25A9AFA3">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黑体" w:hAnsi="黑体" w:eastAsia="黑体" w:cs="黑体"/>
          <w:sz w:val="32"/>
          <w:szCs w:val="32"/>
          <w:lang w:val="en-US" w:eastAsia="zh-CN"/>
        </w:rPr>
      </w:pPr>
    </w:p>
    <w:p w14:paraId="35B03CCC">
      <w:pPr>
        <w:spacing w:line="600" w:lineRule="exact"/>
        <w:ind w:firstLine="640" w:firstLineChars="200"/>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rPr>
        <w:t>为进一步</w:t>
      </w:r>
      <w:r>
        <w:rPr>
          <w:rFonts w:hint="eastAsia" w:ascii="仿宋_GB2312" w:hAnsi="仿宋_GB2312" w:eastAsia="仿宋_GB2312" w:cs="仿宋_GB2312"/>
          <w:bCs/>
          <w:sz w:val="32"/>
          <w:szCs w:val="32"/>
          <w:lang w:eastAsia="zh-CN"/>
        </w:rPr>
        <w:t>压减</w:t>
      </w:r>
      <w:r>
        <w:rPr>
          <w:rFonts w:hint="eastAsia" w:ascii="仿宋_GB2312" w:hAnsi="仿宋_GB2312" w:eastAsia="仿宋_GB2312" w:cs="仿宋_GB2312"/>
          <w:bCs/>
          <w:sz w:val="32"/>
          <w:szCs w:val="32"/>
        </w:rPr>
        <w:t>我</w:t>
      </w:r>
      <w:r>
        <w:rPr>
          <w:rFonts w:hint="eastAsia" w:ascii="仿宋_GB2312" w:hAnsi="仿宋_GB2312" w:eastAsia="仿宋_GB2312" w:cs="仿宋_GB2312"/>
          <w:bCs/>
          <w:sz w:val="32"/>
          <w:szCs w:val="32"/>
          <w:lang w:eastAsia="zh-CN"/>
        </w:rPr>
        <w:t>区石灰石煅烧企业数量、降低单位工业增加值能耗</w:t>
      </w:r>
      <w:r>
        <w:rPr>
          <w:rFonts w:hint="eastAsia" w:ascii="仿宋_GB2312" w:hAnsi="仿宋_GB2312" w:eastAsia="仿宋_GB2312" w:cs="仿宋_GB2312"/>
          <w:bCs/>
          <w:sz w:val="32"/>
          <w:szCs w:val="32"/>
        </w:rPr>
        <w:t>，提升</w:t>
      </w:r>
      <w:r>
        <w:rPr>
          <w:rFonts w:hint="eastAsia" w:ascii="仿宋_GB2312" w:hAnsi="仿宋_GB2312" w:eastAsia="仿宋_GB2312" w:cs="仿宋_GB2312"/>
          <w:bCs/>
          <w:sz w:val="32"/>
          <w:szCs w:val="32"/>
          <w:lang w:eastAsia="zh-CN"/>
        </w:rPr>
        <w:t>石灰石煅烧</w:t>
      </w:r>
      <w:r>
        <w:rPr>
          <w:rFonts w:hint="eastAsia" w:ascii="仿宋_GB2312" w:hAnsi="仿宋_GB2312" w:eastAsia="仿宋_GB2312" w:cs="仿宋_GB2312"/>
          <w:bCs/>
          <w:sz w:val="32"/>
          <w:szCs w:val="32"/>
        </w:rPr>
        <w:t>企业生产装备、资源利用和安全环保水平，</w:t>
      </w:r>
      <w:r>
        <w:rPr>
          <w:rFonts w:hint="eastAsia" w:ascii="仿宋_GB2312" w:hAnsi="仿宋_GB2312" w:eastAsia="仿宋_GB2312" w:cs="仿宋_GB2312"/>
          <w:bCs/>
          <w:sz w:val="32"/>
          <w:szCs w:val="32"/>
          <w:lang w:eastAsia="zh-CN"/>
        </w:rPr>
        <w:t>推进石灰石煅烧企业低碳、绿色</w:t>
      </w:r>
      <w:r>
        <w:rPr>
          <w:rFonts w:hint="eastAsia" w:ascii="仿宋_GB2312" w:hAnsi="仿宋_GB2312" w:eastAsia="仿宋_GB2312" w:cs="仿宋_GB2312"/>
          <w:bCs/>
          <w:sz w:val="32"/>
          <w:szCs w:val="32"/>
        </w:rPr>
        <w:t>发展，根据</w:t>
      </w:r>
      <w:r>
        <w:rPr>
          <w:rFonts w:hint="eastAsia" w:ascii="仿宋_GB2312" w:hAnsi="仿宋_GB2312" w:eastAsia="仿宋_GB2312" w:cs="仿宋_GB2312"/>
          <w:bCs/>
          <w:sz w:val="32"/>
          <w:szCs w:val="32"/>
          <w:lang w:eastAsia="zh-CN"/>
        </w:rPr>
        <w:t>《贵池区实施“三绿共建”推进矿业经济转型高质量发展行动方案》要求</w:t>
      </w:r>
      <w:r>
        <w:rPr>
          <w:rFonts w:hint="eastAsia" w:ascii="仿宋_GB2312" w:hAnsi="仿宋_GB2312" w:eastAsia="仿宋_GB2312" w:cs="仿宋_GB2312"/>
          <w:bCs/>
          <w:sz w:val="32"/>
          <w:szCs w:val="32"/>
        </w:rPr>
        <w:t>，结合我</w:t>
      </w:r>
      <w:r>
        <w:rPr>
          <w:rFonts w:hint="eastAsia" w:ascii="仿宋_GB2312" w:hAnsi="仿宋_GB2312" w:eastAsia="仿宋_GB2312" w:cs="仿宋_GB2312"/>
          <w:bCs/>
          <w:sz w:val="32"/>
          <w:szCs w:val="32"/>
          <w:lang w:eastAsia="zh-CN"/>
        </w:rPr>
        <w:t>区</w:t>
      </w:r>
      <w:r>
        <w:rPr>
          <w:rFonts w:hint="eastAsia" w:ascii="仿宋_GB2312" w:hAnsi="仿宋_GB2312" w:eastAsia="仿宋_GB2312" w:cs="仿宋_GB2312"/>
          <w:bCs/>
          <w:sz w:val="32"/>
          <w:szCs w:val="32"/>
        </w:rPr>
        <w:t>实际，决定</w:t>
      </w:r>
      <w:r>
        <w:rPr>
          <w:rFonts w:hint="eastAsia" w:ascii="仿宋_GB2312" w:hAnsi="仿宋_GB2312" w:eastAsia="仿宋_GB2312" w:cs="仿宋_GB2312"/>
          <w:bCs/>
          <w:sz w:val="32"/>
          <w:szCs w:val="32"/>
          <w:lang w:eastAsia="zh-CN"/>
        </w:rPr>
        <w:t>开展石灰石煅烧企业整治提升行动。</w:t>
      </w:r>
      <w:r>
        <w:rPr>
          <w:rFonts w:hint="eastAsia" w:ascii="仿宋_GB2312" w:hAnsi="仿宋_GB2312" w:eastAsia="仿宋_GB2312" w:cs="仿宋_GB2312"/>
          <w:sz w:val="32"/>
          <w:szCs w:val="32"/>
        </w:rPr>
        <w:t>现将具体实施方案明确如下</w:t>
      </w:r>
      <w:r>
        <w:rPr>
          <w:rFonts w:hint="eastAsia" w:ascii="仿宋_GB2312" w:hAnsi="仿宋_GB2312" w:eastAsia="仿宋_GB2312" w:cs="仿宋_GB2312"/>
          <w:sz w:val="32"/>
          <w:szCs w:val="32"/>
          <w:lang w:eastAsia="zh-CN"/>
        </w:rPr>
        <w:t>：</w:t>
      </w:r>
    </w:p>
    <w:p w14:paraId="1CC222CE">
      <w:pPr>
        <w:spacing w:line="600" w:lineRule="exact"/>
        <w:ind w:firstLine="640" w:firstLineChars="200"/>
        <w:rPr>
          <w:rFonts w:hint="eastAsia" w:ascii="黑体" w:hAnsi="黑体" w:eastAsia="黑体" w:cs="黑体"/>
          <w:bCs/>
          <w:sz w:val="32"/>
          <w:szCs w:val="32"/>
        </w:rPr>
      </w:pPr>
      <w:r>
        <w:rPr>
          <w:rFonts w:hint="eastAsia" w:ascii="黑体" w:hAnsi="黑体" w:eastAsia="黑体" w:cs="黑体"/>
          <w:bCs/>
          <w:sz w:val="32"/>
          <w:szCs w:val="32"/>
        </w:rPr>
        <w:t>一、整治范围</w:t>
      </w:r>
    </w:p>
    <w:p w14:paraId="751204EF">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w:t>
      </w:r>
      <w:r>
        <w:rPr>
          <w:rFonts w:hint="eastAsia" w:ascii="仿宋_GB2312" w:hAnsi="仿宋_GB2312" w:eastAsia="仿宋_GB2312" w:cs="仿宋_GB2312"/>
          <w:sz w:val="32"/>
          <w:szCs w:val="32"/>
          <w:lang w:eastAsia="zh-CN"/>
        </w:rPr>
        <w:t>区</w:t>
      </w:r>
      <w:r>
        <w:rPr>
          <w:rFonts w:hint="eastAsia" w:ascii="仿宋_GB2312" w:hAnsi="仿宋_GB2312" w:eastAsia="仿宋_GB2312" w:cs="仿宋_GB2312"/>
          <w:sz w:val="32"/>
          <w:szCs w:val="32"/>
        </w:rPr>
        <w:t>范围内</w:t>
      </w:r>
      <w:r>
        <w:rPr>
          <w:rFonts w:hint="eastAsia" w:ascii="仿宋_GB2312" w:hAnsi="仿宋_GB2312" w:eastAsia="仿宋_GB2312" w:cs="仿宋_GB2312"/>
          <w:sz w:val="32"/>
          <w:szCs w:val="32"/>
          <w:lang w:eastAsia="zh-CN"/>
        </w:rPr>
        <w:t>石灰石煅烧</w:t>
      </w:r>
      <w:r>
        <w:rPr>
          <w:rFonts w:hint="eastAsia" w:ascii="仿宋_GB2312" w:hAnsi="仿宋_GB2312" w:eastAsia="仿宋_GB2312" w:cs="仿宋_GB2312"/>
          <w:sz w:val="32"/>
          <w:szCs w:val="32"/>
        </w:rPr>
        <w:t>加工企业。</w:t>
      </w:r>
    </w:p>
    <w:p w14:paraId="6F13AE52">
      <w:pPr>
        <w:spacing w:line="600" w:lineRule="exact"/>
        <w:ind w:firstLine="640"/>
        <w:rPr>
          <w:rFonts w:hint="eastAsia" w:ascii="黑体" w:hAnsi="黑体" w:eastAsia="黑体" w:cs="黑体"/>
          <w:bCs/>
          <w:sz w:val="32"/>
          <w:szCs w:val="32"/>
        </w:rPr>
      </w:pPr>
      <w:r>
        <w:rPr>
          <w:rFonts w:hint="eastAsia" w:ascii="黑体" w:hAnsi="黑体" w:eastAsia="黑体" w:cs="黑体"/>
          <w:bCs/>
          <w:sz w:val="32"/>
          <w:szCs w:val="32"/>
        </w:rPr>
        <w:t>二、工作目标</w:t>
      </w:r>
    </w:p>
    <w:p w14:paraId="37DDA5C6">
      <w:pPr>
        <w:spacing w:line="600" w:lineRule="exact"/>
        <w:ind w:firstLine="640" w:firstLineChars="200"/>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eastAsia="zh-CN"/>
        </w:rPr>
        <w:t>到202</w:t>
      </w:r>
      <w:r>
        <w:rPr>
          <w:rFonts w:hint="eastAsia" w:ascii="仿宋_GB2312" w:hAnsi="仿宋_GB2312" w:eastAsia="仿宋_GB2312" w:cs="仿宋_GB2312"/>
          <w:bCs/>
          <w:sz w:val="32"/>
          <w:szCs w:val="32"/>
          <w:lang w:val="en-US" w:eastAsia="zh-CN"/>
        </w:rPr>
        <w:t>5</w:t>
      </w:r>
      <w:r>
        <w:rPr>
          <w:rFonts w:hint="eastAsia" w:ascii="仿宋_GB2312" w:hAnsi="仿宋_GB2312" w:eastAsia="仿宋_GB2312" w:cs="仿宋_GB2312"/>
          <w:bCs/>
          <w:sz w:val="32"/>
          <w:szCs w:val="32"/>
          <w:lang w:eastAsia="zh-CN"/>
        </w:rPr>
        <w:t>年底，</w:t>
      </w:r>
      <w:r>
        <w:rPr>
          <w:rFonts w:hint="eastAsia" w:ascii="仿宋_GB2312" w:hAnsi="仿宋_GB2312" w:eastAsia="仿宋_GB2312" w:cs="仿宋_GB2312"/>
          <w:bCs/>
          <w:sz w:val="32"/>
          <w:szCs w:val="32"/>
          <w:lang w:val="en-US" w:eastAsia="zh-CN"/>
        </w:rPr>
        <w:t>石灰石煅烧企业严格执行氧化钙工段颗粒物20mg/m3、二氧化硫100mg/m3、氮氧化物200mg/m3（基准氧含量10%）排放限值，氢氧化钙、轻质碳酸钙工段10mg/m3、二氧化硫100mg/m3、氮氧化物100mg/m3排放限值。</w:t>
      </w:r>
      <w:r>
        <w:rPr>
          <w:rFonts w:hint="eastAsia" w:ascii="仿宋_GB2312" w:hAnsi="仿宋_GB2312" w:eastAsia="仿宋_GB2312" w:cs="仿宋_GB2312"/>
          <w:bCs/>
          <w:sz w:val="32"/>
          <w:szCs w:val="32"/>
          <w:lang w:eastAsia="zh-CN"/>
        </w:rPr>
        <w:t>煅烧项目所使用窑炉单位产品能耗≤12</w:t>
      </w:r>
      <w:r>
        <w:rPr>
          <w:rFonts w:hint="eastAsia" w:ascii="仿宋_GB2312" w:hAnsi="仿宋_GB2312" w:eastAsia="仿宋_GB2312" w:cs="仿宋_GB2312"/>
          <w:bCs/>
          <w:sz w:val="32"/>
          <w:szCs w:val="32"/>
          <w:lang w:val="en-US" w:eastAsia="zh-CN"/>
        </w:rPr>
        <w:t>0</w:t>
      </w:r>
      <w:r>
        <w:rPr>
          <w:rFonts w:hint="eastAsia" w:ascii="仿宋_GB2312" w:hAnsi="仿宋_GB2312" w:eastAsia="仿宋_GB2312" w:cs="仿宋_GB2312"/>
          <w:bCs/>
          <w:sz w:val="32"/>
          <w:szCs w:val="32"/>
          <w:lang w:eastAsia="zh-CN"/>
        </w:rPr>
        <w:t>Kgce/t。石灰石煅烧企业控制在10家左右。</w:t>
      </w:r>
    </w:p>
    <w:p w14:paraId="1A3942B4">
      <w:pPr>
        <w:spacing w:line="600" w:lineRule="exact"/>
        <w:ind w:firstLine="640" w:firstLineChars="200"/>
        <w:rPr>
          <w:rFonts w:hint="eastAsia" w:ascii="黑体" w:hAnsi="黑体" w:eastAsia="黑体" w:cs="黑体"/>
          <w:bCs/>
          <w:sz w:val="32"/>
          <w:szCs w:val="32"/>
          <w:lang w:eastAsia="zh-CN"/>
        </w:rPr>
      </w:pPr>
      <w:r>
        <w:rPr>
          <w:rFonts w:hint="eastAsia" w:ascii="黑体" w:hAnsi="黑体" w:eastAsia="黑体" w:cs="黑体"/>
          <w:bCs/>
          <w:sz w:val="32"/>
          <w:szCs w:val="32"/>
          <w:lang w:eastAsia="zh-CN"/>
        </w:rPr>
        <w:t>三</w:t>
      </w:r>
      <w:r>
        <w:rPr>
          <w:rFonts w:hint="eastAsia" w:ascii="黑体" w:hAnsi="黑体" w:eastAsia="黑体" w:cs="黑体"/>
          <w:bCs/>
          <w:sz w:val="32"/>
          <w:szCs w:val="32"/>
        </w:rPr>
        <w:t>、</w:t>
      </w:r>
      <w:r>
        <w:rPr>
          <w:rFonts w:hint="eastAsia" w:ascii="黑体" w:hAnsi="黑体" w:eastAsia="黑体" w:cs="黑体"/>
          <w:bCs/>
          <w:sz w:val="32"/>
          <w:szCs w:val="32"/>
          <w:lang w:eastAsia="zh-CN"/>
        </w:rPr>
        <w:t>工作安排</w:t>
      </w:r>
    </w:p>
    <w:p w14:paraId="26034273">
      <w:pPr>
        <w:spacing w:line="600" w:lineRule="exact"/>
        <w:ind w:firstLine="643"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eastAsia="zh-CN"/>
        </w:rPr>
        <w:t>（一）开展绿色企业评定（</w:t>
      </w:r>
      <w:r>
        <w:rPr>
          <w:rFonts w:hint="eastAsia" w:ascii="仿宋_GB2312" w:hAnsi="仿宋_GB2312" w:eastAsia="仿宋_GB2312" w:cs="仿宋_GB2312"/>
          <w:b/>
          <w:bCs/>
          <w:sz w:val="32"/>
          <w:szCs w:val="32"/>
          <w:lang w:val="en-US" w:eastAsia="zh-CN"/>
        </w:rPr>
        <w:t>2024年9月底前</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sz w:val="32"/>
          <w:szCs w:val="32"/>
          <w:lang w:eastAsia="zh-CN"/>
        </w:rPr>
        <w:t>根据《贵池区矿产品煅烧企业绿色提升标准》，</w:t>
      </w:r>
      <w:r>
        <w:rPr>
          <w:rFonts w:hint="eastAsia" w:ascii="仿宋_GB2312" w:hAnsi="仿宋_GB2312" w:eastAsia="仿宋_GB2312" w:cs="仿宋_GB2312"/>
          <w:sz w:val="32"/>
          <w:szCs w:val="32"/>
          <w:lang w:val="en-US" w:eastAsia="zh-CN"/>
        </w:rPr>
        <w:t>由区工信局牵头，组织相关责任部门</w:t>
      </w:r>
      <w:r>
        <w:rPr>
          <w:rFonts w:hint="eastAsia" w:ascii="仿宋_GB2312" w:hAnsi="仿宋_GB2312" w:eastAsia="仿宋_GB2312" w:cs="仿宋_GB2312"/>
          <w:sz w:val="32"/>
          <w:szCs w:val="32"/>
          <w:lang w:eastAsia="zh-CN"/>
        </w:rPr>
        <w:t>对所有在产石灰石煅烧企业进行对标打分（</w:t>
      </w:r>
      <w:r>
        <w:rPr>
          <w:rFonts w:hint="eastAsia" w:ascii="仿宋_GB2312" w:hAnsi="仿宋_GB2312" w:eastAsia="仿宋_GB2312" w:cs="仿宋_GB2312"/>
          <w:sz w:val="32"/>
          <w:szCs w:val="32"/>
          <w:lang w:val="en-US" w:eastAsia="zh-CN"/>
        </w:rPr>
        <w:t>见附表）</w:t>
      </w:r>
      <w:r>
        <w:rPr>
          <w:rFonts w:hint="eastAsia" w:ascii="仿宋_GB2312" w:hAnsi="仿宋_GB2312" w:eastAsia="仿宋_GB2312" w:cs="仿宋_GB2312"/>
          <w:sz w:val="32"/>
          <w:szCs w:val="32"/>
          <w:lang w:eastAsia="zh-CN"/>
        </w:rPr>
        <w:t>，得分</w:t>
      </w:r>
      <w:r>
        <w:rPr>
          <w:rFonts w:hint="eastAsia" w:ascii="仿宋_GB2312" w:hAnsi="仿宋_GB2312" w:eastAsia="仿宋_GB2312" w:cs="仿宋_GB2312"/>
          <w:sz w:val="32"/>
          <w:szCs w:val="32"/>
          <w:lang w:val="en-US" w:eastAsia="zh-CN"/>
        </w:rPr>
        <w:t>90分以上的认定为区级绿色煅烧企业，低于90分的不予认定。</w:t>
      </w:r>
    </w:p>
    <w:p w14:paraId="7A9D5551">
      <w:pPr>
        <w:pStyle w:val="6"/>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kern w:val="2"/>
          <w:sz w:val="32"/>
          <w:szCs w:val="32"/>
          <w:lang w:val="en-US" w:eastAsia="zh-CN" w:bidi="ar-SA"/>
        </w:rPr>
        <w:t>（二）整改提升（2024年10月-12月）。</w:t>
      </w:r>
      <w:r>
        <w:rPr>
          <w:rFonts w:hint="eastAsia" w:ascii="仿宋_GB2312" w:hAnsi="仿宋_GB2312" w:eastAsia="仿宋_GB2312" w:cs="仿宋_GB2312"/>
          <w:sz w:val="32"/>
          <w:szCs w:val="32"/>
          <w:lang w:val="en-US" w:eastAsia="zh-CN"/>
        </w:rPr>
        <w:t>对未认定为区级绿色煅烧企业的，相关部门及企业所在地镇街要积极指导企业进行整改提升，实行“边生产边整改”。经三个月的整改后还不能达到区级绿色煅烧企业标准的责令停产整改，直至经验收达标后方可恢复生产。</w:t>
      </w:r>
    </w:p>
    <w:p w14:paraId="06FE3AE7">
      <w:pPr>
        <w:pStyle w:val="7"/>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baseline"/>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b/>
          <w:bCs/>
          <w:kern w:val="2"/>
          <w:sz w:val="32"/>
          <w:szCs w:val="32"/>
          <w:lang w:val="en-US" w:eastAsia="zh-CN" w:bidi="ar-SA"/>
        </w:rPr>
        <w:t>(三）分类施策（2024年12月底前）。</w:t>
      </w:r>
      <w:r>
        <w:rPr>
          <w:rFonts w:hint="eastAsia" w:ascii="仿宋_GB2312" w:hAnsi="仿宋_GB2312" w:eastAsia="仿宋_GB2312" w:cs="仿宋_GB2312"/>
          <w:b/>
          <w:bCs/>
          <w:sz w:val="32"/>
          <w:szCs w:val="32"/>
          <w:lang w:val="en-US" w:eastAsia="zh-CN"/>
        </w:rPr>
        <w:t>一是</w:t>
      </w:r>
      <w:r>
        <w:rPr>
          <w:rFonts w:hint="eastAsia" w:ascii="仿宋_GB2312" w:hAnsi="仿宋_GB2312" w:eastAsia="仿宋_GB2312" w:cs="仿宋_GB2312"/>
          <w:sz w:val="32"/>
          <w:szCs w:val="32"/>
          <w:lang w:val="en-US" w:eastAsia="zh-CN"/>
        </w:rPr>
        <w:t>对矿山配套的石灰石煅烧企业，鼓励该类企业退出石灰石煅烧产能，同时区政府将在矿山资源配置及矿山扩规等方面予以支持。力争在年底前针对恒盛钙业、银旺钙业等有配套矿山的石灰石煅烧企业实施“一企一策”。</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color w:val="auto"/>
          <w:sz w:val="32"/>
          <w:szCs w:val="32"/>
          <w:lang w:val="en-US" w:eastAsia="zh-CN"/>
        </w:rPr>
        <w:t>对在建即将投产的企业，待企业正式投产试生产半年后，企业须达到绿色企业标准，未达标的比照“整改提升”程序执行。</w:t>
      </w:r>
      <w:r>
        <w:rPr>
          <w:rFonts w:hint="eastAsia" w:ascii="仿宋_GB2312" w:hAnsi="仿宋_GB2312" w:eastAsia="仿宋_GB2312" w:cs="仿宋_GB2312"/>
          <w:b/>
          <w:bCs/>
          <w:color w:val="auto"/>
          <w:sz w:val="32"/>
          <w:szCs w:val="32"/>
          <w:lang w:val="en-US" w:eastAsia="zh-CN"/>
        </w:rPr>
        <w:t>三是</w:t>
      </w:r>
      <w:r>
        <w:rPr>
          <w:rFonts w:hint="eastAsia" w:ascii="仿宋_GB2312" w:hAnsi="仿宋_GB2312" w:eastAsia="仿宋_GB2312" w:cs="仿宋_GB2312"/>
          <w:sz w:val="32"/>
          <w:szCs w:val="32"/>
          <w:lang w:val="en-US" w:eastAsia="zh-CN"/>
        </w:rPr>
        <w:t>对无矿山的石灰石煅烧企业，</w:t>
      </w:r>
      <w:r>
        <w:rPr>
          <w:rFonts w:hint="eastAsia" w:ascii="仿宋_GB2312" w:hAnsi="仿宋_GB2312" w:eastAsia="仿宋_GB2312" w:cs="仿宋_GB2312"/>
          <w:color w:val="auto"/>
          <w:sz w:val="32"/>
          <w:szCs w:val="32"/>
        </w:rPr>
        <w:t>严格落实企业</w:t>
      </w:r>
      <w:r>
        <w:rPr>
          <w:rFonts w:hint="eastAsia" w:ascii="仿宋_GB2312" w:hAnsi="仿宋_GB2312" w:eastAsia="仿宋_GB2312" w:cs="仿宋_GB2312"/>
          <w:color w:val="auto"/>
          <w:sz w:val="32"/>
          <w:szCs w:val="32"/>
          <w:lang w:eastAsia="zh-CN"/>
        </w:rPr>
        <w:t>排放标准，</w:t>
      </w:r>
      <w:r>
        <w:rPr>
          <w:rFonts w:hint="eastAsia" w:ascii="仿宋_GB2312" w:hAnsi="仿宋_GB2312" w:eastAsia="仿宋_GB2312" w:cs="仿宋_GB2312"/>
          <w:color w:val="auto"/>
          <w:sz w:val="32"/>
          <w:szCs w:val="32"/>
        </w:rPr>
        <w:t>引导企业加快转型升级</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加大清洁能源推广应用，鼓励企业实施“煤改气”</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实现大气污染和二氧化碳排放源头削减。企业</w:t>
      </w:r>
      <w:r>
        <w:rPr>
          <w:rFonts w:hint="eastAsia" w:ascii="仿宋_GB2312" w:hAnsi="仿宋_GB2312" w:eastAsia="仿宋_GB2312" w:cs="仿宋_GB2312"/>
          <w:color w:val="auto"/>
          <w:sz w:val="32"/>
          <w:szCs w:val="32"/>
          <w:lang w:eastAsia="zh-CN"/>
        </w:rPr>
        <w:t>要</w:t>
      </w:r>
      <w:r>
        <w:rPr>
          <w:rFonts w:hint="eastAsia" w:ascii="仿宋_GB2312" w:hAnsi="仿宋_GB2312" w:eastAsia="仿宋_GB2312" w:cs="仿宋_GB2312"/>
          <w:color w:val="auto"/>
          <w:sz w:val="32"/>
          <w:szCs w:val="32"/>
        </w:rPr>
        <w:t>延伸下游产业链，积极开发下游产品</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提高亩均效益水平</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b/>
          <w:bCs/>
          <w:color w:val="auto"/>
          <w:sz w:val="32"/>
          <w:szCs w:val="32"/>
          <w:lang w:val="en-US" w:eastAsia="zh-CN"/>
        </w:rPr>
        <w:t>四是</w:t>
      </w:r>
      <w:r>
        <w:rPr>
          <w:rFonts w:hint="eastAsia" w:ascii="仿宋_GB2312" w:hAnsi="仿宋_GB2312" w:eastAsia="仿宋_GB2312" w:cs="仿宋_GB2312"/>
          <w:color w:val="auto"/>
          <w:sz w:val="32"/>
          <w:szCs w:val="32"/>
          <w:lang w:val="en-US" w:eastAsia="zh-CN"/>
        </w:rPr>
        <w:t>对目前行业最先进的麦尔兹双膛窑企业，利用双膛窑高温废气对石灰石预热功能，发挥麦尔兹双膛石灰窑高效、连续的石灰生产及高产量、高效率和低能耗优势，切实降低全区石灰石加工行业单位产品能耗水平。</w:t>
      </w:r>
    </w:p>
    <w:p w14:paraId="16E71F8E">
      <w:pPr>
        <w:pStyle w:val="6"/>
        <w:rPr>
          <w:rFonts w:hint="eastAsia" w:ascii="仿宋_GB2312" w:hAnsi="仿宋_GB2312" w:eastAsia="仿宋_GB2312" w:cs="仿宋_GB2312"/>
          <w:bCs/>
          <w:sz w:val="32"/>
          <w:szCs w:val="32"/>
        </w:rPr>
      </w:pPr>
      <w:r>
        <w:rPr>
          <w:rFonts w:hint="eastAsia" w:ascii="黑体" w:hAnsi="黑体" w:eastAsia="黑体" w:cs="黑体"/>
          <w:bCs/>
          <w:sz w:val="32"/>
          <w:szCs w:val="32"/>
          <w:lang w:val="en-US" w:eastAsia="zh-CN"/>
        </w:rPr>
        <w:t>四、</w:t>
      </w:r>
      <w:r>
        <w:rPr>
          <w:rFonts w:hint="eastAsia" w:ascii="黑体" w:hAnsi="黑体" w:eastAsia="黑体" w:cs="黑体"/>
          <w:bCs/>
          <w:sz w:val="32"/>
          <w:szCs w:val="32"/>
        </w:rPr>
        <w:t>保障措施</w:t>
      </w:r>
    </w:p>
    <w:p w14:paraId="5201F6CE">
      <w:pPr>
        <w:pStyle w:val="6"/>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1.加强组织领导。</w:t>
      </w:r>
      <w:r>
        <w:rPr>
          <w:rFonts w:hint="eastAsia" w:ascii="仿宋_GB2312" w:hAnsi="仿宋_GB2312" w:eastAsia="仿宋_GB2312" w:cs="仿宋_GB2312"/>
          <w:sz w:val="32"/>
          <w:szCs w:val="32"/>
        </w:rPr>
        <w:t>成立</w:t>
      </w:r>
      <w:r>
        <w:rPr>
          <w:rFonts w:hint="eastAsia" w:ascii="仿宋_GB2312" w:hAnsi="仿宋_GB2312" w:eastAsia="仿宋_GB2312" w:cs="仿宋_GB2312"/>
          <w:sz w:val="32"/>
          <w:szCs w:val="32"/>
          <w:lang w:eastAsia="zh-CN"/>
        </w:rPr>
        <w:t>贵池区石灰石煅烧企业</w:t>
      </w:r>
      <w:r>
        <w:rPr>
          <w:rFonts w:hint="eastAsia" w:ascii="仿宋_GB2312" w:hAnsi="仿宋_GB2312" w:eastAsia="仿宋_GB2312" w:cs="仿宋_GB2312"/>
          <w:sz w:val="32"/>
          <w:szCs w:val="32"/>
        </w:rPr>
        <w:t>整治提升</w:t>
      </w:r>
      <w:r>
        <w:rPr>
          <w:rFonts w:hint="eastAsia" w:ascii="仿宋_GB2312" w:hAnsi="仿宋_GB2312" w:eastAsia="仿宋_GB2312" w:cs="仿宋_GB2312"/>
          <w:sz w:val="32"/>
          <w:szCs w:val="32"/>
          <w:lang w:val="en-US" w:eastAsia="zh-CN"/>
        </w:rPr>
        <w:t>工作专班</w:t>
      </w:r>
      <w:r>
        <w:rPr>
          <w:rFonts w:hint="eastAsia" w:ascii="仿宋_GB2312" w:hAnsi="仿宋_GB2312" w:eastAsia="仿宋_GB2312" w:cs="仿宋_GB2312"/>
          <w:sz w:val="32"/>
          <w:szCs w:val="32"/>
        </w:rPr>
        <w:t>，由</w:t>
      </w:r>
      <w:r>
        <w:rPr>
          <w:rFonts w:hint="eastAsia" w:ascii="仿宋_GB2312" w:hAnsi="仿宋_GB2312" w:eastAsia="仿宋_GB2312" w:cs="仿宋_GB2312"/>
          <w:sz w:val="32"/>
          <w:szCs w:val="32"/>
          <w:lang w:val="en-US" w:eastAsia="zh-CN"/>
        </w:rPr>
        <w:t>区政府分管区长任组长，区工信局、区自规局主要负责同志任副组长，区发改委、工信局</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生态环境分局、自规</w:t>
      </w:r>
      <w:r>
        <w:rPr>
          <w:rFonts w:hint="eastAsia" w:ascii="仿宋_GB2312" w:hAnsi="仿宋_GB2312" w:eastAsia="仿宋_GB2312" w:cs="仿宋_GB2312"/>
          <w:sz w:val="32"/>
          <w:szCs w:val="32"/>
        </w:rPr>
        <w:t>局、住建局、</w:t>
      </w:r>
      <w:r>
        <w:rPr>
          <w:rFonts w:hint="eastAsia" w:ascii="仿宋_GB2312" w:hAnsi="仿宋_GB2312" w:eastAsia="仿宋_GB2312" w:cs="仿宋_GB2312"/>
          <w:sz w:val="32"/>
          <w:szCs w:val="32"/>
          <w:lang w:val="en-US" w:eastAsia="zh-CN"/>
        </w:rPr>
        <w:t>应急管理</w:t>
      </w:r>
      <w:r>
        <w:rPr>
          <w:rFonts w:hint="eastAsia" w:ascii="仿宋_GB2312" w:hAnsi="仿宋_GB2312" w:eastAsia="仿宋_GB2312" w:cs="仿宋_GB2312"/>
          <w:sz w:val="32"/>
          <w:szCs w:val="32"/>
        </w:rPr>
        <w:t>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卫健委及各有关镇街分管</w:t>
      </w:r>
      <w:r>
        <w:rPr>
          <w:rFonts w:hint="eastAsia" w:ascii="仿宋_GB2312" w:hAnsi="仿宋_GB2312" w:eastAsia="仿宋_GB2312" w:cs="仿宋_GB2312"/>
          <w:sz w:val="32"/>
          <w:szCs w:val="32"/>
        </w:rPr>
        <w:t>领导为成员。</w:t>
      </w:r>
      <w:r>
        <w:rPr>
          <w:rFonts w:hint="eastAsia" w:ascii="仿宋_GB2312" w:hAnsi="仿宋_GB2312" w:eastAsia="仿宋_GB2312" w:cs="仿宋_GB2312"/>
          <w:sz w:val="32"/>
          <w:szCs w:val="32"/>
          <w:lang w:val="en-US" w:eastAsia="zh-CN"/>
        </w:rPr>
        <w:t>工作专班在区实施“三绿共建”推进矿业经济转型高质量发展行动</w:t>
      </w:r>
      <w:r>
        <w:rPr>
          <w:rFonts w:hint="eastAsia" w:ascii="仿宋_GB2312" w:hAnsi="仿宋_GB2312" w:eastAsia="仿宋_GB2312" w:cs="仿宋_GB2312"/>
          <w:sz w:val="32"/>
          <w:szCs w:val="32"/>
        </w:rPr>
        <w:t>领导小组领导下开展工作。</w:t>
      </w:r>
      <w:r>
        <w:rPr>
          <w:rFonts w:hint="eastAsia" w:ascii="仿宋_GB2312" w:hAnsi="仿宋_GB2312" w:eastAsia="仿宋_GB2312" w:cs="仿宋_GB2312"/>
          <w:sz w:val="32"/>
          <w:szCs w:val="32"/>
          <w:lang w:val="en-US" w:eastAsia="zh-CN"/>
        </w:rPr>
        <w:t>工作专班</w:t>
      </w:r>
      <w:r>
        <w:rPr>
          <w:rFonts w:hint="eastAsia" w:ascii="仿宋_GB2312" w:hAnsi="仿宋_GB2312" w:eastAsia="仿宋_GB2312" w:cs="仿宋_GB2312"/>
          <w:sz w:val="32"/>
          <w:szCs w:val="32"/>
        </w:rPr>
        <w:t>负责统筹、协调、验收</w:t>
      </w:r>
      <w:r>
        <w:rPr>
          <w:rFonts w:hint="eastAsia" w:ascii="仿宋_GB2312" w:hAnsi="仿宋_GB2312" w:eastAsia="仿宋_GB2312" w:cs="仿宋_GB2312"/>
          <w:sz w:val="32"/>
          <w:szCs w:val="32"/>
          <w:lang w:val="en-US" w:eastAsia="zh-CN"/>
        </w:rPr>
        <w:t>全区</w:t>
      </w:r>
      <w:r>
        <w:rPr>
          <w:rFonts w:hint="eastAsia" w:ascii="仿宋_GB2312" w:hAnsi="仿宋_GB2312" w:eastAsia="仿宋_GB2312" w:cs="仿宋_GB2312"/>
          <w:kern w:val="2"/>
          <w:sz w:val="32"/>
          <w:szCs w:val="32"/>
          <w:lang w:val="en-US" w:eastAsia="zh-CN" w:bidi="ar-SA"/>
        </w:rPr>
        <w:t>石灰石煅烧企业整治提升</w:t>
      </w:r>
      <w:r>
        <w:rPr>
          <w:rFonts w:hint="eastAsia" w:ascii="仿宋_GB2312" w:hAnsi="仿宋_GB2312" w:eastAsia="仿宋_GB2312" w:cs="仿宋_GB2312"/>
          <w:sz w:val="32"/>
          <w:szCs w:val="32"/>
        </w:rPr>
        <w:t>工作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工作专班下设办公室，办公室日常工作由区工</w:t>
      </w:r>
      <w:r>
        <w:rPr>
          <w:rFonts w:hint="eastAsia" w:ascii="仿宋_GB2312" w:hAnsi="仿宋_GB2312" w:eastAsia="仿宋_GB2312" w:cs="仿宋_GB2312"/>
          <w:sz w:val="32"/>
          <w:szCs w:val="32"/>
        </w:rPr>
        <w:t>信局</w:t>
      </w:r>
      <w:r>
        <w:rPr>
          <w:rFonts w:hint="eastAsia" w:ascii="仿宋_GB2312" w:hAnsi="仿宋_GB2312" w:eastAsia="仿宋_GB2312" w:cs="仿宋_GB2312"/>
          <w:sz w:val="32"/>
          <w:szCs w:val="32"/>
          <w:lang w:val="en-US" w:eastAsia="zh-CN"/>
        </w:rPr>
        <w:t>承担</w:t>
      </w:r>
      <w:r>
        <w:rPr>
          <w:rFonts w:hint="eastAsia" w:ascii="仿宋_GB2312" w:hAnsi="仿宋_GB2312" w:eastAsia="仿宋_GB2312" w:cs="仿宋_GB2312"/>
          <w:sz w:val="32"/>
          <w:szCs w:val="32"/>
        </w:rPr>
        <w:t>。</w:t>
      </w:r>
    </w:p>
    <w:p w14:paraId="70BF2CB0">
      <w:pPr>
        <w:spacing w:line="600" w:lineRule="exact"/>
        <w:ind w:firstLine="643" w:firstLineChars="200"/>
        <w:rPr>
          <w:rFonts w:hint="eastAsia" w:ascii="仿宋_GB2312" w:hAnsi="仿宋_GB2312" w:eastAsia="仿宋_GB2312" w:cs="仿宋_GB2312"/>
          <w:kern w:val="0"/>
          <w:sz w:val="32"/>
          <w:szCs w:val="32"/>
          <w:shd w:val="clear" w:color="auto" w:fill="FFFFFF"/>
          <w:lang w:bidi="ar"/>
        </w:rPr>
      </w:pPr>
      <w:r>
        <w:rPr>
          <w:rFonts w:hint="eastAsia" w:ascii="仿宋_GB2312" w:hAnsi="仿宋_GB2312" w:eastAsia="仿宋_GB2312" w:cs="仿宋_GB2312"/>
          <w:b/>
          <w:bCs/>
          <w:sz w:val="32"/>
          <w:szCs w:val="32"/>
        </w:rPr>
        <w:t>2</w:t>
      </w:r>
      <w:r>
        <w:rPr>
          <w:rFonts w:ascii="仿宋_GB2312" w:hAnsi="仿宋_GB2312" w:eastAsia="仿宋_GB2312" w:cs="仿宋_GB2312"/>
          <w:b/>
          <w:bCs/>
          <w:sz w:val="32"/>
          <w:szCs w:val="32"/>
        </w:rPr>
        <w:t>.</w:t>
      </w:r>
      <w:r>
        <w:rPr>
          <w:rFonts w:hint="eastAsia" w:ascii="仿宋_GB2312" w:hAnsi="仿宋_GB2312" w:eastAsia="仿宋_GB2312" w:cs="仿宋_GB2312"/>
          <w:b/>
          <w:bCs/>
          <w:sz w:val="32"/>
          <w:szCs w:val="32"/>
        </w:rPr>
        <w:t>强化宣传引导。</w:t>
      </w:r>
      <w:r>
        <w:rPr>
          <w:rFonts w:hint="eastAsia" w:ascii="仿宋_GB2312" w:hAnsi="仿宋_GB2312" w:eastAsia="仿宋_GB2312" w:cs="仿宋_GB2312"/>
          <w:color w:val="auto"/>
          <w:sz w:val="32"/>
          <w:szCs w:val="32"/>
          <w:lang w:val="en-US" w:eastAsia="zh-CN"/>
        </w:rPr>
        <w:t>各有关镇街道和区直有关部门要广泛宣传</w:t>
      </w:r>
      <w:r>
        <w:rPr>
          <w:rFonts w:hint="eastAsia" w:ascii="仿宋_GB2312" w:hAnsi="仿宋_GB2312" w:eastAsia="仿宋_GB2312" w:cs="仿宋_GB2312"/>
          <w:sz w:val="32"/>
          <w:szCs w:val="32"/>
          <w:lang w:eastAsia="zh-CN"/>
        </w:rPr>
        <w:t>石灰石煅烧企业</w:t>
      </w:r>
      <w:r>
        <w:rPr>
          <w:rFonts w:hint="eastAsia" w:ascii="仿宋_GB2312" w:hAnsi="仿宋_GB2312" w:eastAsia="仿宋_GB2312" w:cs="仿宋_GB2312"/>
          <w:sz w:val="32"/>
          <w:szCs w:val="32"/>
        </w:rPr>
        <w:t>整治提升</w:t>
      </w:r>
      <w:r>
        <w:rPr>
          <w:rFonts w:hint="eastAsia" w:ascii="仿宋_GB2312" w:hAnsi="仿宋_GB2312" w:eastAsia="仿宋_GB2312" w:cs="仿宋_GB2312"/>
          <w:color w:val="auto"/>
          <w:sz w:val="32"/>
          <w:szCs w:val="32"/>
          <w:lang w:val="en-US" w:eastAsia="zh-CN"/>
        </w:rPr>
        <w:t>典型经验和进展成效，加强舆论宣传引导，提高社会各界对</w:t>
      </w:r>
      <w:r>
        <w:rPr>
          <w:rFonts w:hint="eastAsia" w:ascii="仿宋_GB2312" w:hAnsi="仿宋_GB2312" w:eastAsia="仿宋_GB2312" w:cs="仿宋_GB2312"/>
          <w:sz w:val="32"/>
          <w:szCs w:val="32"/>
          <w:lang w:eastAsia="zh-CN"/>
        </w:rPr>
        <w:t>石灰石煅烧企业</w:t>
      </w:r>
      <w:r>
        <w:rPr>
          <w:rFonts w:hint="eastAsia" w:ascii="仿宋_GB2312" w:hAnsi="仿宋_GB2312" w:eastAsia="仿宋_GB2312" w:cs="仿宋_GB2312"/>
          <w:sz w:val="32"/>
          <w:szCs w:val="32"/>
        </w:rPr>
        <w:t>整治提升</w:t>
      </w:r>
      <w:r>
        <w:rPr>
          <w:rFonts w:hint="eastAsia" w:ascii="仿宋_GB2312" w:hAnsi="仿宋_GB2312" w:eastAsia="仿宋_GB2312" w:cs="仿宋_GB2312"/>
          <w:color w:val="auto"/>
          <w:sz w:val="32"/>
          <w:szCs w:val="32"/>
          <w:lang w:val="en-US" w:eastAsia="zh-CN"/>
        </w:rPr>
        <w:t>的认识，营造良好的舆论氛围。</w:t>
      </w:r>
      <w:r>
        <w:rPr>
          <w:rFonts w:hint="eastAsia" w:ascii="仿宋_GB2312" w:hAnsi="仿宋_GB2312" w:eastAsia="仿宋_GB2312" w:cs="仿宋_GB2312"/>
          <w:kern w:val="0"/>
          <w:sz w:val="32"/>
          <w:szCs w:val="32"/>
          <w:shd w:val="clear" w:color="auto" w:fill="FFFFFF"/>
          <w:lang w:bidi="ar"/>
        </w:rPr>
        <w:t>各</w:t>
      </w:r>
      <w:r>
        <w:rPr>
          <w:rFonts w:hint="eastAsia" w:ascii="仿宋_GB2312" w:hAnsi="仿宋_GB2312" w:eastAsia="仿宋_GB2312" w:cs="仿宋_GB2312"/>
          <w:kern w:val="0"/>
          <w:sz w:val="32"/>
          <w:szCs w:val="32"/>
          <w:shd w:val="clear" w:color="auto" w:fill="FFFFFF"/>
          <w:lang w:val="en-US" w:eastAsia="zh-CN" w:bidi="ar"/>
        </w:rPr>
        <w:t>有关镇街道</w:t>
      </w:r>
      <w:r>
        <w:rPr>
          <w:rFonts w:hint="eastAsia" w:ascii="仿宋_GB2312" w:hAnsi="仿宋_GB2312" w:eastAsia="仿宋_GB2312" w:cs="仿宋_GB2312"/>
          <w:kern w:val="0"/>
          <w:sz w:val="32"/>
          <w:szCs w:val="32"/>
          <w:shd w:val="clear" w:color="auto" w:fill="FFFFFF"/>
          <w:lang w:bidi="ar"/>
        </w:rPr>
        <w:t>要积极深入企业开展政策宣传，强化舆论引导，将整治提升工作的重要意义和有关政策宣传到位，减少工作阻力，夯实工作基础。</w:t>
      </w:r>
    </w:p>
    <w:p w14:paraId="7215068E">
      <w:pPr>
        <w:spacing w:line="600" w:lineRule="exact"/>
        <w:ind w:firstLine="643" w:firstLineChars="200"/>
        <w:rPr>
          <w:rFonts w:hint="default" w:ascii="仿宋_GB2312" w:eastAsia="仿宋_GB2312"/>
          <w:color w:val="000000"/>
          <w:sz w:val="32"/>
          <w:szCs w:val="32"/>
          <w:lang w:val="en-US"/>
        </w:rPr>
        <w:sectPr>
          <w:footerReference r:id="rId3" w:type="default"/>
          <w:pgSz w:w="11906" w:h="16838"/>
          <w:pgMar w:top="1440" w:right="1800" w:bottom="1440" w:left="1800" w:header="851" w:footer="992" w:gutter="0"/>
          <w:cols w:space="425" w:num="1"/>
          <w:docGrid w:type="lines" w:linePitch="312" w:charSpace="0"/>
        </w:sectPr>
      </w:pP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rPr>
        <w:t>.严格</w:t>
      </w:r>
      <w:r>
        <w:rPr>
          <w:rFonts w:hint="eastAsia" w:ascii="仿宋_GB2312" w:hAnsi="仿宋_GB2312" w:eastAsia="仿宋_GB2312" w:cs="仿宋_GB2312"/>
          <w:b/>
          <w:bCs/>
          <w:sz w:val="32"/>
          <w:szCs w:val="32"/>
          <w:lang w:val="en-US" w:eastAsia="zh-CN"/>
        </w:rPr>
        <w:t>企业评定</w:t>
      </w:r>
      <w:r>
        <w:rPr>
          <w:rFonts w:hint="eastAsia" w:ascii="仿宋_GB2312" w:hAnsi="仿宋_GB2312" w:eastAsia="仿宋_GB2312" w:cs="仿宋_GB2312"/>
          <w:b/>
          <w:bCs/>
          <w:sz w:val="32"/>
          <w:szCs w:val="32"/>
        </w:rPr>
        <w:t>。</w:t>
      </w:r>
      <w:r>
        <w:rPr>
          <w:rFonts w:hint="eastAsia" w:ascii="仿宋_GB2312" w:hAnsi="仿宋_GB2312" w:eastAsia="仿宋_GB2312" w:cs="仿宋_GB2312"/>
          <w:kern w:val="0"/>
          <w:sz w:val="32"/>
          <w:szCs w:val="32"/>
          <w:shd w:val="clear" w:color="auto" w:fill="FFFFFF"/>
          <w:lang w:bidi="ar"/>
        </w:rPr>
        <w:t>由</w:t>
      </w:r>
      <w:r>
        <w:rPr>
          <w:rFonts w:hint="eastAsia" w:ascii="仿宋_GB2312" w:hAnsi="仿宋_GB2312" w:eastAsia="仿宋_GB2312" w:cs="仿宋_GB2312"/>
          <w:kern w:val="0"/>
          <w:sz w:val="32"/>
          <w:szCs w:val="32"/>
          <w:shd w:val="clear" w:color="auto" w:fill="FFFFFF"/>
          <w:lang w:val="en-US" w:eastAsia="zh-CN" w:bidi="ar"/>
        </w:rPr>
        <w:t>工作专班办公室</w:t>
      </w:r>
      <w:r>
        <w:rPr>
          <w:rFonts w:hint="eastAsia" w:ascii="仿宋_GB2312" w:hAnsi="仿宋_GB2312" w:eastAsia="仿宋_GB2312" w:cs="仿宋_GB2312"/>
          <w:kern w:val="0"/>
          <w:sz w:val="32"/>
          <w:szCs w:val="32"/>
          <w:shd w:val="clear" w:color="auto" w:fill="FFFFFF"/>
          <w:lang w:bidi="ar"/>
        </w:rPr>
        <w:t>牵头，</w:t>
      </w:r>
      <w:r>
        <w:rPr>
          <w:rFonts w:hint="eastAsia" w:ascii="仿宋_GB2312" w:hAnsi="仿宋_GB2312" w:eastAsia="仿宋_GB2312" w:cs="仿宋_GB2312"/>
          <w:kern w:val="0"/>
          <w:sz w:val="32"/>
          <w:szCs w:val="32"/>
          <w:shd w:val="clear" w:color="auto" w:fill="FFFFFF"/>
          <w:lang w:val="en-US" w:eastAsia="zh-CN" w:bidi="ar"/>
        </w:rPr>
        <w:t>区</w:t>
      </w:r>
      <w:r>
        <w:rPr>
          <w:rFonts w:hint="eastAsia" w:ascii="仿宋_GB2312" w:hAnsi="仿宋_GB2312" w:eastAsia="仿宋_GB2312" w:cs="仿宋_GB2312"/>
          <w:sz w:val="32"/>
          <w:szCs w:val="32"/>
          <w:lang w:val="en-US" w:eastAsia="zh-CN"/>
        </w:rPr>
        <w:t>发改委、工信局</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生态环境分局、</w:t>
      </w:r>
      <w:r>
        <w:rPr>
          <w:rFonts w:hint="eastAsia" w:ascii="仿宋_GB2312" w:hAnsi="仿宋_GB2312" w:eastAsia="仿宋_GB2312" w:cs="仿宋_GB2312"/>
          <w:sz w:val="32"/>
          <w:szCs w:val="32"/>
        </w:rPr>
        <w:t>住建局、</w:t>
      </w:r>
      <w:r>
        <w:rPr>
          <w:rFonts w:hint="eastAsia" w:ascii="仿宋_GB2312" w:hAnsi="仿宋_GB2312" w:eastAsia="仿宋_GB2312" w:cs="仿宋_GB2312"/>
          <w:sz w:val="32"/>
          <w:szCs w:val="32"/>
          <w:lang w:val="en-US" w:eastAsia="zh-CN"/>
        </w:rPr>
        <w:t>应急管理</w:t>
      </w:r>
      <w:r>
        <w:rPr>
          <w:rFonts w:hint="eastAsia" w:ascii="仿宋_GB2312" w:hAnsi="仿宋_GB2312" w:eastAsia="仿宋_GB2312" w:cs="仿宋_GB2312"/>
          <w:sz w:val="32"/>
          <w:szCs w:val="32"/>
        </w:rPr>
        <w:t>局</w:t>
      </w:r>
      <w:r>
        <w:rPr>
          <w:rFonts w:hint="eastAsia" w:ascii="仿宋_GB2312" w:hAnsi="仿宋_GB2312" w:eastAsia="仿宋_GB2312" w:cs="仿宋_GB2312"/>
          <w:kern w:val="0"/>
          <w:sz w:val="32"/>
          <w:szCs w:val="32"/>
          <w:shd w:val="clear" w:color="auto" w:fill="FFFFFF"/>
          <w:lang w:bidi="ar"/>
        </w:rPr>
        <w:t>及相关乡镇（街道）组成</w:t>
      </w:r>
      <w:r>
        <w:rPr>
          <w:rFonts w:hint="eastAsia" w:ascii="仿宋_GB2312" w:hAnsi="仿宋_GB2312" w:eastAsia="仿宋_GB2312" w:cs="仿宋_GB2312"/>
          <w:kern w:val="0"/>
          <w:sz w:val="32"/>
          <w:szCs w:val="32"/>
          <w:shd w:val="clear" w:color="auto" w:fill="FFFFFF"/>
          <w:lang w:val="en-US" w:eastAsia="zh-CN" w:bidi="ar"/>
        </w:rPr>
        <w:t>绿色企业</w:t>
      </w:r>
      <w:r>
        <w:rPr>
          <w:rFonts w:hint="eastAsia" w:ascii="仿宋_GB2312" w:hAnsi="仿宋_GB2312" w:eastAsia="仿宋_GB2312" w:cs="仿宋_GB2312"/>
          <w:kern w:val="0"/>
          <w:sz w:val="32"/>
          <w:szCs w:val="32"/>
          <w:shd w:val="clear" w:color="auto" w:fill="FFFFFF"/>
          <w:lang w:bidi="ar"/>
        </w:rPr>
        <w:t>验收工作组，对已</w:t>
      </w:r>
      <w:r>
        <w:rPr>
          <w:rFonts w:hint="eastAsia" w:ascii="仿宋_GB2312" w:hAnsi="仿宋_GB2312" w:eastAsia="仿宋_GB2312" w:cs="仿宋_GB2312"/>
          <w:kern w:val="0"/>
          <w:sz w:val="32"/>
          <w:szCs w:val="32"/>
          <w:shd w:val="clear" w:color="auto" w:fill="FFFFFF"/>
          <w:lang w:val="en-US" w:eastAsia="zh-CN" w:bidi="ar"/>
        </w:rPr>
        <w:t>达到绿色企业标准或经</w:t>
      </w:r>
      <w:r>
        <w:rPr>
          <w:rFonts w:hint="eastAsia" w:ascii="仿宋_GB2312" w:hAnsi="仿宋_GB2312" w:eastAsia="仿宋_GB2312" w:cs="仿宋_GB2312"/>
          <w:kern w:val="0"/>
          <w:sz w:val="32"/>
          <w:szCs w:val="32"/>
          <w:shd w:val="clear" w:color="auto" w:fill="FFFFFF"/>
          <w:lang w:bidi="ar"/>
        </w:rPr>
        <w:t>整改</w:t>
      </w:r>
      <w:r>
        <w:rPr>
          <w:rFonts w:hint="eastAsia" w:ascii="仿宋_GB2312" w:hAnsi="仿宋_GB2312" w:eastAsia="仿宋_GB2312" w:cs="仿宋_GB2312"/>
          <w:kern w:val="0"/>
          <w:sz w:val="32"/>
          <w:szCs w:val="32"/>
          <w:shd w:val="clear" w:color="auto" w:fill="FFFFFF"/>
          <w:lang w:val="en-US" w:eastAsia="zh-CN" w:bidi="ar"/>
        </w:rPr>
        <w:t>后达到绿色企业标准</w:t>
      </w:r>
      <w:r>
        <w:rPr>
          <w:rFonts w:hint="eastAsia" w:ascii="仿宋_GB2312" w:hAnsi="仿宋_GB2312" w:eastAsia="仿宋_GB2312" w:cs="仿宋_GB2312"/>
          <w:kern w:val="0"/>
          <w:sz w:val="32"/>
          <w:szCs w:val="32"/>
          <w:shd w:val="clear" w:color="auto" w:fill="FFFFFF"/>
          <w:lang w:bidi="ar"/>
        </w:rPr>
        <w:t>的企业进行现场验收。验收工作组要坚持实事求是的原则，</w:t>
      </w:r>
      <w:r>
        <w:rPr>
          <w:rFonts w:hint="eastAsia" w:ascii="仿宋_GB2312" w:hAnsi="仿宋_GB2312" w:eastAsia="仿宋_GB2312" w:cs="仿宋_GB2312"/>
          <w:kern w:val="0"/>
          <w:sz w:val="32"/>
          <w:szCs w:val="32"/>
          <w:shd w:val="clear" w:color="auto" w:fill="FFFFFF"/>
          <w:lang w:val="en-US" w:eastAsia="zh-CN" w:bidi="ar"/>
        </w:rPr>
        <w:t>各有关部门各司其职，</w:t>
      </w:r>
      <w:r>
        <w:rPr>
          <w:rFonts w:hint="eastAsia" w:ascii="仿宋_GB2312" w:hAnsi="仿宋_GB2312" w:eastAsia="仿宋_GB2312" w:cs="仿宋_GB2312"/>
          <w:kern w:val="0"/>
          <w:sz w:val="32"/>
          <w:szCs w:val="32"/>
          <w:shd w:val="clear" w:color="auto" w:fill="FFFFFF"/>
          <w:lang w:bidi="ar"/>
        </w:rPr>
        <w:t>严格按照</w:t>
      </w:r>
      <w:r>
        <w:rPr>
          <w:rFonts w:hint="eastAsia" w:ascii="仿宋_GB2312" w:hAnsi="仿宋_GB2312" w:eastAsia="仿宋_GB2312" w:cs="仿宋_GB2312"/>
          <w:kern w:val="0"/>
          <w:sz w:val="32"/>
          <w:szCs w:val="32"/>
          <w:shd w:val="clear" w:color="auto" w:fill="FFFFFF"/>
          <w:lang w:val="en-US" w:eastAsia="zh-CN" w:bidi="ar"/>
        </w:rPr>
        <w:t>贵池区矿产品煅烧企业绿色提升</w:t>
      </w:r>
      <w:r>
        <w:rPr>
          <w:rFonts w:hint="eastAsia" w:ascii="仿宋_GB2312" w:hAnsi="仿宋_GB2312" w:eastAsia="仿宋_GB2312" w:cs="仿宋_GB2312"/>
          <w:kern w:val="0"/>
          <w:sz w:val="32"/>
          <w:szCs w:val="32"/>
          <w:shd w:val="clear" w:color="auto" w:fill="FFFFFF"/>
          <w:lang w:bidi="ar"/>
        </w:rPr>
        <w:t>标准要求，认真开展验收工作，不得随意降低标准，确保验收公平、公正。</w:t>
      </w:r>
      <w:r>
        <w:rPr>
          <w:rFonts w:hint="eastAsia" w:ascii="仿宋_GB2312" w:hAnsi="仿宋_GB2312" w:eastAsia="仿宋_GB2312" w:cs="仿宋_GB2312"/>
          <w:kern w:val="0"/>
          <w:sz w:val="32"/>
          <w:szCs w:val="32"/>
          <w:shd w:val="clear" w:color="auto" w:fill="FFFFFF"/>
          <w:lang w:val="en-US" w:eastAsia="zh-CN" w:bidi="ar"/>
        </w:rPr>
        <w:t>达标企业由工作专班统一对外公布。</w:t>
      </w:r>
    </w:p>
    <w:p w14:paraId="4540AF04">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b w:val="0"/>
          <w:bCs w:val="0"/>
          <w:color w:val="000000"/>
          <w:kern w:val="0"/>
          <w:sz w:val="28"/>
          <w:szCs w:val="28"/>
          <w:lang w:val="en-US" w:eastAsia="zh-CN"/>
        </w:rPr>
      </w:pPr>
      <w:r>
        <w:rPr>
          <w:rFonts w:hint="eastAsia" w:ascii="宋体" w:hAnsi="宋体" w:eastAsia="宋体" w:cs="宋体"/>
          <w:b w:val="0"/>
          <w:bCs w:val="0"/>
          <w:color w:val="000000"/>
          <w:kern w:val="0"/>
          <w:sz w:val="28"/>
          <w:szCs w:val="28"/>
          <w:lang w:val="en-US" w:eastAsia="zh-CN"/>
        </w:rPr>
        <w:t>附表：</w:t>
      </w:r>
    </w:p>
    <w:p w14:paraId="68FCC309">
      <w:pPr>
        <w:jc w:val="center"/>
        <w:rPr>
          <w:rFonts w:hint="eastAsia"/>
        </w:rPr>
      </w:pPr>
      <w:r>
        <w:rPr>
          <w:rFonts w:hint="eastAsia" w:ascii="方正小标宋简体" w:hAnsi="方正小标宋简体" w:eastAsia="方正小标宋简体" w:cs="方正小标宋简体"/>
          <w:b/>
          <w:bCs/>
          <w:kern w:val="0"/>
          <w:sz w:val="44"/>
          <w:szCs w:val="44"/>
        </w:rPr>
        <w:t>贵池区绿色</w:t>
      </w:r>
      <w:r>
        <w:rPr>
          <w:rFonts w:hint="eastAsia" w:ascii="方正小标宋简体" w:hAnsi="方正小标宋简体" w:eastAsia="方正小标宋简体" w:cs="方正小标宋简体"/>
          <w:b/>
          <w:bCs/>
          <w:kern w:val="0"/>
          <w:sz w:val="44"/>
          <w:szCs w:val="44"/>
          <w:lang w:val="en-US" w:eastAsia="zh-CN"/>
        </w:rPr>
        <w:t>煅烧企业</w:t>
      </w:r>
      <w:r>
        <w:rPr>
          <w:rFonts w:hint="eastAsia" w:ascii="方正小标宋简体" w:hAnsi="方正小标宋简体" w:eastAsia="方正小标宋简体" w:cs="方正小标宋简体"/>
          <w:b/>
          <w:bCs/>
          <w:kern w:val="0"/>
          <w:sz w:val="44"/>
          <w:szCs w:val="44"/>
          <w:lang w:eastAsia="zh-CN"/>
        </w:rPr>
        <w:t>创建</w:t>
      </w:r>
      <w:r>
        <w:rPr>
          <w:rFonts w:hint="eastAsia" w:ascii="方正小标宋简体" w:hAnsi="方正小标宋简体" w:eastAsia="方正小标宋简体" w:cs="方正小标宋简体"/>
          <w:b/>
          <w:bCs/>
          <w:kern w:val="0"/>
          <w:sz w:val="44"/>
          <w:szCs w:val="44"/>
        </w:rPr>
        <w:t>评价指标</w:t>
      </w:r>
    </w:p>
    <w:p w14:paraId="60DDD1D9">
      <w:pPr>
        <w:widowControl/>
        <w:spacing w:line="240" w:lineRule="exact"/>
      </w:pPr>
    </w:p>
    <w:tbl>
      <w:tblPr>
        <w:tblStyle w:val="4"/>
        <w:tblW w:w="13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2"/>
        <w:gridCol w:w="4812"/>
        <w:gridCol w:w="829"/>
        <w:gridCol w:w="4324"/>
        <w:gridCol w:w="1867"/>
        <w:gridCol w:w="722"/>
      </w:tblGrid>
      <w:tr w14:paraId="7DF60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blHeader/>
          <w:jc w:val="center"/>
        </w:trPr>
        <w:tc>
          <w:tcPr>
            <w:tcW w:w="952" w:type="dxa"/>
            <w:noWrap w:val="0"/>
            <w:vAlign w:val="center"/>
          </w:tcPr>
          <w:p w14:paraId="637D8BD6">
            <w:pPr>
              <w:widowControl/>
              <w:spacing w:line="240" w:lineRule="exact"/>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一级</w:t>
            </w:r>
          </w:p>
        </w:tc>
        <w:tc>
          <w:tcPr>
            <w:tcW w:w="4812" w:type="dxa"/>
            <w:noWrap w:val="0"/>
            <w:vAlign w:val="center"/>
          </w:tcPr>
          <w:p w14:paraId="578A6386">
            <w:pPr>
              <w:widowControl/>
              <w:spacing w:line="240" w:lineRule="exact"/>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二级</w:t>
            </w:r>
          </w:p>
        </w:tc>
        <w:tc>
          <w:tcPr>
            <w:tcW w:w="829" w:type="dxa"/>
            <w:noWrap w:val="0"/>
            <w:vAlign w:val="center"/>
          </w:tcPr>
          <w:p w14:paraId="6DAF9F02">
            <w:pPr>
              <w:widowControl/>
              <w:spacing w:line="240" w:lineRule="exact"/>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标准分</w:t>
            </w:r>
          </w:p>
        </w:tc>
        <w:tc>
          <w:tcPr>
            <w:tcW w:w="4324" w:type="dxa"/>
            <w:noWrap w:val="0"/>
            <w:vAlign w:val="center"/>
          </w:tcPr>
          <w:p w14:paraId="3B3AC396">
            <w:pPr>
              <w:widowControl/>
              <w:spacing w:line="240" w:lineRule="exact"/>
              <w:jc w:val="center"/>
              <w:rPr>
                <w:rFonts w:hint="eastAsia" w:ascii="宋体" w:hAnsi="宋体" w:eastAsia="宋体" w:cs="宋体"/>
                <w:b/>
                <w:bCs/>
                <w:color w:val="000000"/>
                <w:kern w:val="0"/>
                <w:sz w:val="20"/>
                <w:szCs w:val="20"/>
                <w:lang w:eastAsia="zh-CN"/>
              </w:rPr>
            </w:pPr>
            <w:r>
              <w:rPr>
                <w:rFonts w:hint="eastAsia" w:ascii="宋体" w:hAnsi="宋体" w:eastAsia="宋体" w:cs="宋体"/>
                <w:b/>
                <w:bCs/>
                <w:color w:val="000000"/>
                <w:kern w:val="0"/>
                <w:sz w:val="20"/>
                <w:szCs w:val="20"/>
              </w:rPr>
              <w:t>评分</w:t>
            </w:r>
            <w:r>
              <w:rPr>
                <w:rFonts w:hint="eastAsia" w:ascii="宋体" w:hAnsi="宋体" w:cs="宋体"/>
                <w:b/>
                <w:bCs/>
                <w:color w:val="000000"/>
                <w:kern w:val="0"/>
                <w:sz w:val="20"/>
                <w:szCs w:val="20"/>
                <w:lang w:eastAsia="zh-CN"/>
              </w:rPr>
              <w:t>标准</w:t>
            </w:r>
          </w:p>
        </w:tc>
        <w:tc>
          <w:tcPr>
            <w:tcW w:w="1867" w:type="dxa"/>
            <w:noWrap w:val="0"/>
            <w:vAlign w:val="center"/>
          </w:tcPr>
          <w:p w14:paraId="57D94D9A">
            <w:pPr>
              <w:widowControl/>
              <w:spacing w:line="240" w:lineRule="exact"/>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责任单位</w:t>
            </w:r>
          </w:p>
        </w:tc>
        <w:tc>
          <w:tcPr>
            <w:tcW w:w="722" w:type="dxa"/>
            <w:noWrap w:val="0"/>
            <w:vAlign w:val="center"/>
          </w:tcPr>
          <w:p w14:paraId="0B37051F">
            <w:pPr>
              <w:widowControl/>
              <w:spacing w:line="240" w:lineRule="exact"/>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得分</w:t>
            </w:r>
          </w:p>
        </w:tc>
      </w:tr>
      <w:tr w14:paraId="1B388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952" w:type="dxa"/>
            <w:vMerge w:val="restart"/>
            <w:noWrap w:val="0"/>
            <w:vAlign w:val="center"/>
          </w:tcPr>
          <w:p w14:paraId="250CBA69">
            <w:pPr>
              <w:widowControl/>
              <w:spacing w:line="240" w:lineRule="exact"/>
              <w:jc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(一）设备及工艺</w:t>
            </w:r>
          </w:p>
        </w:tc>
        <w:tc>
          <w:tcPr>
            <w:tcW w:w="4812" w:type="dxa"/>
            <w:noWrap w:val="0"/>
            <w:vAlign w:val="center"/>
          </w:tcPr>
          <w:p w14:paraId="4C5B00CF">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1.煅烧设备及工艺采用《产业结构调整指导目录》鼓励类工艺和装备；</w:t>
            </w:r>
          </w:p>
        </w:tc>
        <w:tc>
          <w:tcPr>
            <w:tcW w:w="829" w:type="dxa"/>
            <w:noWrap w:val="0"/>
            <w:vAlign w:val="center"/>
          </w:tcPr>
          <w:p w14:paraId="08AEF78C">
            <w:pPr>
              <w:widowControl/>
              <w:spacing w:line="240" w:lineRule="exact"/>
              <w:jc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5</w:t>
            </w:r>
          </w:p>
        </w:tc>
        <w:tc>
          <w:tcPr>
            <w:tcW w:w="4324" w:type="dxa"/>
            <w:noWrap w:val="0"/>
            <w:vAlign w:val="center"/>
          </w:tcPr>
          <w:p w14:paraId="4E7520DB">
            <w:pPr>
              <w:spacing w:line="240" w:lineRule="exact"/>
              <w:rPr>
                <w:rFonts w:hint="default" w:ascii="宋体" w:hAnsi="宋体" w:eastAsia="宋体" w:cs="宋体"/>
                <w:kern w:val="0"/>
                <w:sz w:val="18"/>
                <w:szCs w:val="18"/>
                <w:lang w:val="en-US" w:eastAsia="zh-CN"/>
              </w:rPr>
            </w:pPr>
            <w:r>
              <w:rPr>
                <w:rFonts w:hint="eastAsia" w:ascii="宋体" w:hAnsi="宋体" w:cs="宋体"/>
                <w:kern w:val="0"/>
                <w:sz w:val="18"/>
                <w:szCs w:val="18"/>
                <w:lang w:eastAsia="zh-CN"/>
              </w:rPr>
              <w:t>例：</w:t>
            </w:r>
            <w:r>
              <w:rPr>
                <w:rFonts w:hint="eastAsia" w:ascii="宋体" w:hAnsi="宋体" w:eastAsia="宋体" w:cs="宋体"/>
                <w:kern w:val="0"/>
                <w:sz w:val="18"/>
                <w:szCs w:val="18"/>
              </w:rPr>
              <w:t>煅烧设备及工艺</w:t>
            </w:r>
            <w:r>
              <w:rPr>
                <w:rFonts w:hint="eastAsia" w:ascii="宋体" w:hAnsi="宋体" w:cs="宋体"/>
                <w:kern w:val="0"/>
                <w:sz w:val="18"/>
                <w:szCs w:val="18"/>
                <w:lang w:val="en-US" w:eastAsia="zh-CN"/>
              </w:rPr>
              <w:t>符合最新版</w:t>
            </w:r>
            <w:r>
              <w:rPr>
                <w:rFonts w:hint="eastAsia" w:ascii="宋体" w:hAnsi="宋体" w:eastAsia="宋体" w:cs="宋体"/>
                <w:kern w:val="0"/>
                <w:sz w:val="18"/>
                <w:szCs w:val="18"/>
              </w:rPr>
              <w:t>《产业结构调整指导目录》鼓励类</w:t>
            </w:r>
            <w:r>
              <w:rPr>
                <w:rFonts w:hint="eastAsia" w:ascii="宋体" w:hAnsi="宋体" w:cs="宋体"/>
                <w:kern w:val="0"/>
                <w:sz w:val="18"/>
                <w:szCs w:val="18"/>
                <w:lang w:val="en-US" w:eastAsia="zh-CN"/>
              </w:rPr>
              <w:t>的</w:t>
            </w:r>
            <w:r>
              <w:rPr>
                <w:rFonts w:hint="eastAsia" w:ascii="宋体" w:hAnsi="宋体" w:eastAsia="宋体" w:cs="宋体"/>
                <w:kern w:val="0"/>
                <w:sz w:val="18"/>
                <w:szCs w:val="18"/>
              </w:rPr>
              <w:t>，得5分</w:t>
            </w:r>
            <w:r>
              <w:rPr>
                <w:rFonts w:hint="eastAsia" w:ascii="宋体" w:hAnsi="宋体" w:cs="宋体"/>
                <w:kern w:val="0"/>
                <w:sz w:val="18"/>
                <w:szCs w:val="18"/>
                <w:lang w:eastAsia="zh-CN"/>
              </w:rPr>
              <w:t>；发现淘汰类设备及工艺的，发现一例扣</w:t>
            </w:r>
            <w:r>
              <w:rPr>
                <w:rFonts w:hint="eastAsia" w:ascii="宋体" w:hAnsi="宋体" w:cs="宋体"/>
                <w:kern w:val="0"/>
                <w:sz w:val="18"/>
                <w:szCs w:val="18"/>
                <w:lang w:val="en-US" w:eastAsia="zh-CN"/>
              </w:rPr>
              <w:t>1分，直至扣完。</w:t>
            </w:r>
          </w:p>
        </w:tc>
        <w:tc>
          <w:tcPr>
            <w:tcW w:w="1867" w:type="dxa"/>
            <w:noWrap w:val="0"/>
            <w:vAlign w:val="center"/>
          </w:tcPr>
          <w:p w14:paraId="7EFD9D68">
            <w:pPr>
              <w:widowControl/>
              <w:spacing w:line="240" w:lineRule="exact"/>
              <w:jc w:val="center"/>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区发改委、区工信局</w:t>
            </w:r>
          </w:p>
        </w:tc>
        <w:tc>
          <w:tcPr>
            <w:tcW w:w="722" w:type="dxa"/>
            <w:noWrap w:val="0"/>
            <w:vAlign w:val="center"/>
          </w:tcPr>
          <w:p w14:paraId="5C1CAB2C">
            <w:pPr>
              <w:widowControl/>
              <w:spacing w:line="240" w:lineRule="exact"/>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14:paraId="5C105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952" w:type="dxa"/>
            <w:vMerge w:val="continue"/>
            <w:noWrap w:val="0"/>
            <w:vAlign w:val="center"/>
          </w:tcPr>
          <w:p w14:paraId="0C26814A">
            <w:pPr>
              <w:widowControl/>
              <w:spacing w:line="240" w:lineRule="exact"/>
              <w:rPr>
                <w:rFonts w:ascii="宋体" w:hAnsi="宋体" w:eastAsia="宋体" w:cs="宋体"/>
                <w:color w:val="000000"/>
                <w:kern w:val="0"/>
                <w:sz w:val="18"/>
                <w:szCs w:val="18"/>
              </w:rPr>
            </w:pPr>
          </w:p>
        </w:tc>
        <w:tc>
          <w:tcPr>
            <w:tcW w:w="4812" w:type="dxa"/>
            <w:noWrap w:val="0"/>
            <w:vAlign w:val="center"/>
          </w:tcPr>
          <w:p w14:paraId="6BA5E308">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2.煅烧项目所使用窑炉单位产品能耗≤120Kgce/t。</w:t>
            </w:r>
          </w:p>
        </w:tc>
        <w:tc>
          <w:tcPr>
            <w:tcW w:w="829" w:type="dxa"/>
            <w:noWrap w:val="0"/>
            <w:vAlign w:val="center"/>
          </w:tcPr>
          <w:p w14:paraId="6F0EE367">
            <w:pPr>
              <w:widowControl/>
              <w:spacing w:line="240" w:lineRule="exact"/>
              <w:jc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5</w:t>
            </w:r>
          </w:p>
        </w:tc>
        <w:tc>
          <w:tcPr>
            <w:tcW w:w="4324" w:type="dxa"/>
            <w:noWrap w:val="0"/>
            <w:vAlign w:val="center"/>
          </w:tcPr>
          <w:p w14:paraId="0E65EA78">
            <w:pPr>
              <w:widowControl/>
              <w:spacing w:line="240" w:lineRule="exact"/>
              <w:rPr>
                <w:rFonts w:hint="default" w:ascii="宋体" w:hAnsi="宋体" w:eastAsia="宋体" w:cs="宋体"/>
                <w:color w:val="000000"/>
                <w:kern w:val="0"/>
                <w:sz w:val="18"/>
                <w:szCs w:val="18"/>
                <w:lang w:val="en-US" w:eastAsia="zh-CN"/>
              </w:rPr>
            </w:pPr>
            <w:r>
              <w:rPr>
                <w:rFonts w:hint="eastAsia" w:ascii="宋体" w:hAnsi="宋体" w:eastAsia="宋体" w:cs="宋体"/>
                <w:color w:val="auto"/>
                <w:kern w:val="0"/>
                <w:sz w:val="18"/>
                <w:szCs w:val="18"/>
              </w:rPr>
              <w:t>单位产品能耗≤120Kgce/</w:t>
            </w:r>
            <w:r>
              <w:rPr>
                <w:rFonts w:hint="default" w:ascii="宋体" w:hAnsi="宋体" w:eastAsia="宋体" w:cs="宋体"/>
                <w:color w:val="auto"/>
                <w:kern w:val="0"/>
                <w:sz w:val="18"/>
                <w:szCs w:val="18"/>
                <w:lang w:val="en-US"/>
              </w:rPr>
              <w:t>t</w:t>
            </w:r>
            <w:r>
              <w:rPr>
                <w:rFonts w:hint="eastAsia" w:ascii="宋体" w:hAnsi="宋体" w:eastAsia="宋体" w:cs="宋体"/>
                <w:color w:val="auto"/>
                <w:kern w:val="0"/>
                <w:sz w:val="18"/>
                <w:szCs w:val="18"/>
                <w:lang w:val="en-US" w:eastAsia="zh-CN"/>
              </w:rPr>
              <w:t>得5分，</w:t>
            </w:r>
            <w:r>
              <w:rPr>
                <w:rFonts w:hint="eastAsia" w:ascii="宋体" w:hAnsi="宋体" w:eastAsia="宋体" w:cs="宋体"/>
                <w:color w:val="auto"/>
                <w:kern w:val="0"/>
                <w:sz w:val="18"/>
                <w:szCs w:val="18"/>
              </w:rPr>
              <w:t>单位产品能耗</w:t>
            </w:r>
            <w:r>
              <w:rPr>
                <w:rFonts w:hint="eastAsia" w:ascii="宋体" w:hAnsi="宋体" w:cs="宋体"/>
                <w:color w:val="auto"/>
                <w:kern w:val="0"/>
                <w:sz w:val="18"/>
                <w:szCs w:val="18"/>
                <w:lang w:val="en-US" w:eastAsia="zh-CN"/>
              </w:rPr>
              <w:t>＞</w:t>
            </w:r>
            <w:r>
              <w:rPr>
                <w:rFonts w:hint="eastAsia" w:ascii="宋体" w:hAnsi="宋体" w:eastAsia="宋体" w:cs="宋体"/>
                <w:color w:val="auto"/>
                <w:kern w:val="0"/>
                <w:sz w:val="18"/>
                <w:szCs w:val="18"/>
              </w:rPr>
              <w:t>120Kgce/</w:t>
            </w:r>
            <w:r>
              <w:rPr>
                <w:rFonts w:hint="default" w:ascii="宋体" w:hAnsi="宋体" w:eastAsia="宋体" w:cs="宋体"/>
                <w:color w:val="auto"/>
                <w:kern w:val="0"/>
                <w:sz w:val="18"/>
                <w:szCs w:val="18"/>
                <w:lang w:val="en-US"/>
              </w:rPr>
              <w:t>t</w:t>
            </w:r>
            <w:r>
              <w:rPr>
                <w:rFonts w:hint="eastAsia" w:ascii="宋体" w:hAnsi="宋体" w:cs="宋体"/>
                <w:color w:val="auto"/>
                <w:kern w:val="0"/>
                <w:sz w:val="18"/>
                <w:szCs w:val="18"/>
                <w:lang w:val="en-US" w:eastAsia="zh-CN"/>
              </w:rPr>
              <w:t>不得分。</w:t>
            </w:r>
            <w:r>
              <w:rPr>
                <w:rFonts w:hint="eastAsia" w:ascii="宋体" w:hAnsi="宋体" w:eastAsia="宋体" w:cs="宋体"/>
                <w:color w:val="auto"/>
                <w:kern w:val="0"/>
                <w:sz w:val="18"/>
                <w:szCs w:val="18"/>
                <w:u w:val="single"/>
                <w:lang w:val="en-US" w:eastAsia="zh-CN"/>
              </w:rPr>
              <w:t xml:space="preserve">  </w:t>
            </w:r>
            <w:r>
              <w:rPr>
                <w:rFonts w:hint="eastAsia" w:ascii="宋体" w:hAnsi="宋体" w:eastAsia="宋体" w:cs="宋体"/>
                <w:color w:val="FF0000"/>
                <w:kern w:val="0"/>
                <w:sz w:val="18"/>
                <w:szCs w:val="18"/>
                <w:u w:val="single"/>
                <w:lang w:val="en-US" w:eastAsia="zh-CN"/>
              </w:rPr>
              <w:t xml:space="preserve">  </w:t>
            </w:r>
          </w:p>
        </w:tc>
        <w:tc>
          <w:tcPr>
            <w:tcW w:w="1867" w:type="dxa"/>
            <w:noWrap w:val="0"/>
            <w:vAlign w:val="center"/>
          </w:tcPr>
          <w:p w14:paraId="0B0019E2">
            <w:pPr>
              <w:widowControl/>
              <w:spacing w:line="240" w:lineRule="exact"/>
              <w:jc w:val="center"/>
              <w:rPr>
                <w:rFonts w:hint="eastAsia" w:ascii="宋体" w:hAnsi="宋体" w:eastAsia="宋体" w:cs="宋体"/>
                <w:color w:val="000000"/>
                <w:kern w:val="0"/>
                <w:sz w:val="18"/>
                <w:szCs w:val="18"/>
                <w:lang w:eastAsia="zh-CN"/>
              </w:rPr>
            </w:pPr>
            <w:r>
              <w:rPr>
                <w:rFonts w:hint="eastAsia" w:ascii="宋体" w:hAnsi="宋体" w:cs="宋体"/>
                <w:kern w:val="0"/>
                <w:sz w:val="18"/>
                <w:szCs w:val="18"/>
                <w:lang w:val="en-US" w:eastAsia="zh-CN"/>
              </w:rPr>
              <w:t>区发改委、区工信局</w:t>
            </w:r>
          </w:p>
        </w:tc>
        <w:tc>
          <w:tcPr>
            <w:tcW w:w="722" w:type="dxa"/>
            <w:noWrap w:val="0"/>
            <w:vAlign w:val="center"/>
          </w:tcPr>
          <w:p w14:paraId="3EE83983">
            <w:pPr>
              <w:widowControl/>
              <w:spacing w:line="240" w:lineRule="exact"/>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14:paraId="4DBC8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2" w:type="dxa"/>
            <w:vMerge w:val="restart"/>
            <w:noWrap w:val="0"/>
            <w:vAlign w:val="center"/>
          </w:tcPr>
          <w:p w14:paraId="75BACC6B">
            <w:pPr>
              <w:widowControl/>
              <w:spacing w:line="240" w:lineRule="exact"/>
              <w:jc w:val="both"/>
              <w:rPr>
                <w:rFonts w:ascii="宋体" w:hAnsi="宋体" w:eastAsia="宋体" w:cs="宋体"/>
                <w:color w:val="000000"/>
                <w:kern w:val="0"/>
                <w:sz w:val="18"/>
                <w:szCs w:val="18"/>
              </w:rPr>
            </w:pPr>
            <w:r>
              <w:rPr>
                <w:rFonts w:hint="eastAsia" w:ascii="黑体" w:hAnsi="黑体" w:eastAsia="黑体" w:cs="黑体"/>
                <w:b w:val="0"/>
                <w:bCs/>
                <w:color w:val="auto"/>
                <w:sz w:val="18"/>
                <w:szCs w:val="18"/>
                <w:lang w:val="en-US" w:eastAsia="zh-CN"/>
              </w:rPr>
              <w:t>（</w:t>
            </w:r>
            <w:r>
              <w:rPr>
                <w:rFonts w:hint="eastAsia" w:ascii="宋体" w:hAnsi="宋体" w:cs="宋体"/>
                <w:color w:val="000000"/>
                <w:kern w:val="0"/>
                <w:sz w:val="18"/>
                <w:szCs w:val="18"/>
                <w:lang w:val="en-US" w:eastAsia="zh-CN"/>
              </w:rPr>
              <w:t>二）建筑物</w:t>
            </w:r>
          </w:p>
        </w:tc>
        <w:tc>
          <w:tcPr>
            <w:tcW w:w="4812" w:type="dxa"/>
            <w:noWrap w:val="0"/>
            <w:vAlign w:val="center"/>
          </w:tcPr>
          <w:p w14:paraId="07B528E9">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1.厂区建设符合《工业企业总平面设计规范》（GB 50187－2012）、《工业企业设计卫生标准》（GBZ1-2010）等相关要求和相关防尘技术规程；</w:t>
            </w:r>
          </w:p>
        </w:tc>
        <w:tc>
          <w:tcPr>
            <w:tcW w:w="829" w:type="dxa"/>
            <w:noWrap w:val="0"/>
            <w:vAlign w:val="center"/>
          </w:tcPr>
          <w:p w14:paraId="4CBFFE8C">
            <w:pPr>
              <w:widowControl/>
              <w:spacing w:line="240" w:lineRule="exact"/>
              <w:jc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2</w:t>
            </w:r>
          </w:p>
        </w:tc>
        <w:tc>
          <w:tcPr>
            <w:tcW w:w="4324" w:type="dxa"/>
            <w:noWrap w:val="0"/>
            <w:vAlign w:val="center"/>
          </w:tcPr>
          <w:p w14:paraId="42E9A8B0">
            <w:pPr>
              <w:widowControl/>
              <w:spacing w:line="240" w:lineRule="exact"/>
              <w:rPr>
                <w:rFonts w:hint="eastAsia" w:ascii="宋体" w:hAnsi="宋体" w:eastAsia="宋体" w:cs="宋体"/>
                <w:color w:val="000000"/>
                <w:kern w:val="0"/>
                <w:sz w:val="18"/>
                <w:szCs w:val="18"/>
                <w:lang w:eastAsia="zh-CN"/>
              </w:rPr>
            </w:pPr>
            <w:r>
              <w:rPr>
                <w:rFonts w:hint="eastAsia" w:ascii="宋体" w:hAnsi="宋体" w:eastAsia="宋体" w:cs="宋体"/>
                <w:color w:val="000000"/>
                <w:kern w:val="0"/>
                <w:sz w:val="18"/>
                <w:szCs w:val="18"/>
              </w:rPr>
              <w:t>企业建设是否符合规划要求及建筑是否经有资质的设计单位设计并办理施工许可及质量安全监督手续。</w:t>
            </w:r>
            <w:r>
              <w:rPr>
                <w:rFonts w:hint="eastAsia" w:ascii="宋体" w:hAnsi="宋体" w:cs="宋体"/>
                <w:color w:val="000000"/>
                <w:kern w:val="0"/>
                <w:sz w:val="18"/>
                <w:szCs w:val="18"/>
                <w:lang w:val="en-US" w:eastAsia="zh-CN"/>
              </w:rPr>
              <w:t>企业</w:t>
            </w:r>
            <w:r>
              <w:rPr>
                <w:rFonts w:hint="eastAsia" w:ascii="宋体" w:hAnsi="宋体" w:eastAsia="宋体" w:cs="宋体"/>
                <w:color w:val="000000"/>
                <w:kern w:val="0"/>
                <w:sz w:val="18"/>
                <w:szCs w:val="18"/>
              </w:rPr>
              <w:t>是否有防尘检测标准</w:t>
            </w:r>
            <w:r>
              <w:rPr>
                <w:rFonts w:hint="eastAsia" w:ascii="宋体" w:hAnsi="宋体" w:cs="宋体"/>
                <w:color w:val="000000"/>
                <w:kern w:val="0"/>
                <w:sz w:val="18"/>
                <w:szCs w:val="18"/>
                <w:lang w:eastAsia="zh-CN"/>
              </w:rPr>
              <w:t>。</w:t>
            </w:r>
          </w:p>
        </w:tc>
        <w:tc>
          <w:tcPr>
            <w:tcW w:w="1867" w:type="dxa"/>
            <w:noWrap w:val="0"/>
            <w:vAlign w:val="center"/>
          </w:tcPr>
          <w:p w14:paraId="0BBF07E1">
            <w:pPr>
              <w:widowControl/>
              <w:spacing w:line="240" w:lineRule="exact"/>
              <w:jc w:val="center"/>
              <w:rPr>
                <w:rFonts w:hint="default" w:ascii="宋体" w:hAnsi="宋体" w:eastAsia="宋体" w:cs="宋体"/>
                <w:color w:val="000000"/>
                <w:kern w:val="0"/>
                <w:sz w:val="18"/>
                <w:szCs w:val="18"/>
                <w:lang w:val="en-US" w:eastAsia="zh-CN"/>
              </w:rPr>
            </w:pPr>
            <w:r>
              <w:rPr>
                <w:rFonts w:hint="eastAsia" w:ascii="宋体" w:hAnsi="宋体" w:cs="宋体"/>
                <w:kern w:val="0"/>
                <w:sz w:val="18"/>
                <w:szCs w:val="18"/>
                <w:lang w:val="en-US" w:eastAsia="zh-CN"/>
              </w:rPr>
              <w:t>区住建局、区卫健委</w:t>
            </w:r>
          </w:p>
        </w:tc>
        <w:tc>
          <w:tcPr>
            <w:tcW w:w="722" w:type="dxa"/>
            <w:noWrap w:val="0"/>
            <w:vAlign w:val="center"/>
          </w:tcPr>
          <w:p w14:paraId="6BA653E2">
            <w:pPr>
              <w:widowControl/>
              <w:spacing w:line="240" w:lineRule="exact"/>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14:paraId="4226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952" w:type="dxa"/>
            <w:vMerge w:val="continue"/>
            <w:noWrap w:val="0"/>
            <w:vAlign w:val="center"/>
          </w:tcPr>
          <w:p w14:paraId="633F1ED9">
            <w:pPr>
              <w:widowControl/>
              <w:spacing w:line="240" w:lineRule="exact"/>
              <w:rPr>
                <w:rFonts w:ascii="宋体" w:hAnsi="宋体" w:eastAsia="宋体" w:cs="宋体"/>
                <w:color w:val="000000"/>
                <w:kern w:val="0"/>
                <w:sz w:val="18"/>
                <w:szCs w:val="18"/>
              </w:rPr>
            </w:pPr>
          </w:p>
        </w:tc>
        <w:tc>
          <w:tcPr>
            <w:tcW w:w="4812" w:type="dxa"/>
            <w:noWrap w:val="0"/>
            <w:vAlign w:val="center"/>
          </w:tcPr>
          <w:p w14:paraId="5EF862B4">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2.除炉窑等大型设备外，其它生产设备在标准厂房内运行，不露天作业；</w:t>
            </w:r>
          </w:p>
        </w:tc>
        <w:tc>
          <w:tcPr>
            <w:tcW w:w="829" w:type="dxa"/>
            <w:noWrap w:val="0"/>
            <w:vAlign w:val="center"/>
          </w:tcPr>
          <w:p w14:paraId="2D5A59C3">
            <w:pPr>
              <w:widowControl/>
              <w:spacing w:line="240" w:lineRule="exact"/>
              <w:jc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2</w:t>
            </w:r>
          </w:p>
        </w:tc>
        <w:tc>
          <w:tcPr>
            <w:tcW w:w="4324" w:type="dxa"/>
            <w:noWrap w:val="0"/>
            <w:vAlign w:val="center"/>
          </w:tcPr>
          <w:p w14:paraId="06B5A60A">
            <w:pPr>
              <w:spacing w:line="240" w:lineRule="exact"/>
              <w:rPr>
                <w:rFonts w:hint="default" w:ascii="宋体" w:hAnsi="宋体" w:eastAsia="宋体" w:cs="宋体"/>
                <w:kern w:val="0"/>
                <w:sz w:val="18"/>
                <w:szCs w:val="18"/>
                <w:lang w:val="en-US" w:eastAsia="zh-CN"/>
              </w:rPr>
            </w:pPr>
            <w:r>
              <w:rPr>
                <w:rFonts w:hint="eastAsia" w:ascii="宋体" w:hAnsi="宋体" w:eastAsia="宋体" w:cs="宋体"/>
                <w:kern w:val="0"/>
                <w:sz w:val="18"/>
                <w:szCs w:val="18"/>
              </w:rPr>
              <w:t>生产设备在标准厂房内运行，不露天作业</w:t>
            </w:r>
            <w:r>
              <w:rPr>
                <w:rFonts w:hint="eastAsia" w:ascii="宋体" w:hAnsi="宋体" w:eastAsia="宋体" w:cs="宋体"/>
                <w:kern w:val="0"/>
                <w:sz w:val="18"/>
                <w:szCs w:val="18"/>
                <w:lang w:eastAsia="zh-CN"/>
              </w:rPr>
              <w:t>的得</w:t>
            </w:r>
            <w:r>
              <w:rPr>
                <w:rFonts w:hint="eastAsia" w:ascii="宋体" w:hAnsi="宋体" w:eastAsia="宋体" w:cs="宋体"/>
                <w:kern w:val="0"/>
                <w:sz w:val="18"/>
                <w:szCs w:val="18"/>
                <w:lang w:val="en-US" w:eastAsia="zh-CN"/>
              </w:rPr>
              <w:t>2分；生产设备不在厂房内的，发现一起扣1分，扣完为止。</w:t>
            </w:r>
          </w:p>
        </w:tc>
        <w:tc>
          <w:tcPr>
            <w:tcW w:w="1867" w:type="dxa"/>
            <w:noWrap w:val="0"/>
            <w:vAlign w:val="center"/>
          </w:tcPr>
          <w:p w14:paraId="31161E34">
            <w:pPr>
              <w:widowControl/>
              <w:spacing w:line="240" w:lineRule="exact"/>
              <w:jc w:val="center"/>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区工信局</w:t>
            </w:r>
          </w:p>
        </w:tc>
        <w:tc>
          <w:tcPr>
            <w:tcW w:w="722" w:type="dxa"/>
            <w:noWrap w:val="0"/>
            <w:vAlign w:val="center"/>
          </w:tcPr>
          <w:p w14:paraId="1F7EF994">
            <w:pPr>
              <w:widowControl/>
              <w:spacing w:line="240" w:lineRule="exact"/>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14:paraId="2C932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2" w:type="dxa"/>
            <w:vMerge w:val="continue"/>
            <w:noWrap w:val="0"/>
            <w:vAlign w:val="center"/>
          </w:tcPr>
          <w:p w14:paraId="7AF7A984">
            <w:pPr>
              <w:widowControl/>
              <w:spacing w:line="240" w:lineRule="exact"/>
              <w:rPr>
                <w:rFonts w:ascii="宋体" w:hAnsi="宋体" w:eastAsia="宋体" w:cs="宋体"/>
                <w:color w:val="000000"/>
                <w:kern w:val="0"/>
                <w:sz w:val="18"/>
                <w:szCs w:val="18"/>
              </w:rPr>
            </w:pPr>
          </w:p>
        </w:tc>
        <w:tc>
          <w:tcPr>
            <w:tcW w:w="4812" w:type="dxa"/>
            <w:noWrap w:val="0"/>
            <w:vAlign w:val="center"/>
          </w:tcPr>
          <w:p w14:paraId="1D2C6E0C">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3.原辅材料、产成品、固体废弃物等存储设置在封闭的建筑物内，不露天堆放。</w:t>
            </w:r>
          </w:p>
        </w:tc>
        <w:tc>
          <w:tcPr>
            <w:tcW w:w="829" w:type="dxa"/>
            <w:noWrap w:val="0"/>
            <w:vAlign w:val="center"/>
          </w:tcPr>
          <w:p w14:paraId="1594113E">
            <w:pPr>
              <w:widowControl/>
              <w:spacing w:line="240" w:lineRule="exact"/>
              <w:jc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2</w:t>
            </w:r>
          </w:p>
        </w:tc>
        <w:tc>
          <w:tcPr>
            <w:tcW w:w="4324" w:type="dxa"/>
            <w:noWrap w:val="0"/>
            <w:vAlign w:val="center"/>
          </w:tcPr>
          <w:p w14:paraId="4C7158CE">
            <w:pPr>
              <w:widowControl/>
              <w:spacing w:line="240" w:lineRule="exact"/>
              <w:rPr>
                <w:rFonts w:ascii="宋体" w:hAnsi="宋体" w:eastAsia="宋体" w:cs="宋体"/>
                <w:kern w:val="0"/>
                <w:sz w:val="18"/>
                <w:szCs w:val="18"/>
                <w:lang w:val="en-US" w:eastAsia="zh-CN" w:bidi="ar-SA"/>
              </w:rPr>
            </w:pPr>
            <w:r>
              <w:rPr>
                <w:rFonts w:hint="eastAsia" w:ascii="宋体" w:hAnsi="宋体" w:eastAsia="宋体" w:cs="宋体"/>
                <w:kern w:val="0"/>
                <w:sz w:val="18"/>
                <w:szCs w:val="18"/>
              </w:rPr>
              <w:t>原辅材料、产成品、固体废弃物等存储</w:t>
            </w:r>
            <w:r>
              <w:rPr>
                <w:rFonts w:hint="eastAsia" w:ascii="宋体" w:hAnsi="宋体" w:cs="宋体"/>
                <w:kern w:val="0"/>
                <w:sz w:val="18"/>
                <w:szCs w:val="18"/>
                <w:lang w:eastAsia="zh-CN"/>
              </w:rPr>
              <w:t>均</w:t>
            </w:r>
            <w:r>
              <w:rPr>
                <w:rFonts w:hint="eastAsia" w:ascii="宋体" w:hAnsi="宋体" w:eastAsia="宋体" w:cs="宋体"/>
                <w:kern w:val="0"/>
                <w:sz w:val="18"/>
                <w:szCs w:val="18"/>
              </w:rPr>
              <w:t>设置在封闭的建筑物内</w:t>
            </w:r>
            <w:r>
              <w:rPr>
                <w:rFonts w:hint="eastAsia" w:ascii="宋体" w:hAnsi="宋体" w:cs="宋体"/>
                <w:kern w:val="0"/>
                <w:sz w:val="18"/>
                <w:szCs w:val="18"/>
                <w:lang w:eastAsia="zh-CN"/>
              </w:rPr>
              <w:t>，得</w:t>
            </w:r>
            <w:r>
              <w:rPr>
                <w:rFonts w:hint="eastAsia" w:ascii="宋体" w:hAnsi="宋体" w:cs="宋体"/>
                <w:kern w:val="0"/>
                <w:sz w:val="18"/>
                <w:szCs w:val="18"/>
                <w:lang w:val="en-US" w:eastAsia="zh-CN"/>
              </w:rPr>
              <w:t>2分；发现一处</w:t>
            </w:r>
            <w:r>
              <w:rPr>
                <w:rFonts w:hint="eastAsia" w:ascii="宋体" w:hAnsi="宋体" w:eastAsia="宋体" w:cs="宋体"/>
                <w:kern w:val="0"/>
                <w:sz w:val="18"/>
                <w:szCs w:val="18"/>
              </w:rPr>
              <w:t>原辅材料、产成品、固体废弃物</w:t>
            </w:r>
            <w:r>
              <w:rPr>
                <w:rFonts w:hint="eastAsia" w:ascii="宋体" w:hAnsi="宋体" w:cs="宋体"/>
                <w:kern w:val="0"/>
                <w:sz w:val="18"/>
                <w:szCs w:val="18"/>
                <w:lang w:eastAsia="zh-CN"/>
              </w:rPr>
              <w:t>露天堆放的扣</w:t>
            </w:r>
            <w:r>
              <w:rPr>
                <w:rFonts w:hint="eastAsia" w:ascii="宋体" w:hAnsi="宋体" w:cs="宋体"/>
                <w:kern w:val="0"/>
                <w:sz w:val="18"/>
                <w:szCs w:val="18"/>
                <w:lang w:val="en-US" w:eastAsia="zh-CN"/>
              </w:rPr>
              <w:t>0.5分，直至扣完。</w:t>
            </w:r>
          </w:p>
        </w:tc>
        <w:tc>
          <w:tcPr>
            <w:tcW w:w="1867" w:type="dxa"/>
            <w:noWrap w:val="0"/>
            <w:vAlign w:val="center"/>
          </w:tcPr>
          <w:p w14:paraId="40DAB289">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73377B76">
            <w:pPr>
              <w:widowControl/>
              <w:spacing w:line="240" w:lineRule="exact"/>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14:paraId="2A3DC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52" w:type="dxa"/>
            <w:vMerge w:val="restart"/>
            <w:noWrap w:val="0"/>
            <w:vAlign w:val="center"/>
          </w:tcPr>
          <w:p w14:paraId="5553959C">
            <w:pPr>
              <w:widowControl/>
              <w:spacing w:line="240" w:lineRule="exact"/>
              <w:rPr>
                <w:rFonts w:ascii="宋体" w:hAnsi="宋体" w:eastAsia="宋体" w:cs="宋体"/>
                <w:color w:val="000000"/>
                <w:kern w:val="0"/>
                <w:sz w:val="18"/>
                <w:szCs w:val="18"/>
              </w:rPr>
            </w:pPr>
            <w:r>
              <w:rPr>
                <w:rFonts w:hint="eastAsia" w:ascii="宋体" w:hAnsi="宋体" w:eastAsia="宋体" w:cs="宋体"/>
                <w:kern w:val="0"/>
                <w:sz w:val="18"/>
                <w:szCs w:val="18"/>
              </w:rPr>
              <w:t>（三）噪音污染防治</w:t>
            </w:r>
          </w:p>
        </w:tc>
        <w:tc>
          <w:tcPr>
            <w:tcW w:w="4812" w:type="dxa"/>
            <w:noWrap w:val="0"/>
            <w:vAlign w:val="center"/>
          </w:tcPr>
          <w:p w14:paraId="415CC8D2">
            <w:pPr>
              <w:widowControl/>
              <w:spacing w:line="240" w:lineRule="exact"/>
              <w:jc w:val="both"/>
              <w:rPr>
                <w:rFonts w:ascii="宋体" w:hAnsi="宋体" w:eastAsia="宋体" w:cs="宋体"/>
                <w:kern w:val="0"/>
                <w:sz w:val="18"/>
                <w:szCs w:val="18"/>
              </w:rPr>
            </w:pPr>
            <w:r>
              <w:rPr>
                <w:rFonts w:hint="eastAsia" w:ascii="宋体" w:hAnsi="宋体" w:eastAsia="宋体" w:cs="宋体"/>
                <w:kern w:val="0"/>
                <w:sz w:val="18"/>
                <w:szCs w:val="18"/>
              </w:rPr>
              <w:t>1.所有破碎、研磨及运输设备用隔音材料进行封闭；</w:t>
            </w:r>
          </w:p>
        </w:tc>
        <w:tc>
          <w:tcPr>
            <w:tcW w:w="829" w:type="dxa"/>
            <w:noWrap w:val="0"/>
            <w:vAlign w:val="center"/>
          </w:tcPr>
          <w:p w14:paraId="238B8D31">
            <w:pPr>
              <w:widowControl/>
              <w:spacing w:line="240" w:lineRule="exact"/>
              <w:jc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2</w:t>
            </w:r>
          </w:p>
        </w:tc>
        <w:tc>
          <w:tcPr>
            <w:tcW w:w="4324" w:type="dxa"/>
            <w:noWrap w:val="0"/>
            <w:vAlign w:val="center"/>
          </w:tcPr>
          <w:p w14:paraId="0C2E8C0E">
            <w:pPr>
              <w:spacing w:line="240" w:lineRule="exact"/>
              <w:rPr>
                <w:rFonts w:hint="default" w:ascii="宋体" w:hAnsi="宋体" w:eastAsia="宋体" w:cs="宋体"/>
                <w:kern w:val="0"/>
                <w:sz w:val="18"/>
                <w:szCs w:val="18"/>
                <w:lang w:val="en-US" w:eastAsia="zh-CN" w:bidi="ar-SA"/>
              </w:rPr>
            </w:pPr>
            <w:r>
              <w:rPr>
                <w:rFonts w:hint="eastAsia" w:ascii="宋体" w:hAnsi="宋体" w:cs="宋体"/>
                <w:kern w:val="0"/>
                <w:sz w:val="18"/>
                <w:szCs w:val="18"/>
                <w:lang w:eastAsia="zh-CN"/>
              </w:rPr>
              <w:t>所有</w:t>
            </w:r>
            <w:r>
              <w:rPr>
                <w:rFonts w:hint="eastAsia" w:ascii="宋体" w:hAnsi="宋体" w:eastAsia="宋体" w:cs="宋体"/>
                <w:kern w:val="0"/>
                <w:sz w:val="18"/>
                <w:szCs w:val="18"/>
              </w:rPr>
              <w:t>破碎、研磨及运输设备</w:t>
            </w:r>
            <w:r>
              <w:rPr>
                <w:rFonts w:hint="eastAsia" w:ascii="宋体" w:hAnsi="宋体" w:cs="宋体"/>
                <w:kern w:val="0"/>
                <w:sz w:val="18"/>
                <w:szCs w:val="18"/>
                <w:lang w:eastAsia="zh-CN"/>
              </w:rPr>
              <w:t>均已</w:t>
            </w:r>
            <w:r>
              <w:rPr>
                <w:rFonts w:hint="eastAsia" w:ascii="宋体" w:hAnsi="宋体" w:eastAsia="宋体" w:cs="宋体"/>
                <w:kern w:val="0"/>
                <w:sz w:val="18"/>
                <w:szCs w:val="18"/>
              </w:rPr>
              <w:t>用隔音材料封闭</w:t>
            </w:r>
            <w:r>
              <w:rPr>
                <w:rFonts w:hint="eastAsia" w:ascii="宋体" w:hAnsi="宋体" w:cs="宋体"/>
                <w:kern w:val="0"/>
                <w:sz w:val="18"/>
                <w:szCs w:val="18"/>
                <w:lang w:eastAsia="zh-CN"/>
              </w:rPr>
              <w:t>，得</w:t>
            </w:r>
            <w:r>
              <w:rPr>
                <w:rFonts w:hint="eastAsia" w:ascii="宋体" w:hAnsi="宋体" w:cs="宋体"/>
                <w:kern w:val="0"/>
                <w:sz w:val="18"/>
                <w:szCs w:val="18"/>
                <w:lang w:val="en-US" w:eastAsia="zh-CN"/>
              </w:rPr>
              <w:t>2分；发现一件</w:t>
            </w:r>
            <w:r>
              <w:rPr>
                <w:rFonts w:hint="eastAsia" w:ascii="宋体" w:hAnsi="宋体" w:eastAsia="宋体" w:cs="宋体"/>
                <w:kern w:val="0"/>
                <w:sz w:val="18"/>
                <w:szCs w:val="18"/>
              </w:rPr>
              <w:t>破碎、研磨及运输设备</w:t>
            </w:r>
            <w:r>
              <w:rPr>
                <w:rFonts w:hint="eastAsia" w:ascii="宋体" w:hAnsi="宋体" w:cs="宋体"/>
                <w:kern w:val="0"/>
                <w:sz w:val="18"/>
                <w:szCs w:val="18"/>
                <w:lang w:eastAsia="zh-CN"/>
              </w:rPr>
              <w:t>未</w:t>
            </w:r>
            <w:r>
              <w:rPr>
                <w:rFonts w:hint="eastAsia" w:ascii="宋体" w:hAnsi="宋体" w:eastAsia="宋体" w:cs="宋体"/>
                <w:kern w:val="0"/>
                <w:sz w:val="18"/>
                <w:szCs w:val="18"/>
              </w:rPr>
              <w:t>用隔音材料封闭</w:t>
            </w:r>
            <w:r>
              <w:rPr>
                <w:rFonts w:hint="eastAsia" w:ascii="宋体" w:hAnsi="宋体" w:cs="宋体"/>
                <w:kern w:val="0"/>
                <w:sz w:val="18"/>
                <w:szCs w:val="18"/>
                <w:lang w:eastAsia="zh-CN"/>
              </w:rPr>
              <w:t>的扣</w:t>
            </w:r>
            <w:r>
              <w:rPr>
                <w:rFonts w:hint="eastAsia" w:ascii="宋体" w:hAnsi="宋体" w:cs="宋体"/>
                <w:kern w:val="0"/>
                <w:sz w:val="18"/>
                <w:szCs w:val="18"/>
                <w:lang w:val="en-US" w:eastAsia="zh-CN"/>
              </w:rPr>
              <w:t>0.5分，直至扣完。</w:t>
            </w:r>
          </w:p>
        </w:tc>
        <w:tc>
          <w:tcPr>
            <w:tcW w:w="1867" w:type="dxa"/>
            <w:noWrap w:val="0"/>
            <w:vAlign w:val="center"/>
          </w:tcPr>
          <w:p w14:paraId="7BA71A2C">
            <w:pPr>
              <w:widowControl/>
              <w:spacing w:line="240" w:lineRule="exact"/>
              <w:jc w:val="center"/>
              <w:rPr>
                <w:rFonts w:ascii="宋体" w:hAnsi="宋体" w:eastAsia="宋体" w:cs="宋体"/>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501885A0">
            <w:pPr>
              <w:widowControl/>
              <w:spacing w:line="240" w:lineRule="exact"/>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14:paraId="6EFCB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2" w:type="dxa"/>
            <w:vMerge w:val="continue"/>
            <w:noWrap w:val="0"/>
            <w:vAlign w:val="center"/>
          </w:tcPr>
          <w:p w14:paraId="2C7C0E4A">
            <w:pPr>
              <w:widowControl/>
              <w:spacing w:line="240" w:lineRule="exact"/>
              <w:rPr>
                <w:rFonts w:ascii="宋体" w:hAnsi="宋体" w:eastAsia="宋体" w:cs="宋体"/>
                <w:color w:val="000000"/>
                <w:kern w:val="0"/>
                <w:sz w:val="18"/>
                <w:szCs w:val="18"/>
              </w:rPr>
            </w:pPr>
          </w:p>
        </w:tc>
        <w:tc>
          <w:tcPr>
            <w:tcW w:w="4812" w:type="dxa"/>
            <w:noWrap w:val="0"/>
            <w:vAlign w:val="center"/>
          </w:tcPr>
          <w:p w14:paraId="0DCB7981">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2.噪声控制效果符合《工业企业厂界环境噪声排放标准》（GB12348-2008）要求；</w:t>
            </w:r>
          </w:p>
        </w:tc>
        <w:tc>
          <w:tcPr>
            <w:tcW w:w="829" w:type="dxa"/>
            <w:noWrap w:val="0"/>
            <w:vAlign w:val="center"/>
          </w:tcPr>
          <w:p w14:paraId="0BADCB93">
            <w:pPr>
              <w:widowControl/>
              <w:spacing w:line="240" w:lineRule="exact"/>
              <w:jc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2</w:t>
            </w:r>
          </w:p>
        </w:tc>
        <w:tc>
          <w:tcPr>
            <w:tcW w:w="4324" w:type="dxa"/>
            <w:noWrap w:val="0"/>
            <w:vAlign w:val="center"/>
          </w:tcPr>
          <w:p w14:paraId="08E2CF1F">
            <w:pPr>
              <w:widowControl/>
              <w:spacing w:line="240" w:lineRule="exact"/>
              <w:rPr>
                <w:rFonts w:hint="default" w:ascii="宋体" w:hAnsi="宋体" w:eastAsia="宋体" w:cs="宋体"/>
                <w:kern w:val="0"/>
                <w:sz w:val="18"/>
                <w:szCs w:val="18"/>
                <w:lang w:val="en-US" w:eastAsia="zh-CN" w:bidi="ar-SA"/>
              </w:rPr>
            </w:pPr>
            <w:r>
              <w:rPr>
                <w:rFonts w:hint="eastAsia" w:ascii="宋体" w:hAnsi="宋体" w:cs="宋体"/>
                <w:kern w:val="0"/>
                <w:sz w:val="18"/>
                <w:szCs w:val="18"/>
                <w:lang w:eastAsia="zh-CN"/>
              </w:rPr>
              <w:t>噪声控制效果</w:t>
            </w:r>
            <w:r>
              <w:rPr>
                <w:rFonts w:hint="eastAsia" w:ascii="宋体" w:hAnsi="宋体" w:eastAsia="宋体" w:cs="宋体"/>
                <w:kern w:val="0"/>
                <w:sz w:val="18"/>
                <w:szCs w:val="18"/>
              </w:rPr>
              <w:t>符合《工业企业厂界环境噪声排放标准》（GB12348-2008）要求</w:t>
            </w:r>
            <w:r>
              <w:rPr>
                <w:rFonts w:hint="eastAsia" w:ascii="宋体" w:hAnsi="宋体" w:cs="宋体"/>
                <w:kern w:val="0"/>
                <w:sz w:val="18"/>
                <w:szCs w:val="18"/>
                <w:lang w:eastAsia="zh-CN"/>
              </w:rPr>
              <w:t>得</w:t>
            </w:r>
            <w:r>
              <w:rPr>
                <w:rFonts w:hint="eastAsia" w:ascii="宋体" w:hAnsi="宋体" w:cs="宋体"/>
                <w:kern w:val="0"/>
                <w:sz w:val="18"/>
                <w:szCs w:val="18"/>
                <w:lang w:val="en-US" w:eastAsia="zh-CN"/>
              </w:rPr>
              <w:t>2分；如不符合</w:t>
            </w:r>
            <w:r>
              <w:rPr>
                <w:rFonts w:hint="eastAsia" w:ascii="宋体" w:hAnsi="宋体" w:eastAsia="宋体" w:cs="宋体"/>
                <w:kern w:val="0"/>
                <w:sz w:val="18"/>
                <w:szCs w:val="18"/>
              </w:rPr>
              <w:t>《工业企业厂界环境噪声排放标准》（GB12348-2008）要求</w:t>
            </w:r>
            <w:r>
              <w:rPr>
                <w:rFonts w:hint="eastAsia" w:ascii="宋体" w:hAnsi="宋体" w:cs="宋体"/>
                <w:kern w:val="0"/>
                <w:sz w:val="18"/>
                <w:szCs w:val="18"/>
                <w:lang w:eastAsia="zh-CN"/>
              </w:rPr>
              <w:t>的不得分</w:t>
            </w:r>
            <w:r>
              <w:rPr>
                <w:rFonts w:hint="eastAsia" w:ascii="宋体" w:hAnsi="宋体" w:cs="宋体"/>
                <w:kern w:val="0"/>
                <w:sz w:val="18"/>
                <w:szCs w:val="18"/>
                <w:lang w:val="en-US" w:eastAsia="zh-CN"/>
              </w:rPr>
              <w:t>。</w:t>
            </w:r>
          </w:p>
        </w:tc>
        <w:tc>
          <w:tcPr>
            <w:tcW w:w="1867" w:type="dxa"/>
            <w:noWrap w:val="0"/>
            <w:vAlign w:val="center"/>
          </w:tcPr>
          <w:p w14:paraId="31EE0B59">
            <w:pPr>
              <w:widowControl/>
              <w:spacing w:line="240" w:lineRule="exact"/>
              <w:jc w:val="center"/>
              <w:rPr>
                <w:rFonts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10B5F875">
            <w:pPr>
              <w:widowControl/>
              <w:spacing w:line="240" w:lineRule="exact"/>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14:paraId="5D222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2" w:type="dxa"/>
            <w:vMerge w:val="continue"/>
            <w:noWrap w:val="0"/>
            <w:vAlign w:val="center"/>
          </w:tcPr>
          <w:p w14:paraId="33B73CB9">
            <w:pPr>
              <w:widowControl/>
              <w:spacing w:line="240" w:lineRule="exact"/>
              <w:rPr>
                <w:rFonts w:ascii="宋体" w:hAnsi="宋体" w:eastAsia="宋体" w:cs="宋体"/>
                <w:color w:val="000000"/>
                <w:kern w:val="0"/>
                <w:sz w:val="18"/>
                <w:szCs w:val="18"/>
              </w:rPr>
            </w:pPr>
          </w:p>
        </w:tc>
        <w:tc>
          <w:tcPr>
            <w:tcW w:w="4812" w:type="dxa"/>
            <w:noWrap w:val="0"/>
            <w:vAlign w:val="center"/>
          </w:tcPr>
          <w:p w14:paraId="3A299640">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3.工业企业厂界环境噪声不超过规定的排放限值；</w:t>
            </w:r>
          </w:p>
        </w:tc>
        <w:tc>
          <w:tcPr>
            <w:tcW w:w="829" w:type="dxa"/>
            <w:noWrap w:val="0"/>
            <w:vAlign w:val="center"/>
          </w:tcPr>
          <w:p w14:paraId="4AB4567E">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2</w:t>
            </w:r>
          </w:p>
        </w:tc>
        <w:tc>
          <w:tcPr>
            <w:tcW w:w="4324" w:type="dxa"/>
            <w:noWrap w:val="0"/>
            <w:vAlign w:val="center"/>
          </w:tcPr>
          <w:p w14:paraId="3AD6A1A1">
            <w:pPr>
              <w:widowControl/>
              <w:spacing w:line="240" w:lineRule="exact"/>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rPr>
              <w:t>工业企业厂界环境噪声不超过规定的排放限值</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2分；</w:t>
            </w:r>
            <w:r>
              <w:rPr>
                <w:rFonts w:hint="eastAsia" w:ascii="宋体" w:hAnsi="宋体" w:eastAsia="宋体" w:cs="宋体"/>
                <w:kern w:val="0"/>
                <w:sz w:val="18"/>
                <w:szCs w:val="18"/>
              </w:rPr>
              <w:t>超过规定的排放限值</w:t>
            </w:r>
            <w:r>
              <w:rPr>
                <w:rFonts w:hint="eastAsia" w:ascii="宋体" w:hAnsi="宋体" w:cs="宋体"/>
                <w:kern w:val="0"/>
                <w:sz w:val="18"/>
                <w:szCs w:val="18"/>
                <w:lang w:eastAsia="zh-CN"/>
              </w:rPr>
              <w:t>不得分</w:t>
            </w:r>
            <w:r>
              <w:rPr>
                <w:rFonts w:hint="eastAsia" w:ascii="宋体" w:hAnsi="宋体" w:cs="宋体"/>
                <w:kern w:val="0"/>
                <w:sz w:val="18"/>
                <w:szCs w:val="18"/>
                <w:lang w:val="en-US" w:eastAsia="zh-CN"/>
              </w:rPr>
              <w:t>。</w:t>
            </w:r>
          </w:p>
        </w:tc>
        <w:tc>
          <w:tcPr>
            <w:tcW w:w="1867" w:type="dxa"/>
            <w:noWrap w:val="0"/>
            <w:vAlign w:val="center"/>
          </w:tcPr>
          <w:p w14:paraId="4E8CE6C8">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37FC5708">
            <w:pPr>
              <w:widowControl/>
              <w:spacing w:line="240" w:lineRule="exact"/>
              <w:jc w:val="center"/>
              <w:rPr>
                <w:rFonts w:hint="eastAsia" w:ascii="宋体" w:hAnsi="宋体" w:eastAsia="宋体" w:cs="宋体"/>
                <w:color w:val="000000"/>
                <w:kern w:val="0"/>
                <w:sz w:val="18"/>
                <w:szCs w:val="18"/>
              </w:rPr>
            </w:pPr>
          </w:p>
        </w:tc>
      </w:tr>
      <w:tr w14:paraId="2438A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2" w:type="dxa"/>
            <w:vMerge w:val="continue"/>
            <w:noWrap w:val="0"/>
            <w:vAlign w:val="center"/>
          </w:tcPr>
          <w:p w14:paraId="0FDAD91C">
            <w:pPr>
              <w:widowControl/>
              <w:spacing w:line="240" w:lineRule="exact"/>
              <w:rPr>
                <w:rFonts w:ascii="宋体" w:hAnsi="宋体" w:eastAsia="宋体" w:cs="宋体"/>
                <w:color w:val="000000"/>
                <w:kern w:val="0"/>
                <w:sz w:val="18"/>
                <w:szCs w:val="18"/>
              </w:rPr>
            </w:pPr>
          </w:p>
        </w:tc>
        <w:tc>
          <w:tcPr>
            <w:tcW w:w="4812" w:type="dxa"/>
            <w:noWrap w:val="0"/>
            <w:vAlign w:val="center"/>
          </w:tcPr>
          <w:p w14:paraId="7410775A">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4.夜间频发噪声的最大声级超过限值的幅度不高于10 dB(A)；</w:t>
            </w:r>
          </w:p>
        </w:tc>
        <w:tc>
          <w:tcPr>
            <w:tcW w:w="829" w:type="dxa"/>
            <w:noWrap w:val="0"/>
            <w:vAlign w:val="center"/>
          </w:tcPr>
          <w:p w14:paraId="3B1643A7">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2</w:t>
            </w:r>
          </w:p>
        </w:tc>
        <w:tc>
          <w:tcPr>
            <w:tcW w:w="4324" w:type="dxa"/>
            <w:noWrap w:val="0"/>
            <w:vAlign w:val="center"/>
          </w:tcPr>
          <w:p w14:paraId="4A0A46B4">
            <w:pPr>
              <w:widowControl/>
              <w:spacing w:line="240" w:lineRule="exact"/>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rPr>
              <w:t>夜间频发噪声的最大声级超过限值的幅度不高于10 dB(A)</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2分；</w:t>
            </w:r>
            <w:r>
              <w:rPr>
                <w:rFonts w:hint="eastAsia" w:ascii="宋体" w:hAnsi="宋体" w:eastAsia="宋体" w:cs="宋体"/>
                <w:kern w:val="0"/>
                <w:sz w:val="18"/>
                <w:szCs w:val="18"/>
              </w:rPr>
              <w:t>高于10 dB(A)</w:t>
            </w:r>
            <w:r>
              <w:rPr>
                <w:rFonts w:hint="eastAsia" w:ascii="宋体" w:hAnsi="宋体" w:cs="宋体"/>
                <w:kern w:val="0"/>
                <w:sz w:val="18"/>
                <w:szCs w:val="18"/>
                <w:lang w:eastAsia="zh-CN"/>
              </w:rPr>
              <w:t>的不得分。</w:t>
            </w:r>
          </w:p>
        </w:tc>
        <w:tc>
          <w:tcPr>
            <w:tcW w:w="1867" w:type="dxa"/>
            <w:noWrap w:val="0"/>
            <w:vAlign w:val="center"/>
          </w:tcPr>
          <w:p w14:paraId="44412B95">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7F13AB13">
            <w:pPr>
              <w:widowControl/>
              <w:spacing w:line="240" w:lineRule="exact"/>
              <w:jc w:val="center"/>
              <w:rPr>
                <w:rFonts w:hint="eastAsia" w:ascii="宋体" w:hAnsi="宋体" w:eastAsia="宋体" w:cs="宋体"/>
                <w:color w:val="000000"/>
                <w:kern w:val="0"/>
                <w:sz w:val="18"/>
                <w:szCs w:val="18"/>
              </w:rPr>
            </w:pPr>
          </w:p>
        </w:tc>
      </w:tr>
      <w:tr w14:paraId="1BF17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52" w:type="dxa"/>
            <w:vMerge w:val="continue"/>
            <w:noWrap w:val="0"/>
            <w:vAlign w:val="center"/>
          </w:tcPr>
          <w:p w14:paraId="48834FFC">
            <w:pPr>
              <w:widowControl/>
              <w:spacing w:line="240" w:lineRule="exact"/>
              <w:rPr>
                <w:rFonts w:ascii="宋体" w:hAnsi="宋体" w:eastAsia="宋体" w:cs="宋体"/>
                <w:color w:val="000000"/>
                <w:kern w:val="0"/>
                <w:sz w:val="18"/>
                <w:szCs w:val="18"/>
              </w:rPr>
            </w:pPr>
          </w:p>
        </w:tc>
        <w:tc>
          <w:tcPr>
            <w:tcW w:w="4812" w:type="dxa"/>
            <w:noWrap w:val="0"/>
            <w:vAlign w:val="center"/>
          </w:tcPr>
          <w:p w14:paraId="58427114">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5.夜间偶发噪声的最大声级超过限值的幅度不高于15 dB(A)。</w:t>
            </w:r>
          </w:p>
        </w:tc>
        <w:tc>
          <w:tcPr>
            <w:tcW w:w="829" w:type="dxa"/>
            <w:noWrap w:val="0"/>
            <w:vAlign w:val="center"/>
          </w:tcPr>
          <w:p w14:paraId="5133D743">
            <w:pPr>
              <w:widowControl/>
              <w:spacing w:line="240" w:lineRule="exact"/>
              <w:jc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2</w:t>
            </w:r>
          </w:p>
        </w:tc>
        <w:tc>
          <w:tcPr>
            <w:tcW w:w="4324" w:type="dxa"/>
            <w:noWrap w:val="0"/>
            <w:vAlign w:val="center"/>
          </w:tcPr>
          <w:p w14:paraId="28FCEF02">
            <w:pPr>
              <w:spacing w:line="240" w:lineRule="exact"/>
              <w:rPr>
                <w:rFonts w:hint="default" w:ascii="宋体" w:hAnsi="宋体" w:eastAsia="宋体" w:cs="宋体"/>
                <w:kern w:val="0"/>
                <w:sz w:val="18"/>
                <w:szCs w:val="18"/>
                <w:lang w:val="en-US" w:eastAsia="zh-CN" w:bidi="ar-SA"/>
              </w:rPr>
            </w:pPr>
            <w:r>
              <w:rPr>
                <w:rFonts w:hint="eastAsia" w:ascii="宋体" w:hAnsi="宋体" w:eastAsia="宋体" w:cs="宋体"/>
                <w:kern w:val="0"/>
                <w:sz w:val="18"/>
                <w:szCs w:val="18"/>
              </w:rPr>
              <w:t>夜间偶发噪声的最大声级超过限值的幅度不高于15 dB(A)</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2分；</w:t>
            </w:r>
            <w:r>
              <w:rPr>
                <w:rFonts w:hint="eastAsia" w:ascii="宋体" w:hAnsi="宋体" w:eastAsia="宋体" w:cs="宋体"/>
                <w:kern w:val="0"/>
                <w:sz w:val="18"/>
                <w:szCs w:val="18"/>
              </w:rPr>
              <w:t>高于15 dB(A)</w:t>
            </w:r>
            <w:r>
              <w:rPr>
                <w:rFonts w:hint="eastAsia" w:ascii="宋体" w:hAnsi="宋体" w:cs="宋体"/>
                <w:kern w:val="0"/>
                <w:sz w:val="18"/>
                <w:szCs w:val="18"/>
                <w:lang w:eastAsia="zh-CN"/>
              </w:rPr>
              <w:t>的不得分。</w:t>
            </w:r>
          </w:p>
        </w:tc>
        <w:tc>
          <w:tcPr>
            <w:tcW w:w="1867" w:type="dxa"/>
            <w:noWrap w:val="0"/>
            <w:vAlign w:val="center"/>
          </w:tcPr>
          <w:p w14:paraId="01CBA2AF">
            <w:pPr>
              <w:widowControl/>
              <w:spacing w:line="240" w:lineRule="exact"/>
              <w:jc w:val="center"/>
              <w:rPr>
                <w:rFonts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62414DE6">
            <w:pPr>
              <w:widowControl/>
              <w:spacing w:line="240" w:lineRule="exact"/>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14:paraId="2C37D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952" w:type="dxa"/>
            <w:vMerge w:val="restart"/>
            <w:noWrap w:val="0"/>
            <w:vAlign w:val="center"/>
          </w:tcPr>
          <w:p w14:paraId="7AB0EA47">
            <w:r>
              <w:rPr>
                <w:rFonts w:hint="eastAsia"/>
              </w:rPr>
              <w:t xml:space="preserve">（四）大气污染防治 </w:t>
            </w:r>
          </w:p>
        </w:tc>
        <w:tc>
          <w:tcPr>
            <w:tcW w:w="4812" w:type="dxa"/>
            <w:noWrap w:val="0"/>
            <w:vAlign w:val="center"/>
          </w:tcPr>
          <w:p w14:paraId="3DB73DEB">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1.严格按照严格按照《中华人民共和国大气污染防治法》、《工业炉窑大气污染综合治理工作方案》（环大气[2019]56号）等要求要求落实覆膜布袋收尘及脱硫、脱硝措施，脱硫脱硝系统必须安装自动药剂（碱液、脱硝剂、氨水等）添加设备，脱硫废水循环水池必须加装PH检测仪，实行自动监测自动加药，确保各项污染物稳定达标排放；</w:t>
            </w:r>
          </w:p>
        </w:tc>
        <w:tc>
          <w:tcPr>
            <w:tcW w:w="829" w:type="dxa"/>
            <w:noWrap w:val="0"/>
            <w:vAlign w:val="center"/>
          </w:tcPr>
          <w:p w14:paraId="3D55D55D">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2</w:t>
            </w:r>
          </w:p>
        </w:tc>
        <w:tc>
          <w:tcPr>
            <w:tcW w:w="4324" w:type="dxa"/>
            <w:noWrap w:val="0"/>
            <w:vAlign w:val="center"/>
          </w:tcPr>
          <w:p w14:paraId="51453525">
            <w:pPr>
              <w:numPr>
                <w:ilvl w:val="0"/>
                <w:numId w:val="0"/>
              </w:numPr>
              <w:rPr>
                <w:rFonts w:hint="eastAsia" w:ascii="宋体" w:hAnsi="宋体" w:cs="宋体"/>
                <w:spacing w:val="-6"/>
                <w:kern w:val="0"/>
                <w:sz w:val="18"/>
                <w:szCs w:val="18"/>
                <w:lang w:val="en-US" w:eastAsia="zh-CN"/>
              </w:rPr>
            </w:pPr>
            <w:r>
              <w:rPr>
                <w:rFonts w:hint="eastAsia" w:ascii="宋体" w:hAnsi="宋体" w:cs="宋体"/>
                <w:spacing w:val="-6"/>
                <w:kern w:val="0"/>
                <w:sz w:val="18"/>
                <w:szCs w:val="18"/>
                <w:lang w:val="en-US" w:eastAsia="zh-CN"/>
              </w:rPr>
              <w:t>1.</w:t>
            </w:r>
            <w:r>
              <w:rPr>
                <w:rFonts w:hint="eastAsia" w:ascii="宋体" w:hAnsi="宋体" w:eastAsia="宋体" w:cs="宋体"/>
                <w:spacing w:val="-6"/>
                <w:kern w:val="0"/>
                <w:sz w:val="18"/>
                <w:szCs w:val="18"/>
              </w:rPr>
              <w:t>覆膜布袋收尘及脱硫、脱硝措施，脱硫脱硝系统</w:t>
            </w:r>
            <w:r>
              <w:rPr>
                <w:rFonts w:hint="eastAsia" w:ascii="宋体" w:hAnsi="宋体" w:cs="宋体"/>
                <w:spacing w:val="-6"/>
                <w:kern w:val="0"/>
                <w:sz w:val="18"/>
                <w:szCs w:val="18"/>
                <w:lang w:eastAsia="zh-CN"/>
              </w:rPr>
              <w:t>已</w:t>
            </w:r>
            <w:r>
              <w:rPr>
                <w:rFonts w:hint="eastAsia" w:ascii="宋体" w:hAnsi="宋体" w:eastAsia="宋体" w:cs="宋体"/>
                <w:spacing w:val="-6"/>
                <w:kern w:val="0"/>
                <w:sz w:val="18"/>
                <w:szCs w:val="18"/>
              </w:rPr>
              <w:t>安装自动药剂（碱液、脱硝剂、氨水等）添加设备</w:t>
            </w:r>
            <w:r>
              <w:rPr>
                <w:rFonts w:hint="eastAsia" w:ascii="宋体" w:hAnsi="宋体" w:cs="宋体"/>
                <w:spacing w:val="-6"/>
                <w:kern w:val="0"/>
                <w:sz w:val="18"/>
                <w:szCs w:val="18"/>
                <w:lang w:eastAsia="zh-CN"/>
              </w:rPr>
              <w:t>的得</w:t>
            </w:r>
            <w:r>
              <w:rPr>
                <w:rFonts w:hint="eastAsia" w:ascii="宋体" w:hAnsi="宋体" w:cs="宋体"/>
                <w:spacing w:val="-6"/>
                <w:kern w:val="0"/>
                <w:sz w:val="18"/>
                <w:szCs w:val="18"/>
                <w:lang w:val="en-US" w:eastAsia="zh-CN"/>
              </w:rPr>
              <w:t>1分，未安装自动药剂但为人工添加药剂的得0.5分；</w:t>
            </w:r>
          </w:p>
          <w:p w14:paraId="738D6F5D">
            <w:pPr>
              <w:numPr>
                <w:ilvl w:val="0"/>
                <w:numId w:val="0"/>
              </w:numPr>
              <w:ind w:leftChars="0"/>
              <w:rPr>
                <w:rFonts w:hint="eastAsia" w:ascii="宋体" w:hAnsi="宋体" w:cs="宋体"/>
                <w:kern w:val="0"/>
                <w:sz w:val="18"/>
                <w:szCs w:val="18"/>
                <w:lang w:val="en-US" w:eastAsia="zh-CN"/>
              </w:rPr>
            </w:pPr>
            <w:r>
              <w:rPr>
                <w:rFonts w:hint="eastAsia" w:ascii="宋体" w:hAnsi="宋体" w:cs="宋体"/>
                <w:kern w:val="0"/>
                <w:sz w:val="18"/>
                <w:szCs w:val="18"/>
                <w:lang w:val="en-US" w:eastAsia="zh-CN"/>
              </w:rPr>
              <w:t>2.</w:t>
            </w:r>
            <w:r>
              <w:rPr>
                <w:rFonts w:hint="eastAsia" w:ascii="宋体" w:hAnsi="宋体" w:eastAsia="宋体" w:cs="宋体"/>
                <w:kern w:val="0"/>
                <w:sz w:val="18"/>
                <w:szCs w:val="18"/>
              </w:rPr>
              <w:t>脱硫废水循环水池</w:t>
            </w:r>
            <w:r>
              <w:rPr>
                <w:rFonts w:hint="eastAsia" w:ascii="宋体" w:hAnsi="宋体" w:cs="宋体"/>
                <w:kern w:val="0"/>
                <w:sz w:val="18"/>
                <w:szCs w:val="18"/>
                <w:lang w:eastAsia="zh-CN"/>
              </w:rPr>
              <w:t>已</w:t>
            </w:r>
            <w:r>
              <w:rPr>
                <w:rFonts w:hint="eastAsia" w:ascii="宋体" w:hAnsi="宋体" w:eastAsia="宋体" w:cs="宋体"/>
                <w:kern w:val="0"/>
                <w:sz w:val="18"/>
                <w:szCs w:val="18"/>
              </w:rPr>
              <w:t>加装PH检测仪</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0.5分，未加装的不得分；</w:t>
            </w:r>
          </w:p>
          <w:p w14:paraId="50DCE2F5">
            <w:pPr>
              <w:numPr>
                <w:ilvl w:val="0"/>
                <w:numId w:val="0"/>
              </w:numPr>
              <w:ind w:leftChars="0"/>
              <w:rPr>
                <w:rFonts w:hint="eastAsia" w:ascii="宋体" w:hAnsi="宋体" w:cs="宋体"/>
                <w:spacing w:val="-6"/>
                <w:kern w:val="0"/>
                <w:sz w:val="18"/>
                <w:szCs w:val="18"/>
                <w:lang w:eastAsia="zh-CN"/>
              </w:rPr>
            </w:pPr>
            <w:r>
              <w:rPr>
                <w:rFonts w:hint="eastAsia" w:ascii="宋体" w:hAnsi="宋体" w:cs="宋体"/>
                <w:spacing w:val="-6"/>
                <w:kern w:val="0"/>
                <w:sz w:val="18"/>
                <w:szCs w:val="18"/>
                <w:lang w:val="en-US" w:eastAsia="zh-CN"/>
              </w:rPr>
              <w:t>3.已实行</w:t>
            </w:r>
            <w:r>
              <w:rPr>
                <w:rFonts w:hint="eastAsia" w:ascii="宋体" w:hAnsi="宋体" w:eastAsia="宋体" w:cs="宋体"/>
                <w:spacing w:val="-6"/>
                <w:kern w:val="0"/>
                <w:sz w:val="18"/>
                <w:szCs w:val="18"/>
              </w:rPr>
              <w:t>自动监测</w:t>
            </w:r>
            <w:r>
              <w:rPr>
                <w:rFonts w:hint="eastAsia" w:ascii="宋体" w:hAnsi="宋体" w:cs="宋体"/>
                <w:spacing w:val="-6"/>
                <w:kern w:val="0"/>
                <w:sz w:val="18"/>
                <w:szCs w:val="18"/>
                <w:lang w:eastAsia="zh-CN"/>
              </w:rPr>
              <w:t>得</w:t>
            </w:r>
            <w:r>
              <w:rPr>
                <w:rFonts w:hint="eastAsia" w:ascii="宋体" w:hAnsi="宋体" w:cs="宋体"/>
                <w:spacing w:val="-6"/>
                <w:kern w:val="0"/>
                <w:sz w:val="18"/>
                <w:szCs w:val="18"/>
                <w:lang w:val="en-US" w:eastAsia="zh-CN"/>
              </w:rPr>
              <w:t>0.5分，未实行</w:t>
            </w:r>
            <w:r>
              <w:rPr>
                <w:rFonts w:hint="eastAsia" w:ascii="宋体" w:hAnsi="宋体" w:eastAsia="宋体" w:cs="宋体"/>
                <w:spacing w:val="-6"/>
                <w:kern w:val="0"/>
                <w:sz w:val="18"/>
                <w:szCs w:val="18"/>
              </w:rPr>
              <w:t>自动监测</w:t>
            </w:r>
            <w:r>
              <w:rPr>
                <w:rFonts w:hint="eastAsia" w:ascii="宋体" w:hAnsi="宋体" w:cs="宋体"/>
                <w:spacing w:val="-6"/>
                <w:kern w:val="0"/>
                <w:sz w:val="18"/>
                <w:szCs w:val="18"/>
                <w:lang w:eastAsia="zh-CN"/>
              </w:rPr>
              <w:t>的不得分。</w:t>
            </w:r>
          </w:p>
          <w:p w14:paraId="446AE920">
            <w:pPr>
              <w:numPr>
                <w:ilvl w:val="0"/>
                <w:numId w:val="0"/>
              </w:numPr>
              <w:ind w:left="0" w:leftChars="0" w:firstLine="0" w:firstLineChars="0"/>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该最终分为上述3项累加分。</w:t>
            </w:r>
          </w:p>
        </w:tc>
        <w:tc>
          <w:tcPr>
            <w:tcW w:w="1867" w:type="dxa"/>
            <w:noWrap w:val="0"/>
            <w:vAlign w:val="center"/>
          </w:tcPr>
          <w:p w14:paraId="17E1C4A1">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5E49FB26">
            <w:pPr>
              <w:widowControl/>
              <w:spacing w:line="240" w:lineRule="exact"/>
              <w:jc w:val="center"/>
              <w:rPr>
                <w:rFonts w:hint="eastAsia" w:ascii="宋体" w:hAnsi="宋体" w:eastAsia="宋体" w:cs="宋体"/>
                <w:color w:val="000000"/>
                <w:kern w:val="0"/>
                <w:sz w:val="18"/>
                <w:szCs w:val="18"/>
              </w:rPr>
            </w:pPr>
          </w:p>
        </w:tc>
      </w:tr>
      <w:tr w14:paraId="5DC0D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52" w:type="dxa"/>
            <w:vMerge w:val="continue"/>
            <w:noWrap w:val="0"/>
            <w:vAlign w:val="center"/>
          </w:tcPr>
          <w:p w14:paraId="696D17CE"/>
        </w:tc>
        <w:tc>
          <w:tcPr>
            <w:tcW w:w="4812" w:type="dxa"/>
            <w:noWrap w:val="0"/>
            <w:vAlign w:val="center"/>
          </w:tcPr>
          <w:p w14:paraId="44719202">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2.在保障生产安全的前提下，生产工艺产尘点（装置）应采取密闭、封闭或设置集气罩等措施。煤粉、粉煤灰、石灰、除尘灰、脱硫灰等粉状物料应密闭或封闭储存，采用密闭皮带、封闭通廊、管状带式输送机或密闭车厢、真空罐车、气力输送等方式输送。粒状、块状物料应采用入棚入仓或建设防风抑尘网等方式进行储存，粒状物料采用密闭、封闭等方式输送。物料输送过程中产尘点应采取有效抑尘措施。装卸物料应当采取密闭或者喷淋等方式防治扬尘污染。运输煤炭、石灰、除尘灰等散装的车辆应当采取密闭或者其他措施防止物料遗撒造成扬尘污染，并按照规定路线行驶。严禁易产生扬尘的物料露天堆放，厂区道路、生产作业场地应全部硬化。</w:t>
            </w:r>
          </w:p>
        </w:tc>
        <w:tc>
          <w:tcPr>
            <w:tcW w:w="829" w:type="dxa"/>
            <w:noWrap w:val="0"/>
            <w:vAlign w:val="center"/>
          </w:tcPr>
          <w:p w14:paraId="2344A4B5">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4</w:t>
            </w:r>
          </w:p>
        </w:tc>
        <w:tc>
          <w:tcPr>
            <w:tcW w:w="4324" w:type="dxa"/>
            <w:noWrap w:val="0"/>
            <w:vAlign w:val="center"/>
          </w:tcPr>
          <w:p w14:paraId="1CFF27BD">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1.</w:t>
            </w:r>
            <w:r>
              <w:rPr>
                <w:rFonts w:hint="eastAsia" w:ascii="宋体" w:hAnsi="宋体" w:eastAsia="宋体" w:cs="宋体"/>
                <w:kern w:val="0"/>
                <w:sz w:val="18"/>
                <w:szCs w:val="18"/>
              </w:rPr>
              <w:t>生产工艺产尘点（装置）</w:t>
            </w:r>
            <w:r>
              <w:rPr>
                <w:rFonts w:hint="eastAsia" w:ascii="宋体" w:hAnsi="宋体" w:cs="宋体"/>
                <w:kern w:val="0"/>
                <w:sz w:val="18"/>
                <w:szCs w:val="18"/>
                <w:lang w:eastAsia="zh-CN"/>
              </w:rPr>
              <w:t>均已</w:t>
            </w:r>
            <w:r>
              <w:rPr>
                <w:rFonts w:hint="eastAsia" w:ascii="宋体" w:hAnsi="宋体" w:eastAsia="宋体" w:cs="宋体"/>
                <w:kern w:val="0"/>
                <w:sz w:val="18"/>
                <w:szCs w:val="18"/>
              </w:rPr>
              <w:t>采取密闭、封闭或设置集气罩等措施</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0.6分，不满足的不得分；</w:t>
            </w:r>
          </w:p>
          <w:p w14:paraId="2C60E954">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2.</w:t>
            </w:r>
            <w:r>
              <w:rPr>
                <w:rFonts w:hint="eastAsia" w:ascii="宋体" w:hAnsi="宋体" w:eastAsia="宋体" w:cs="宋体"/>
                <w:kern w:val="0"/>
                <w:sz w:val="18"/>
                <w:szCs w:val="18"/>
              </w:rPr>
              <w:t>粉状物料</w:t>
            </w:r>
            <w:r>
              <w:rPr>
                <w:rFonts w:hint="eastAsia" w:ascii="宋体" w:hAnsi="宋体" w:cs="宋体"/>
                <w:kern w:val="0"/>
                <w:sz w:val="18"/>
                <w:szCs w:val="18"/>
                <w:lang w:eastAsia="zh-CN"/>
              </w:rPr>
              <w:t>已</w:t>
            </w:r>
            <w:r>
              <w:rPr>
                <w:rFonts w:hint="eastAsia" w:ascii="宋体" w:hAnsi="宋体" w:eastAsia="宋体" w:cs="宋体"/>
                <w:kern w:val="0"/>
                <w:sz w:val="18"/>
                <w:szCs w:val="18"/>
              </w:rPr>
              <w:t>密闭或封闭储存，采用密闭皮带、封闭通廊、管状带式输送机或密闭车厢、真空罐车、气力输送等方式输送</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0.6分，不满足的不得分；</w:t>
            </w:r>
          </w:p>
          <w:p w14:paraId="773BAACC">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3.</w:t>
            </w:r>
            <w:r>
              <w:rPr>
                <w:rFonts w:hint="eastAsia" w:ascii="宋体" w:hAnsi="宋体" w:eastAsia="宋体" w:cs="宋体"/>
                <w:kern w:val="0"/>
                <w:sz w:val="18"/>
                <w:szCs w:val="18"/>
              </w:rPr>
              <w:t>粒状、块状物料</w:t>
            </w:r>
            <w:r>
              <w:rPr>
                <w:rFonts w:hint="eastAsia" w:ascii="宋体" w:hAnsi="宋体" w:cs="宋体"/>
                <w:kern w:val="0"/>
                <w:sz w:val="18"/>
                <w:szCs w:val="18"/>
                <w:lang w:eastAsia="zh-CN"/>
              </w:rPr>
              <w:t>已</w:t>
            </w:r>
            <w:r>
              <w:rPr>
                <w:rFonts w:hint="eastAsia" w:ascii="宋体" w:hAnsi="宋体" w:eastAsia="宋体" w:cs="宋体"/>
                <w:kern w:val="0"/>
                <w:sz w:val="18"/>
                <w:szCs w:val="18"/>
              </w:rPr>
              <w:t>采用入棚入仓或建设防风抑尘网等方式进行储存，粒状物料</w:t>
            </w:r>
            <w:r>
              <w:rPr>
                <w:rFonts w:hint="eastAsia" w:ascii="宋体" w:hAnsi="宋体" w:cs="宋体"/>
                <w:kern w:val="0"/>
                <w:sz w:val="18"/>
                <w:szCs w:val="18"/>
                <w:lang w:eastAsia="zh-CN"/>
              </w:rPr>
              <w:t>已</w:t>
            </w:r>
            <w:r>
              <w:rPr>
                <w:rFonts w:hint="eastAsia" w:ascii="宋体" w:hAnsi="宋体" w:eastAsia="宋体" w:cs="宋体"/>
                <w:kern w:val="0"/>
                <w:sz w:val="18"/>
                <w:szCs w:val="18"/>
              </w:rPr>
              <w:t>采用密闭、封闭等方式输送</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0.6分，不满足的不得分；</w:t>
            </w:r>
          </w:p>
          <w:p w14:paraId="5E62787C">
            <w:pPr>
              <w:numPr>
                <w:ilvl w:val="0"/>
                <w:numId w:val="0"/>
              </w:numPr>
              <w:spacing w:line="240" w:lineRule="exact"/>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4.</w:t>
            </w:r>
            <w:r>
              <w:rPr>
                <w:rFonts w:hint="eastAsia" w:ascii="宋体" w:hAnsi="宋体" w:eastAsia="宋体" w:cs="宋体"/>
                <w:kern w:val="0"/>
                <w:sz w:val="18"/>
                <w:szCs w:val="18"/>
              </w:rPr>
              <w:t>物料输送过程中产尘点</w:t>
            </w:r>
            <w:r>
              <w:rPr>
                <w:rFonts w:hint="eastAsia" w:ascii="宋体" w:hAnsi="宋体" w:cs="宋体"/>
                <w:kern w:val="0"/>
                <w:sz w:val="18"/>
                <w:szCs w:val="18"/>
                <w:lang w:eastAsia="zh-CN"/>
              </w:rPr>
              <w:t>已</w:t>
            </w:r>
            <w:r>
              <w:rPr>
                <w:rFonts w:hint="eastAsia" w:ascii="宋体" w:hAnsi="宋体" w:eastAsia="宋体" w:cs="宋体"/>
                <w:kern w:val="0"/>
                <w:sz w:val="18"/>
                <w:szCs w:val="18"/>
              </w:rPr>
              <w:t>采取有效抑尘措施</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0.6分，不满足的不得分；</w:t>
            </w:r>
          </w:p>
          <w:p w14:paraId="61287057">
            <w:pPr>
              <w:numPr>
                <w:ilvl w:val="0"/>
                <w:numId w:val="0"/>
              </w:numPr>
              <w:spacing w:line="240" w:lineRule="exact"/>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5.</w:t>
            </w:r>
            <w:r>
              <w:rPr>
                <w:rFonts w:hint="eastAsia" w:ascii="宋体" w:hAnsi="宋体" w:eastAsia="宋体" w:cs="宋体"/>
                <w:kern w:val="0"/>
                <w:sz w:val="18"/>
                <w:szCs w:val="18"/>
              </w:rPr>
              <w:t>装卸物料</w:t>
            </w:r>
            <w:r>
              <w:rPr>
                <w:rFonts w:hint="eastAsia" w:ascii="宋体" w:hAnsi="宋体" w:cs="宋体"/>
                <w:kern w:val="0"/>
                <w:sz w:val="18"/>
                <w:szCs w:val="18"/>
                <w:lang w:eastAsia="zh-CN"/>
              </w:rPr>
              <w:t>已</w:t>
            </w:r>
            <w:r>
              <w:rPr>
                <w:rFonts w:hint="eastAsia" w:ascii="宋体" w:hAnsi="宋体" w:eastAsia="宋体" w:cs="宋体"/>
                <w:kern w:val="0"/>
                <w:sz w:val="18"/>
                <w:szCs w:val="18"/>
              </w:rPr>
              <w:t>采取密闭或者喷淋等方式防治扬尘污染</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0.6分，不满足的不得分；</w:t>
            </w:r>
          </w:p>
          <w:p w14:paraId="770418C4">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6.</w:t>
            </w:r>
            <w:r>
              <w:rPr>
                <w:rFonts w:hint="eastAsia" w:ascii="宋体" w:hAnsi="宋体" w:eastAsia="宋体" w:cs="宋体"/>
                <w:kern w:val="0"/>
                <w:sz w:val="18"/>
                <w:szCs w:val="18"/>
              </w:rPr>
              <w:t>运输煤炭、石灰、除尘灰等散装的车辆</w:t>
            </w:r>
            <w:r>
              <w:rPr>
                <w:rFonts w:hint="eastAsia" w:ascii="宋体" w:hAnsi="宋体" w:cs="宋体"/>
                <w:kern w:val="0"/>
                <w:sz w:val="18"/>
                <w:szCs w:val="18"/>
                <w:lang w:eastAsia="zh-CN"/>
              </w:rPr>
              <w:t>已</w:t>
            </w:r>
            <w:r>
              <w:rPr>
                <w:rFonts w:hint="eastAsia" w:ascii="宋体" w:hAnsi="宋体" w:eastAsia="宋体" w:cs="宋体"/>
                <w:kern w:val="0"/>
                <w:sz w:val="18"/>
                <w:szCs w:val="18"/>
              </w:rPr>
              <w:t>采取密闭或者其他措施防止物料遗撒造成扬尘污染，并按照规定路线行驶</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0.4分，不满足的不得分；</w:t>
            </w:r>
          </w:p>
          <w:p w14:paraId="001F490A">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7.</w:t>
            </w:r>
            <w:r>
              <w:rPr>
                <w:rFonts w:hint="eastAsia" w:ascii="宋体" w:hAnsi="宋体" w:eastAsia="宋体" w:cs="宋体"/>
                <w:kern w:val="0"/>
                <w:sz w:val="18"/>
                <w:szCs w:val="18"/>
              </w:rPr>
              <w:t>易产生扬尘的物料</w:t>
            </w:r>
            <w:r>
              <w:rPr>
                <w:rFonts w:hint="eastAsia" w:ascii="宋体" w:hAnsi="宋体" w:cs="宋体"/>
                <w:kern w:val="0"/>
                <w:sz w:val="18"/>
                <w:szCs w:val="18"/>
                <w:lang w:eastAsia="zh-CN"/>
              </w:rPr>
              <w:t>无</w:t>
            </w:r>
            <w:r>
              <w:rPr>
                <w:rFonts w:hint="eastAsia" w:ascii="宋体" w:hAnsi="宋体" w:eastAsia="宋体" w:cs="宋体"/>
                <w:kern w:val="0"/>
                <w:sz w:val="18"/>
                <w:szCs w:val="18"/>
              </w:rPr>
              <w:t>露天堆放，厂区道路、生产作业场地</w:t>
            </w:r>
            <w:r>
              <w:rPr>
                <w:rFonts w:hint="eastAsia" w:ascii="宋体" w:hAnsi="宋体" w:cs="宋体"/>
                <w:kern w:val="0"/>
                <w:sz w:val="18"/>
                <w:szCs w:val="18"/>
                <w:lang w:eastAsia="zh-CN"/>
              </w:rPr>
              <w:t>已</w:t>
            </w:r>
            <w:r>
              <w:rPr>
                <w:rFonts w:hint="eastAsia" w:ascii="宋体" w:hAnsi="宋体" w:eastAsia="宋体" w:cs="宋体"/>
                <w:kern w:val="0"/>
                <w:sz w:val="18"/>
                <w:szCs w:val="18"/>
              </w:rPr>
              <w:t>全部硬化</w:t>
            </w:r>
            <w:r>
              <w:rPr>
                <w:rFonts w:hint="eastAsia" w:ascii="宋体" w:hAnsi="宋体" w:cs="宋体"/>
                <w:kern w:val="0"/>
                <w:sz w:val="18"/>
                <w:szCs w:val="18"/>
                <w:lang w:eastAsia="zh-CN"/>
              </w:rPr>
              <w:t>得</w:t>
            </w:r>
            <w:r>
              <w:rPr>
                <w:rFonts w:hint="eastAsia" w:ascii="宋体" w:hAnsi="宋体" w:cs="宋体"/>
                <w:kern w:val="0"/>
                <w:sz w:val="18"/>
                <w:szCs w:val="18"/>
                <w:lang w:val="en-US" w:eastAsia="zh-CN"/>
              </w:rPr>
              <w:t>0.6分，不满足的不得分。</w:t>
            </w:r>
          </w:p>
          <w:p w14:paraId="1045BACF">
            <w:pPr>
              <w:numPr>
                <w:ilvl w:val="0"/>
                <w:numId w:val="0"/>
              </w:numPr>
              <w:spacing w:line="240" w:lineRule="exact"/>
              <w:ind w:left="0" w:leftChars="0" w:firstLine="0" w:firstLineChars="0"/>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该最终分为上述7项累加分。</w:t>
            </w:r>
          </w:p>
        </w:tc>
        <w:tc>
          <w:tcPr>
            <w:tcW w:w="1867" w:type="dxa"/>
            <w:noWrap w:val="0"/>
            <w:vAlign w:val="center"/>
          </w:tcPr>
          <w:p w14:paraId="45DDCB8F">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0AE68ED8">
            <w:pPr>
              <w:widowControl/>
              <w:spacing w:line="240" w:lineRule="exact"/>
              <w:jc w:val="center"/>
              <w:rPr>
                <w:rFonts w:hint="eastAsia" w:ascii="宋体" w:hAnsi="宋体" w:eastAsia="宋体" w:cs="宋体"/>
                <w:color w:val="000000"/>
                <w:kern w:val="0"/>
                <w:sz w:val="18"/>
                <w:szCs w:val="18"/>
              </w:rPr>
            </w:pPr>
          </w:p>
        </w:tc>
      </w:tr>
      <w:tr w14:paraId="4CC06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52" w:type="dxa"/>
            <w:vMerge w:val="continue"/>
            <w:noWrap w:val="0"/>
            <w:vAlign w:val="center"/>
          </w:tcPr>
          <w:p w14:paraId="13DFF380"/>
        </w:tc>
        <w:tc>
          <w:tcPr>
            <w:tcW w:w="4812" w:type="dxa"/>
            <w:noWrap w:val="0"/>
            <w:vAlign w:val="center"/>
          </w:tcPr>
          <w:p w14:paraId="5FFD8D85">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3.对投料、转运、进料、卸灰、成品装袋等环节采取密闭、封闭等有效措施，有效提高废气收集率，产尘点及车间不得有可见烟粉尘外逸，严禁窑顶开放式铺料，严禁窑顶封闭不全烟气直排，除因安全需要设置应急排放口外严禁设置任何旁路；</w:t>
            </w:r>
          </w:p>
        </w:tc>
        <w:tc>
          <w:tcPr>
            <w:tcW w:w="829" w:type="dxa"/>
            <w:noWrap w:val="0"/>
            <w:vAlign w:val="center"/>
          </w:tcPr>
          <w:p w14:paraId="7456E54F">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4</w:t>
            </w:r>
          </w:p>
        </w:tc>
        <w:tc>
          <w:tcPr>
            <w:tcW w:w="4324" w:type="dxa"/>
            <w:noWrap w:val="0"/>
            <w:vAlign w:val="center"/>
          </w:tcPr>
          <w:p w14:paraId="75988AF8">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1.</w:t>
            </w:r>
            <w:r>
              <w:rPr>
                <w:rFonts w:hint="eastAsia" w:ascii="宋体" w:hAnsi="宋体" w:eastAsia="宋体" w:cs="宋体"/>
                <w:kern w:val="0"/>
                <w:sz w:val="18"/>
                <w:szCs w:val="18"/>
              </w:rPr>
              <w:t>投料、转运、进料、卸灰、成品装袋等环节采取密闭、封闭等有效措施</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1分，发现一处不满足的扣0.2分，最多扣1分；</w:t>
            </w:r>
          </w:p>
          <w:p w14:paraId="7409D206">
            <w:pPr>
              <w:numPr>
                <w:ilvl w:val="0"/>
                <w:numId w:val="0"/>
              </w:numPr>
              <w:spacing w:line="240" w:lineRule="exact"/>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2.</w:t>
            </w:r>
            <w:r>
              <w:rPr>
                <w:rFonts w:hint="eastAsia" w:ascii="宋体" w:hAnsi="宋体" w:eastAsia="宋体" w:cs="宋体"/>
                <w:kern w:val="0"/>
                <w:sz w:val="18"/>
                <w:szCs w:val="18"/>
              </w:rPr>
              <w:t>产尘点及车间</w:t>
            </w:r>
            <w:r>
              <w:rPr>
                <w:rFonts w:hint="eastAsia" w:ascii="宋体" w:hAnsi="宋体" w:cs="宋体"/>
                <w:kern w:val="0"/>
                <w:sz w:val="18"/>
                <w:szCs w:val="18"/>
                <w:lang w:eastAsia="zh-CN"/>
              </w:rPr>
              <w:t>无</w:t>
            </w:r>
            <w:r>
              <w:rPr>
                <w:rFonts w:hint="eastAsia" w:ascii="宋体" w:hAnsi="宋体" w:eastAsia="宋体" w:cs="宋体"/>
                <w:kern w:val="0"/>
                <w:sz w:val="18"/>
                <w:szCs w:val="18"/>
              </w:rPr>
              <w:t>可见烟粉尘外逸，窑顶</w:t>
            </w:r>
            <w:r>
              <w:rPr>
                <w:rFonts w:hint="eastAsia" w:ascii="宋体" w:hAnsi="宋体" w:cs="宋体"/>
                <w:kern w:val="0"/>
                <w:sz w:val="18"/>
                <w:szCs w:val="18"/>
                <w:lang w:eastAsia="zh-CN"/>
              </w:rPr>
              <w:t>无</w:t>
            </w:r>
            <w:r>
              <w:rPr>
                <w:rFonts w:hint="eastAsia" w:ascii="宋体" w:hAnsi="宋体" w:eastAsia="宋体" w:cs="宋体"/>
                <w:kern w:val="0"/>
                <w:sz w:val="18"/>
                <w:szCs w:val="18"/>
              </w:rPr>
              <w:t>开放式铺料，窑顶</w:t>
            </w:r>
            <w:r>
              <w:rPr>
                <w:rFonts w:hint="eastAsia" w:ascii="宋体" w:hAnsi="宋体" w:cs="宋体"/>
                <w:kern w:val="0"/>
                <w:sz w:val="18"/>
                <w:szCs w:val="18"/>
                <w:lang w:eastAsia="zh-CN"/>
              </w:rPr>
              <w:t>无</w:t>
            </w:r>
            <w:r>
              <w:rPr>
                <w:rFonts w:hint="eastAsia" w:ascii="宋体" w:hAnsi="宋体" w:eastAsia="宋体" w:cs="宋体"/>
                <w:kern w:val="0"/>
                <w:sz w:val="18"/>
                <w:szCs w:val="18"/>
              </w:rPr>
              <w:t>封闭不全烟气直排</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1分，发现一处不满足的扣0.2分，最多扣1分；</w:t>
            </w:r>
          </w:p>
          <w:p w14:paraId="4D62CE16">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3.</w:t>
            </w:r>
            <w:r>
              <w:rPr>
                <w:rFonts w:hint="eastAsia" w:ascii="宋体" w:hAnsi="宋体" w:eastAsia="宋体" w:cs="宋体"/>
                <w:kern w:val="0"/>
                <w:sz w:val="18"/>
                <w:szCs w:val="18"/>
              </w:rPr>
              <w:t>除因安全需要设置应急排放口外</w:t>
            </w:r>
            <w:r>
              <w:rPr>
                <w:rFonts w:hint="eastAsia" w:ascii="宋体" w:hAnsi="宋体" w:cs="宋体"/>
                <w:kern w:val="0"/>
                <w:sz w:val="18"/>
                <w:szCs w:val="18"/>
                <w:lang w:eastAsia="zh-CN"/>
              </w:rPr>
              <w:t>，无</w:t>
            </w:r>
            <w:r>
              <w:rPr>
                <w:rFonts w:hint="eastAsia" w:ascii="宋体" w:hAnsi="宋体" w:eastAsia="宋体" w:cs="宋体"/>
                <w:kern w:val="0"/>
                <w:sz w:val="18"/>
                <w:szCs w:val="18"/>
              </w:rPr>
              <w:t>设置任何旁路</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2分，发现一处不满足的即扣完此项分。</w:t>
            </w:r>
          </w:p>
          <w:p w14:paraId="079E45C6">
            <w:pPr>
              <w:numPr>
                <w:ilvl w:val="0"/>
                <w:numId w:val="0"/>
              </w:numPr>
              <w:spacing w:line="240" w:lineRule="exact"/>
              <w:ind w:left="0" w:leftChars="0" w:firstLine="0" w:firstLineChars="0"/>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该最终分为上述3项累加分。</w:t>
            </w:r>
          </w:p>
        </w:tc>
        <w:tc>
          <w:tcPr>
            <w:tcW w:w="1867" w:type="dxa"/>
            <w:noWrap w:val="0"/>
            <w:vAlign w:val="center"/>
          </w:tcPr>
          <w:p w14:paraId="36C38D31">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35289C47">
            <w:pPr>
              <w:widowControl/>
              <w:spacing w:line="240" w:lineRule="exact"/>
              <w:jc w:val="center"/>
              <w:rPr>
                <w:rFonts w:hint="eastAsia" w:ascii="宋体" w:hAnsi="宋体" w:eastAsia="宋体" w:cs="宋体"/>
                <w:color w:val="000000"/>
                <w:kern w:val="0"/>
                <w:sz w:val="18"/>
                <w:szCs w:val="18"/>
              </w:rPr>
            </w:pPr>
          </w:p>
        </w:tc>
      </w:tr>
      <w:tr w14:paraId="6F0C6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952" w:type="dxa"/>
            <w:vMerge w:val="continue"/>
            <w:noWrap w:val="0"/>
            <w:vAlign w:val="center"/>
          </w:tcPr>
          <w:p w14:paraId="13139AD2"/>
        </w:tc>
        <w:tc>
          <w:tcPr>
            <w:tcW w:w="4812" w:type="dxa"/>
            <w:noWrap w:val="0"/>
            <w:vAlign w:val="center"/>
          </w:tcPr>
          <w:p w14:paraId="677780AC">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4.在产污设施、治污设施端安装用电监控设备并与生态环境主管部门用电监控系统联网；</w:t>
            </w:r>
          </w:p>
        </w:tc>
        <w:tc>
          <w:tcPr>
            <w:tcW w:w="829" w:type="dxa"/>
            <w:noWrap w:val="0"/>
            <w:vAlign w:val="center"/>
          </w:tcPr>
          <w:p w14:paraId="028B28F1">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1</w:t>
            </w:r>
          </w:p>
        </w:tc>
        <w:tc>
          <w:tcPr>
            <w:tcW w:w="4324" w:type="dxa"/>
            <w:noWrap w:val="0"/>
            <w:vAlign w:val="center"/>
          </w:tcPr>
          <w:p w14:paraId="25D05531">
            <w:p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1.</w:t>
            </w:r>
            <w:r>
              <w:rPr>
                <w:rFonts w:hint="eastAsia" w:ascii="宋体" w:hAnsi="宋体" w:eastAsia="宋体" w:cs="宋体"/>
                <w:kern w:val="0"/>
                <w:sz w:val="18"/>
                <w:szCs w:val="18"/>
              </w:rPr>
              <w:t>产污设施、治污设施端</w:t>
            </w:r>
            <w:r>
              <w:rPr>
                <w:rFonts w:hint="eastAsia" w:ascii="宋体" w:hAnsi="宋体" w:cs="宋体"/>
                <w:kern w:val="0"/>
                <w:sz w:val="18"/>
                <w:szCs w:val="18"/>
                <w:lang w:eastAsia="zh-CN"/>
              </w:rPr>
              <w:t>已</w:t>
            </w:r>
            <w:r>
              <w:rPr>
                <w:rFonts w:hint="eastAsia" w:ascii="宋体" w:hAnsi="宋体" w:eastAsia="宋体" w:cs="宋体"/>
                <w:kern w:val="0"/>
                <w:sz w:val="18"/>
                <w:szCs w:val="18"/>
              </w:rPr>
              <w:t>安装用电监控设备</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0.5分；2.</w:t>
            </w:r>
            <w:r>
              <w:rPr>
                <w:rFonts w:hint="eastAsia" w:ascii="宋体" w:hAnsi="宋体" w:eastAsia="宋体" w:cs="宋体"/>
                <w:kern w:val="0"/>
                <w:sz w:val="18"/>
                <w:szCs w:val="18"/>
              </w:rPr>
              <w:t>与生态环境主管部门用电监控系统联网</w:t>
            </w:r>
            <w:r>
              <w:rPr>
                <w:rFonts w:hint="eastAsia" w:ascii="宋体" w:hAnsi="宋体" w:cs="宋体"/>
                <w:kern w:val="0"/>
                <w:sz w:val="18"/>
                <w:szCs w:val="18"/>
                <w:lang w:val="en-US" w:eastAsia="zh-CN"/>
              </w:rPr>
              <w:t>且正常运行</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0.5分。</w:t>
            </w:r>
          </w:p>
          <w:p w14:paraId="51F56879">
            <w:pPr>
              <w:spacing w:line="240" w:lineRule="exact"/>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该最终分为上述2项累加分。</w:t>
            </w:r>
          </w:p>
        </w:tc>
        <w:tc>
          <w:tcPr>
            <w:tcW w:w="1867" w:type="dxa"/>
            <w:noWrap w:val="0"/>
            <w:vAlign w:val="center"/>
          </w:tcPr>
          <w:p w14:paraId="6782BE73">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59D86692">
            <w:pPr>
              <w:widowControl/>
              <w:spacing w:line="240" w:lineRule="exact"/>
              <w:jc w:val="center"/>
              <w:rPr>
                <w:rFonts w:hint="eastAsia" w:ascii="宋体" w:hAnsi="宋体" w:eastAsia="宋体" w:cs="宋体"/>
                <w:color w:val="000000"/>
                <w:kern w:val="0"/>
                <w:sz w:val="18"/>
                <w:szCs w:val="18"/>
              </w:rPr>
            </w:pPr>
          </w:p>
        </w:tc>
      </w:tr>
      <w:tr w14:paraId="3FD5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952" w:type="dxa"/>
            <w:vMerge w:val="continue"/>
            <w:noWrap w:val="0"/>
            <w:vAlign w:val="center"/>
          </w:tcPr>
          <w:p w14:paraId="1AC40AFE"/>
        </w:tc>
        <w:tc>
          <w:tcPr>
            <w:tcW w:w="4812" w:type="dxa"/>
            <w:noWrap w:val="0"/>
            <w:vAlign w:val="center"/>
          </w:tcPr>
          <w:p w14:paraId="583B1DF9">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5.在窑顶窑门正面、烟气排放口、在线监控站房、厂界四周等重点部位安装视频监控设备，实现与生态环境主管部门在线监控平台联网；</w:t>
            </w:r>
          </w:p>
        </w:tc>
        <w:tc>
          <w:tcPr>
            <w:tcW w:w="829" w:type="dxa"/>
            <w:noWrap w:val="0"/>
            <w:vAlign w:val="center"/>
          </w:tcPr>
          <w:p w14:paraId="47A52009">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1</w:t>
            </w:r>
          </w:p>
        </w:tc>
        <w:tc>
          <w:tcPr>
            <w:tcW w:w="4324" w:type="dxa"/>
            <w:noWrap w:val="0"/>
            <w:vAlign w:val="center"/>
          </w:tcPr>
          <w:p w14:paraId="30095099">
            <w:pPr>
              <w:spacing w:line="240" w:lineRule="exact"/>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rPr>
              <w:t>在窑顶窑门正面、烟气排放口、在线监控站房、厂界四周等重点部位安装视频监控设备，实现与生态环境主管部门在线监控平台联网</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1分，发现一处不满足的扣0.5分，直至扣完。</w:t>
            </w:r>
          </w:p>
        </w:tc>
        <w:tc>
          <w:tcPr>
            <w:tcW w:w="1867" w:type="dxa"/>
            <w:noWrap w:val="0"/>
            <w:vAlign w:val="center"/>
          </w:tcPr>
          <w:p w14:paraId="49355994">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1C573C61">
            <w:pPr>
              <w:widowControl/>
              <w:spacing w:line="240" w:lineRule="exact"/>
              <w:jc w:val="center"/>
              <w:rPr>
                <w:rFonts w:hint="eastAsia" w:ascii="宋体" w:hAnsi="宋体" w:eastAsia="宋体" w:cs="宋体"/>
                <w:color w:val="000000"/>
                <w:kern w:val="0"/>
                <w:sz w:val="18"/>
                <w:szCs w:val="18"/>
              </w:rPr>
            </w:pPr>
          </w:p>
        </w:tc>
      </w:tr>
      <w:tr w14:paraId="63404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2" w:type="dxa"/>
            <w:vMerge w:val="continue"/>
            <w:noWrap w:val="0"/>
            <w:vAlign w:val="center"/>
          </w:tcPr>
          <w:p w14:paraId="6BA78487"/>
        </w:tc>
        <w:tc>
          <w:tcPr>
            <w:tcW w:w="4812" w:type="dxa"/>
            <w:noWrap w:val="0"/>
            <w:vAlign w:val="center"/>
          </w:tcPr>
          <w:p w14:paraId="1C4205F5">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6.烟气主排放口安装烟气排放连续监测设备（CEMS），在线监测系统安装要求及详细参数按照《固定污染源烟气（SO2、NOX、颗粒物）排放连续监测技术规范》（HJ 75-2017）、《固定污染源烟气（SO2、NOX、颗粒物）排放连续监测系统技术要求及检测方法》（HJ 76-2017）等相关规范执行。委托第三方专业机构对CEMS进行运维，自动监测数据有效传输率不低于90%，保证监测设备正常运行并依法公开排放信息；</w:t>
            </w:r>
          </w:p>
        </w:tc>
        <w:tc>
          <w:tcPr>
            <w:tcW w:w="829" w:type="dxa"/>
            <w:noWrap w:val="0"/>
            <w:vAlign w:val="center"/>
          </w:tcPr>
          <w:p w14:paraId="5EB73D60">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2</w:t>
            </w:r>
          </w:p>
        </w:tc>
        <w:tc>
          <w:tcPr>
            <w:tcW w:w="4324" w:type="dxa"/>
            <w:noWrap w:val="0"/>
            <w:vAlign w:val="center"/>
          </w:tcPr>
          <w:p w14:paraId="0AD7F909">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1.</w:t>
            </w:r>
            <w:r>
              <w:rPr>
                <w:rFonts w:hint="eastAsia" w:ascii="宋体" w:hAnsi="宋体" w:eastAsia="宋体" w:cs="宋体"/>
                <w:kern w:val="0"/>
                <w:sz w:val="18"/>
                <w:szCs w:val="18"/>
              </w:rPr>
              <w:t>烟气主排放口安装烟气排放连续监测设备（CEMS），在线监测系统安装要求及详细参数</w:t>
            </w:r>
            <w:r>
              <w:rPr>
                <w:rFonts w:hint="eastAsia" w:ascii="宋体" w:hAnsi="宋体" w:cs="宋体"/>
                <w:kern w:val="0"/>
                <w:sz w:val="18"/>
                <w:szCs w:val="18"/>
                <w:lang w:eastAsia="zh-CN"/>
              </w:rPr>
              <w:t>按相关规范执行的得</w:t>
            </w:r>
            <w:r>
              <w:rPr>
                <w:rFonts w:hint="eastAsia" w:ascii="宋体" w:hAnsi="宋体" w:cs="宋体"/>
                <w:kern w:val="0"/>
                <w:sz w:val="18"/>
                <w:szCs w:val="18"/>
                <w:lang w:val="en-US" w:eastAsia="zh-CN"/>
              </w:rPr>
              <w:t>1分；</w:t>
            </w:r>
          </w:p>
          <w:p w14:paraId="15383550">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2.</w:t>
            </w:r>
            <w:r>
              <w:rPr>
                <w:rFonts w:hint="eastAsia" w:ascii="宋体" w:hAnsi="宋体" w:eastAsia="宋体" w:cs="宋体"/>
                <w:kern w:val="0"/>
                <w:sz w:val="18"/>
                <w:szCs w:val="18"/>
              </w:rPr>
              <w:t>委托第三方专业机构对CEMS进行运维</w:t>
            </w:r>
            <w:r>
              <w:rPr>
                <w:rFonts w:hint="eastAsia" w:ascii="宋体" w:hAnsi="宋体" w:cs="宋体"/>
                <w:kern w:val="0"/>
                <w:sz w:val="18"/>
                <w:szCs w:val="18"/>
                <w:lang w:eastAsia="zh-CN"/>
              </w:rPr>
              <w:t>且</w:t>
            </w:r>
            <w:r>
              <w:rPr>
                <w:rFonts w:hint="eastAsia" w:ascii="宋体" w:hAnsi="宋体" w:eastAsia="宋体" w:cs="宋体"/>
                <w:kern w:val="0"/>
                <w:sz w:val="18"/>
                <w:szCs w:val="18"/>
              </w:rPr>
              <w:t>自动监测数据有效传输率不低于90%</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0.5分；</w:t>
            </w:r>
          </w:p>
          <w:p w14:paraId="22A9D360">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3.</w:t>
            </w:r>
            <w:r>
              <w:rPr>
                <w:rFonts w:hint="eastAsia" w:ascii="宋体" w:hAnsi="宋体" w:eastAsia="宋体" w:cs="宋体"/>
                <w:kern w:val="0"/>
                <w:sz w:val="18"/>
                <w:szCs w:val="18"/>
              </w:rPr>
              <w:t>保证监测设备正常运行并依法公开排放信息</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0.5分。</w:t>
            </w:r>
          </w:p>
          <w:p w14:paraId="412C7CCB">
            <w:pPr>
              <w:numPr>
                <w:ilvl w:val="0"/>
                <w:numId w:val="0"/>
              </w:numPr>
              <w:spacing w:line="240" w:lineRule="exact"/>
              <w:ind w:left="0" w:leftChars="0" w:firstLine="0" w:firstLineChars="0"/>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该最终分为上述3项累加分。</w:t>
            </w:r>
          </w:p>
        </w:tc>
        <w:tc>
          <w:tcPr>
            <w:tcW w:w="1867" w:type="dxa"/>
            <w:noWrap w:val="0"/>
            <w:vAlign w:val="center"/>
          </w:tcPr>
          <w:p w14:paraId="480DCF7F">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540835CA">
            <w:pPr>
              <w:widowControl/>
              <w:spacing w:line="240" w:lineRule="exact"/>
              <w:jc w:val="center"/>
              <w:rPr>
                <w:rFonts w:hint="eastAsia" w:ascii="宋体" w:hAnsi="宋体" w:eastAsia="宋体" w:cs="宋体"/>
                <w:color w:val="000000"/>
                <w:kern w:val="0"/>
                <w:sz w:val="18"/>
                <w:szCs w:val="18"/>
              </w:rPr>
            </w:pPr>
          </w:p>
        </w:tc>
      </w:tr>
      <w:tr w14:paraId="38E49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2" w:type="dxa"/>
            <w:vMerge w:val="continue"/>
            <w:noWrap w:val="0"/>
            <w:vAlign w:val="center"/>
          </w:tcPr>
          <w:p w14:paraId="36B11171"/>
        </w:tc>
        <w:tc>
          <w:tcPr>
            <w:tcW w:w="4812" w:type="dxa"/>
            <w:noWrap w:val="0"/>
            <w:vAlign w:val="center"/>
          </w:tcPr>
          <w:p w14:paraId="23B6545A">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7.严格执行排污许可规定的排放限值要求，到2026年底，石灰石煅烧企业严格执行氧化钙工段颗粒物20mg/m3、二氧化硫100mg/m3、氮氧化物200mg/m3（基准氧含量10%）排放限值，氢氧化钙、轻质碳酸钙工段10mg/m3、二氧化硫100mg/m3、氮氧化物100mg/m3（基准氧含量10%）排放限值。</w:t>
            </w:r>
          </w:p>
        </w:tc>
        <w:tc>
          <w:tcPr>
            <w:tcW w:w="829" w:type="dxa"/>
            <w:noWrap w:val="0"/>
            <w:vAlign w:val="center"/>
          </w:tcPr>
          <w:p w14:paraId="71767C3E">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2</w:t>
            </w:r>
          </w:p>
        </w:tc>
        <w:tc>
          <w:tcPr>
            <w:tcW w:w="4324" w:type="dxa"/>
            <w:noWrap w:val="0"/>
            <w:vAlign w:val="center"/>
          </w:tcPr>
          <w:p w14:paraId="79C727B4">
            <w:pPr>
              <w:spacing w:line="240" w:lineRule="exact"/>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rPr>
              <w:t>石灰石煅烧企业严格执行氧化钙工段颗粒物20mg/m3、二氧化硫100mg/m3、氮氧化物200mg/m3（基准氧含量10%）排放限值，氢氧化钙、轻质碳酸钙工段10mg/m3、二氧化硫100mg/m3、氮氧化物100mg/m3排放限值</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2分，发现1项指标不满足的扣1分，直至扣完。</w:t>
            </w:r>
          </w:p>
        </w:tc>
        <w:tc>
          <w:tcPr>
            <w:tcW w:w="1867" w:type="dxa"/>
            <w:noWrap w:val="0"/>
            <w:vAlign w:val="center"/>
          </w:tcPr>
          <w:p w14:paraId="0EFDF655">
            <w:pPr>
              <w:widowControl/>
              <w:spacing w:line="240" w:lineRule="exact"/>
              <w:jc w:val="center"/>
              <w:rPr>
                <w:rFonts w:hint="default" w:ascii="宋体" w:hAnsi="宋体" w:eastAsia="宋体" w:cs="宋体"/>
                <w:color w:val="000000"/>
                <w:kern w:val="0"/>
                <w:sz w:val="18"/>
                <w:szCs w:val="18"/>
                <w:lang w:val="en-US" w:eastAsia="zh-CN" w:bidi="ar-SA"/>
              </w:rPr>
            </w:pPr>
            <w:r>
              <w:rPr>
                <w:rFonts w:hint="eastAsia" w:ascii="宋体" w:hAnsi="宋体" w:cs="宋体"/>
                <w:color w:val="000000"/>
                <w:kern w:val="0"/>
                <w:sz w:val="18"/>
                <w:szCs w:val="18"/>
                <w:lang w:val="en-US" w:eastAsia="zh-CN"/>
              </w:rPr>
              <w:t>区生态环境分局</w:t>
            </w:r>
          </w:p>
        </w:tc>
        <w:tc>
          <w:tcPr>
            <w:tcW w:w="722" w:type="dxa"/>
            <w:noWrap w:val="0"/>
            <w:vAlign w:val="center"/>
          </w:tcPr>
          <w:p w14:paraId="6355ECF3">
            <w:pPr>
              <w:widowControl/>
              <w:spacing w:line="240" w:lineRule="exact"/>
              <w:jc w:val="center"/>
              <w:rPr>
                <w:rFonts w:hint="eastAsia" w:ascii="宋体" w:hAnsi="宋体" w:eastAsia="宋体" w:cs="宋体"/>
                <w:color w:val="000000"/>
                <w:kern w:val="0"/>
                <w:sz w:val="18"/>
                <w:szCs w:val="18"/>
              </w:rPr>
            </w:pPr>
          </w:p>
        </w:tc>
      </w:tr>
      <w:tr w14:paraId="00799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952" w:type="dxa"/>
            <w:vMerge w:val="continue"/>
            <w:noWrap w:val="0"/>
            <w:vAlign w:val="center"/>
          </w:tcPr>
          <w:p w14:paraId="0C11FBCD"/>
        </w:tc>
        <w:tc>
          <w:tcPr>
            <w:tcW w:w="4812" w:type="dxa"/>
            <w:noWrap w:val="0"/>
            <w:vAlign w:val="center"/>
          </w:tcPr>
          <w:p w14:paraId="53580C94">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8.防尘效果达到职业卫生标准；</w:t>
            </w:r>
          </w:p>
        </w:tc>
        <w:tc>
          <w:tcPr>
            <w:tcW w:w="829" w:type="dxa"/>
            <w:noWrap w:val="0"/>
            <w:vAlign w:val="center"/>
          </w:tcPr>
          <w:p w14:paraId="65216E6F">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1</w:t>
            </w:r>
          </w:p>
        </w:tc>
        <w:tc>
          <w:tcPr>
            <w:tcW w:w="4324" w:type="dxa"/>
            <w:noWrap w:val="0"/>
            <w:vAlign w:val="center"/>
          </w:tcPr>
          <w:p w14:paraId="7D64BCA8">
            <w:pPr>
              <w:spacing w:line="240" w:lineRule="exact"/>
              <w:rPr>
                <w:rFonts w:hint="eastAsia" w:ascii="宋体" w:hAnsi="宋体" w:eastAsia="宋体" w:cs="宋体"/>
                <w:kern w:val="0"/>
                <w:sz w:val="18"/>
                <w:szCs w:val="18"/>
                <w:lang w:val="en-US" w:eastAsia="zh-CN" w:bidi="ar-SA"/>
              </w:rPr>
            </w:pPr>
            <w:r>
              <w:rPr>
                <w:rFonts w:hint="eastAsia" w:ascii="宋体" w:hAnsi="宋体" w:cs="宋体"/>
                <w:color w:val="000000"/>
                <w:kern w:val="0"/>
                <w:sz w:val="18"/>
                <w:szCs w:val="18"/>
                <w:lang w:val="en-US" w:eastAsia="zh-CN"/>
              </w:rPr>
              <w:t>企业</w:t>
            </w:r>
            <w:r>
              <w:rPr>
                <w:rFonts w:hint="eastAsia" w:ascii="宋体" w:hAnsi="宋体" w:eastAsia="宋体" w:cs="宋体"/>
                <w:color w:val="000000"/>
                <w:kern w:val="0"/>
                <w:sz w:val="18"/>
                <w:szCs w:val="18"/>
              </w:rPr>
              <w:t>是否有防尘检测标准</w:t>
            </w:r>
            <w:r>
              <w:rPr>
                <w:rFonts w:hint="eastAsia" w:ascii="宋体" w:hAnsi="宋体" w:cs="宋体"/>
                <w:color w:val="000000"/>
                <w:kern w:val="0"/>
                <w:sz w:val="18"/>
                <w:szCs w:val="18"/>
                <w:lang w:eastAsia="zh-CN"/>
              </w:rPr>
              <w:t>。</w:t>
            </w:r>
          </w:p>
        </w:tc>
        <w:tc>
          <w:tcPr>
            <w:tcW w:w="1867" w:type="dxa"/>
            <w:noWrap w:val="0"/>
            <w:vAlign w:val="center"/>
          </w:tcPr>
          <w:p w14:paraId="1C677C20">
            <w:pPr>
              <w:widowControl/>
              <w:spacing w:line="240" w:lineRule="exact"/>
              <w:jc w:val="center"/>
              <w:rPr>
                <w:rFonts w:hint="default" w:ascii="宋体" w:hAnsi="宋体" w:eastAsia="宋体" w:cs="宋体"/>
                <w:color w:val="000000"/>
                <w:kern w:val="0"/>
                <w:sz w:val="18"/>
                <w:szCs w:val="18"/>
                <w:lang w:val="en-US" w:eastAsia="zh-CN" w:bidi="ar-SA"/>
              </w:rPr>
            </w:pPr>
            <w:r>
              <w:rPr>
                <w:rFonts w:hint="eastAsia" w:ascii="宋体" w:hAnsi="宋体" w:cs="宋体"/>
                <w:color w:val="000000"/>
                <w:kern w:val="0"/>
                <w:sz w:val="18"/>
                <w:szCs w:val="18"/>
                <w:lang w:val="en-US" w:eastAsia="zh-CN"/>
              </w:rPr>
              <w:t>区卫健委</w:t>
            </w:r>
          </w:p>
        </w:tc>
        <w:tc>
          <w:tcPr>
            <w:tcW w:w="722" w:type="dxa"/>
            <w:noWrap w:val="0"/>
            <w:vAlign w:val="center"/>
          </w:tcPr>
          <w:p w14:paraId="09C643CA">
            <w:pPr>
              <w:widowControl/>
              <w:spacing w:line="240" w:lineRule="exact"/>
              <w:jc w:val="center"/>
              <w:rPr>
                <w:rFonts w:hint="eastAsia" w:ascii="宋体" w:hAnsi="宋体" w:eastAsia="宋体" w:cs="宋体"/>
                <w:color w:val="000000"/>
                <w:kern w:val="0"/>
                <w:sz w:val="18"/>
                <w:szCs w:val="18"/>
              </w:rPr>
            </w:pPr>
          </w:p>
        </w:tc>
      </w:tr>
      <w:tr w14:paraId="59C50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2" w:type="dxa"/>
            <w:vMerge w:val="continue"/>
            <w:noWrap w:val="0"/>
            <w:vAlign w:val="center"/>
          </w:tcPr>
          <w:p w14:paraId="6533710C"/>
        </w:tc>
        <w:tc>
          <w:tcPr>
            <w:tcW w:w="4812" w:type="dxa"/>
            <w:noWrap w:val="0"/>
            <w:vAlign w:val="center"/>
          </w:tcPr>
          <w:p w14:paraId="4B8E3417">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9.厂房内距离地面高1米处呼尘不高于4mg/m³，总尘不高于8mg/m³。</w:t>
            </w:r>
          </w:p>
        </w:tc>
        <w:tc>
          <w:tcPr>
            <w:tcW w:w="829" w:type="dxa"/>
            <w:noWrap w:val="0"/>
            <w:vAlign w:val="center"/>
          </w:tcPr>
          <w:p w14:paraId="0F6668F6">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1</w:t>
            </w:r>
          </w:p>
        </w:tc>
        <w:tc>
          <w:tcPr>
            <w:tcW w:w="4324" w:type="dxa"/>
            <w:noWrap w:val="0"/>
            <w:vAlign w:val="center"/>
          </w:tcPr>
          <w:p w14:paraId="320A767F">
            <w:pPr>
              <w:spacing w:line="240" w:lineRule="exact"/>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rPr>
              <w:t>厂房内距离地面高1米处呼尘不高于4mg/m³，总尘不高于8mg/m³</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1分，发现1处不满足的扣0.5分，直至扣完。</w:t>
            </w:r>
          </w:p>
        </w:tc>
        <w:tc>
          <w:tcPr>
            <w:tcW w:w="1867" w:type="dxa"/>
            <w:noWrap w:val="0"/>
            <w:vAlign w:val="center"/>
          </w:tcPr>
          <w:p w14:paraId="5842D854">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01D94898">
            <w:pPr>
              <w:widowControl/>
              <w:spacing w:line="240" w:lineRule="exact"/>
              <w:jc w:val="center"/>
              <w:rPr>
                <w:rFonts w:hint="eastAsia" w:ascii="宋体" w:hAnsi="宋体" w:eastAsia="宋体" w:cs="宋体"/>
                <w:color w:val="000000"/>
                <w:kern w:val="0"/>
                <w:sz w:val="18"/>
                <w:szCs w:val="18"/>
              </w:rPr>
            </w:pPr>
          </w:p>
        </w:tc>
      </w:tr>
      <w:tr w14:paraId="6F0F0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52" w:type="dxa"/>
            <w:vMerge w:val="restart"/>
            <w:noWrap w:val="0"/>
            <w:vAlign w:val="center"/>
          </w:tcPr>
          <w:p w14:paraId="51C945CC">
            <w:r>
              <w:rPr>
                <w:rFonts w:hint="eastAsia"/>
              </w:rPr>
              <w:t>（五）电机系统</w:t>
            </w:r>
          </w:p>
          <w:p w14:paraId="3ECBB2CD"/>
        </w:tc>
        <w:tc>
          <w:tcPr>
            <w:tcW w:w="4812" w:type="dxa"/>
            <w:noWrap w:val="0"/>
            <w:vAlign w:val="center"/>
          </w:tcPr>
          <w:p w14:paraId="392A6323">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1.使用列入《“能效之星”产品目录》和《节能机电设备（产品）推荐目录》（有效期内）的产品或其他能效标准达到1级的机电设备；</w:t>
            </w:r>
          </w:p>
        </w:tc>
        <w:tc>
          <w:tcPr>
            <w:tcW w:w="829" w:type="dxa"/>
            <w:noWrap w:val="0"/>
            <w:vAlign w:val="center"/>
          </w:tcPr>
          <w:p w14:paraId="5BAFB348">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1</w:t>
            </w:r>
          </w:p>
        </w:tc>
        <w:tc>
          <w:tcPr>
            <w:tcW w:w="4324" w:type="dxa"/>
            <w:noWrap w:val="0"/>
            <w:vAlign w:val="center"/>
          </w:tcPr>
          <w:p w14:paraId="3D6741B1">
            <w:pPr>
              <w:spacing w:line="240" w:lineRule="exact"/>
              <w:rPr>
                <w:rFonts w:hint="default" w:ascii="宋体" w:hAnsi="宋体" w:eastAsia="宋体" w:cs="宋体"/>
                <w:kern w:val="0"/>
                <w:sz w:val="18"/>
                <w:szCs w:val="18"/>
                <w:lang w:val="en-US" w:eastAsia="zh-CN" w:bidi="ar-SA"/>
              </w:rPr>
            </w:pPr>
            <w:r>
              <w:rPr>
                <w:rFonts w:hint="eastAsia" w:ascii="宋体" w:hAnsi="宋体" w:cs="宋体"/>
                <w:kern w:val="0"/>
                <w:sz w:val="18"/>
                <w:szCs w:val="18"/>
                <w:lang w:val="en-US" w:eastAsia="zh-CN" w:bidi="ar-SA"/>
              </w:rPr>
              <w:t>机电设备全部达到1级的得1分，每发现一个3级能耗标准的机电设备，每个扣0.1分，直至扣完。</w:t>
            </w:r>
          </w:p>
        </w:tc>
        <w:tc>
          <w:tcPr>
            <w:tcW w:w="1867" w:type="dxa"/>
            <w:noWrap w:val="0"/>
            <w:vAlign w:val="center"/>
          </w:tcPr>
          <w:p w14:paraId="0FCF6C82">
            <w:pPr>
              <w:widowControl/>
              <w:spacing w:line="240" w:lineRule="exact"/>
              <w:jc w:val="center"/>
              <w:rPr>
                <w:rFonts w:hint="default" w:ascii="宋体" w:hAnsi="宋体" w:eastAsia="宋体" w:cs="宋体"/>
                <w:color w:val="000000"/>
                <w:kern w:val="0"/>
                <w:sz w:val="18"/>
                <w:szCs w:val="18"/>
                <w:lang w:val="en-US" w:eastAsia="zh-CN" w:bidi="ar-SA"/>
              </w:rPr>
            </w:pPr>
            <w:r>
              <w:rPr>
                <w:rFonts w:hint="eastAsia" w:ascii="宋体" w:hAnsi="宋体" w:cs="宋体"/>
                <w:color w:val="000000"/>
                <w:kern w:val="0"/>
                <w:sz w:val="18"/>
                <w:szCs w:val="18"/>
                <w:lang w:val="en-US" w:eastAsia="zh-CN"/>
              </w:rPr>
              <w:t>区发改委、区工信局</w:t>
            </w:r>
          </w:p>
        </w:tc>
        <w:tc>
          <w:tcPr>
            <w:tcW w:w="722" w:type="dxa"/>
            <w:noWrap w:val="0"/>
            <w:vAlign w:val="center"/>
          </w:tcPr>
          <w:p w14:paraId="27C98EC1">
            <w:pPr>
              <w:widowControl/>
              <w:spacing w:line="240" w:lineRule="exact"/>
              <w:jc w:val="center"/>
              <w:rPr>
                <w:rFonts w:hint="eastAsia" w:ascii="宋体" w:hAnsi="宋体" w:eastAsia="宋体" w:cs="宋体"/>
                <w:color w:val="000000"/>
                <w:kern w:val="0"/>
                <w:sz w:val="18"/>
                <w:szCs w:val="18"/>
              </w:rPr>
            </w:pPr>
          </w:p>
        </w:tc>
      </w:tr>
      <w:tr w14:paraId="11A26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952" w:type="dxa"/>
            <w:vMerge w:val="continue"/>
            <w:noWrap w:val="0"/>
            <w:vAlign w:val="center"/>
          </w:tcPr>
          <w:p w14:paraId="208E5C4F"/>
        </w:tc>
        <w:tc>
          <w:tcPr>
            <w:tcW w:w="4812" w:type="dxa"/>
            <w:noWrap w:val="0"/>
            <w:vAlign w:val="center"/>
          </w:tcPr>
          <w:p w14:paraId="7AB9C023">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2.配置无功补偿设备；</w:t>
            </w:r>
          </w:p>
        </w:tc>
        <w:tc>
          <w:tcPr>
            <w:tcW w:w="829" w:type="dxa"/>
            <w:noWrap w:val="0"/>
            <w:vAlign w:val="center"/>
          </w:tcPr>
          <w:p w14:paraId="6B9B3DB4">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1</w:t>
            </w:r>
          </w:p>
        </w:tc>
        <w:tc>
          <w:tcPr>
            <w:tcW w:w="4324" w:type="dxa"/>
            <w:noWrap w:val="0"/>
            <w:vAlign w:val="center"/>
          </w:tcPr>
          <w:p w14:paraId="09664515">
            <w:pPr>
              <w:spacing w:line="240" w:lineRule="exact"/>
              <w:rPr>
                <w:rFonts w:hint="default" w:ascii="宋体" w:hAnsi="宋体" w:eastAsia="宋体" w:cs="宋体"/>
                <w:kern w:val="0"/>
                <w:sz w:val="18"/>
                <w:szCs w:val="18"/>
                <w:lang w:val="en-US" w:eastAsia="zh-CN" w:bidi="ar-SA"/>
              </w:rPr>
            </w:pPr>
            <w:r>
              <w:rPr>
                <w:rFonts w:hint="eastAsia" w:ascii="宋体" w:hAnsi="宋体" w:eastAsia="宋体" w:cs="宋体"/>
                <w:kern w:val="0"/>
                <w:sz w:val="18"/>
                <w:szCs w:val="18"/>
              </w:rPr>
              <w:t>配置无功补偿设备</w:t>
            </w:r>
            <w:r>
              <w:rPr>
                <w:rFonts w:hint="eastAsia" w:ascii="宋体" w:hAnsi="宋体" w:eastAsia="宋体" w:cs="宋体"/>
                <w:kern w:val="0"/>
                <w:sz w:val="18"/>
                <w:szCs w:val="18"/>
                <w:lang w:eastAsia="zh-CN"/>
              </w:rPr>
              <w:t>得</w:t>
            </w:r>
            <w:r>
              <w:rPr>
                <w:rFonts w:hint="eastAsia" w:ascii="宋体" w:hAnsi="宋体" w:eastAsia="宋体" w:cs="宋体"/>
                <w:kern w:val="0"/>
                <w:sz w:val="18"/>
                <w:szCs w:val="18"/>
                <w:lang w:val="en-US" w:eastAsia="zh-CN"/>
              </w:rPr>
              <w:t>1分，反之不得分。</w:t>
            </w:r>
          </w:p>
        </w:tc>
        <w:tc>
          <w:tcPr>
            <w:tcW w:w="1867" w:type="dxa"/>
            <w:noWrap w:val="0"/>
            <w:vAlign w:val="center"/>
          </w:tcPr>
          <w:p w14:paraId="5921457D">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color w:val="000000"/>
                <w:kern w:val="0"/>
                <w:sz w:val="18"/>
                <w:szCs w:val="18"/>
                <w:lang w:val="en-US" w:eastAsia="zh-CN"/>
              </w:rPr>
              <w:t>区发改委、区工信局</w:t>
            </w:r>
          </w:p>
        </w:tc>
        <w:tc>
          <w:tcPr>
            <w:tcW w:w="722" w:type="dxa"/>
            <w:noWrap w:val="0"/>
            <w:vAlign w:val="center"/>
          </w:tcPr>
          <w:p w14:paraId="33C7A1D9">
            <w:pPr>
              <w:widowControl/>
              <w:spacing w:line="240" w:lineRule="exact"/>
              <w:jc w:val="center"/>
              <w:rPr>
                <w:rFonts w:hint="eastAsia" w:ascii="宋体" w:hAnsi="宋体" w:eastAsia="宋体" w:cs="宋体"/>
                <w:color w:val="000000"/>
                <w:kern w:val="0"/>
                <w:sz w:val="18"/>
                <w:szCs w:val="18"/>
              </w:rPr>
            </w:pPr>
          </w:p>
        </w:tc>
      </w:tr>
      <w:tr w14:paraId="280EF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952" w:type="dxa"/>
            <w:vMerge w:val="continue"/>
            <w:noWrap w:val="0"/>
            <w:vAlign w:val="center"/>
          </w:tcPr>
          <w:p w14:paraId="2E75E456"/>
        </w:tc>
        <w:tc>
          <w:tcPr>
            <w:tcW w:w="4812" w:type="dxa"/>
            <w:noWrap w:val="0"/>
            <w:vAlign w:val="center"/>
          </w:tcPr>
          <w:p w14:paraId="0FA572EE">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3.设备运行期间功率因素不低于95%；</w:t>
            </w:r>
          </w:p>
        </w:tc>
        <w:tc>
          <w:tcPr>
            <w:tcW w:w="829" w:type="dxa"/>
            <w:noWrap w:val="0"/>
            <w:vAlign w:val="center"/>
          </w:tcPr>
          <w:p w14:paraId="6C74FEE8">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1</w:t>
            </w:r>
          </w:p>
        </w:tc>
        <w:tc>
          <w:tcPr>
            <w:tcW w:w="4324" w:type="dxa"/>
            <w:noWrap w:val="0"/>
            <w:vAlign w:val="center"/>
          </w:tcPr>
          <w:p w14:paraId="4099A43F">
            <w:pPr>
              <w:spacing w:line="240" w:lineRule="exact"/>
              <w:rPr>
                <w:rFonts w:hint="default" w:ascii="宋体" w:hAnsi="宋体" w:eastAsia="宋体" w:cs="宋体"/>
                <w:kern w:val="0"/>
                <w:sz w:val="18"/>
                <w:szCs w:val="18"/>
                <w:lang w:val="en-US" w:eastAsia="zh-CN" w:bidi="ar-SA"/>
              </w:rPr>
            </w:pPr>
            <w:r>
              <w:rPr>
                <w:rFonts w:hint="eastAsia" w:ascii="宋体" w:hAnsi="宋体" w:eastAsia="宋体" w:cs="宋体"/>
                <w:kern w:val="0"/>
                <w:sz w:val="18"/>
                <w:szCs w:val="18"/>
              </w:rPr>
              <w:t>设备运行期间功率因素不低于95%</w:t>
            </w:r>
            <w:r>
              <w:rPr>
                <w:rFonts w:hint="eastAsia" w:ascii="宋体" w:hAnsi="宋体" w:eastAsia="宋体" w:cs="宋体"/>
                <w:kern w:val="0"/>
                <w:sz w:val="18"/>
                <w:szCs w:val="18"/>
                <w:lang w:eastAsia="zh-CN"/>
              </w:rPr>
              <w:t>得</w:t>
            </w:r>
            <w:r>
              <w:rPr>
                <w:rFonts w:hint="eastAsia" w:ascii="宋体" w:hAnsi="宋体" w:eastAsia="宋体" w:cs="宋体"/>
                <w:kern w:val="0"/>
                <w:sz w:val="18"/>
                <w:szCs w:val="18"/>
                <w:lang w:val="en-US" w:eastAsia="zh-CN"/>
              </w:rPr>
              <w:t>1分，低于96%不得分。</w:t>
            </w:r>
          </w:p>
        </w:tc>
        <w:tc>
          <w:tcPr>
            <w:tcW w:w="1867" w:type="dxa"/>
            <w:noWrap w:val="0"/>
            <w:vAlign w:val="center"/>
          </w:tcPr>
          <w:p w14:paraId="59B05F2E">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color w:val="000000"/>
                <w:kern w:val="0"/>
                <w:sz w:val="18"/>
                <w:szCs w:val="18"/>
                <w:lang w:val="en-US" w:eastAsia="zh-CN"/>
              </w:rPr>
              <w:t>区发改委、区工信局</w:t>
            </w:r>
          </w:p>
        </w:tc>
        <w:tc>
          <w:tcPr>
            <w:tcW w:w="722" w:type="dxa"/>
            <w:noWrap w:val="0"/>
            <w:vAlign w:val="center"/>
          </w:tcPr>
          <w:p w14:paraId="542F2806">
            <w:pPr>
              <w:widowControl/>
              <w:spacing w:line="240" w:lineRule="exact"/>
              <w:jc w:val="center"/>
              <w:rPr>
                <w:rFonts w:hint="eastAsia" w:ascii="宋体" w:hAnsi="宋体" w:eastAsia="宋体" w:cs="宋体"/>
                <w:color w:val="000000"/>
                <w:kern w:val="0"/>
                <w:sz w:val="18"/>
                <w:szCs w:val="18"/>
              </w:rPr>
            </w:pPr>
          </w:p>
        </w:tc>
      </w:tr>
      <w:tr w14:paraId="51DA0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52" w:type="dxa"/>
            <w:vMerge w:val="continue"/>
            <w:noWrap w:val="0"/>
            <w:vAlign w:val="center"/>
          </w:tcPr>
          <w:p w14:paraId="19020A51"/>
        </w:tc>
        <w:tc>
          <w:tcPr>
            <w:tcW w:w="4812" w:type="dxa"/>
            <w:noWrap w:val="0"/>
            <w:vAlign w:val="center"/>
          </w:tcPr>
          <w:p w14:paraId="3B7EC2C6">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4.无《高耗能落后机电设备（产品）淘汰目录》等明令淘汰、限制的工艺和装备。</w:t>
            </w:r>
          </w:p>
        </w:tc>
        <w:tc>
          <w:tcPr>
            <w:tcW w:w="829" w:type="dxa"/>
            <w:noWrap w:val="0"/>
            <w:vAlign w:val="center"/>
          </w:tcPr>
          <w:p w14:paraId="2174EC78">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1</w:t>
            </w:r>
          </w:p>
        </w:tc>
        <w:tc>
          <w:tcPr>
            <w:tcW w:w="4324" w:type="dxa"/>
            <w:noWrap w:val="0"/>
            <w:vAlign w:val="center"/>
          </w:tcPr>
          <w:p w14:paraId="53E15475">
            <w:pPr>
              <w:spacing w:line="240" w:lineRule="exact"/>
              <w:rPr>
                <w:rFonts w:hint="default" w:ascii="宋体" w:hAnsi="宋体" w:eastAsia="宋体" w:cs="宋体"/>
                <w:kern w:val="0"/>
                <w:sz w:val="18"/>
                <w:szCs w:val="18"/>
                <w:lang w:val="en-US" w:eastAsia="zh-CN" w:bidi="ar-SA"/>
              </w:rPr>
            </w:pPr>
            <w:r>
              <w:rPr>
                <w:rFonts w:hint="eastAsia" w:ascii="宋体" w:hAnsi="宋体" w:cs="宋体"/>
                <w:kern w:val="0"/>
                <w:sz w:val="18"/>
                <w:szCs w:val="18"/>
                <w:lang w:val="en-US" w:eastAsia="zh-CN" w:bidi="ar-SA"/>
              </w:rPr>
              <w:t>每发现1个</w:t>
            </w:r>
            <w:r>
              <w:rPr>
                <w:rFonts w:hint="eastAsia" w:ascii="宋体" w:hAnsi="宋体" w:eastAsia="宋体" w:cs="宋体"/>
                <w:kern w:val="0"/>
                <w:sz w:val="18"/>
                <w:szCs w:val="18"/>
              </w:rPr>
              <w:t>《高耗能落后机电设备（产品）淘汰目录》等明令淘汰、限制的工艺和装备</w:t>
            </w:r>
            <w:r>
              <w:rPr>
                <w:rFonts w:hint="eastAsia" w:ascii="宋体" w:hAnsi="宋体" w:eastAsia="宋体" w:cs="宋体"/>
                <w:kern w:val="0"/>
                <w:sz w:val="18"/>
                <w:szCs w:val="18"/>
                <w:lang w:eastAsia="zh-CN"/>
              </w:rPr>
              <w:t>的扣</w:t>
            </w:r>
            <w:r>
              <w:rPr>
                <w:rFonts w:hint="eastAsia" w:ascii="宋体" w:hAnsi="宋体" w:eastAsia="宋体" w:cs="宋体"/>
                <w:kern w:val="0"/>
                <w:sz w:val="18"/>
                <w:szCs w:val="18"/>
                <w:lang w:val="en-US" w:eastAsia="zh-CN"/>
              </w:rPr>
              <w:t>0.2分，</w:t>
            </w:r>
            <w:r>
              <w:rPr>
                <w:rFonts w:hint="eastAsia" w:ascii="宋体" w:hAnsi="宋体" w:cs="宋体"/>
                <w:kern w:val="0"/>
                <w:sz w:val="18"/>
                <w:szCs w:val="18"/>
                <w:lang w:val="en-US" w:eastAsia="zh-CN" w:bidi="ar-SA"/>
              </w:rPr>
              <w:t>直至扣完。</w:t>
            </w:r>
          </w:p>
        </w:tc>
        <w:tc>
          <w:tcPr>
            <w:tcW w:w="1867" w:type="dxa"/>
            <w:noWrap w:val="0"/>
            <w:vAlign w:val="center"/>
          </w:tcPr>
          <w:p w14:paraId="159E7882">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color w:val="000000"/>
                <w:kern w:val="0"/>
                <w:sz w:val="18"/>
                <w:szCs w:val="18"/>
                <w:lang w:val="en-US" w:eastAsia="zh-CN"/>
              </w:rPr>
              <w:t>区发改委、区工信局</w:t>
            </w:r>
          </w:p>
        </w:tc>
        <w:tc>
          <w:tcPr>
            <w:tcW w:w="722" w:type="dxa"/>
            <w:noWrap w:val="0"/>
            <w:vAlign w:val="center"/>
          </w:tcPr>
          <w:p w14:paraId="6EA8B381">
            <w:pPr>
              <w:widowControl/>
              <w:spacing w:line="240" w:lineRule="exact"/>
              <w:jc w:val="center"/>
              <w:rPr>
                <w:rFonts w:hint="eastAsia" w:ascii="宋体" w:hAnsi="宋体" w:eastAsia="宋体" w:cs="宋体"/>
                <w:color w:val="000000"/>
                <w:kern w:val="0"/>
                <w:sz w:val="18"/>
                <w:szCs w:val="18"/>
              </w:rPr>
            </w:pPr>
          </w:p>
        </w:tc>
      </w:tr>
      <w:tr w14:paraId="47201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52" w:type="dxa"/>
            <w:vMerge w:val="restart"/>
            <w:noWrap w:val="0"/>
            <w:vAlign w:val="center"/>
          </w:tcPr>
          <w:p w14:paraId="3C2EE0C8">
            <w:r>
              <w:rPr>
                <w:rFonts w:hint="eastAsia"/>
              </w:rPr>
              <w:t>（六）水污染防治</w:t>
            </w:r>
          </w:p>
        </w:tc>
        <w:tc>
          <w:tcPr>
            <w:tcW w:w="4812" w:type="dxa"/>
            <w:noWrap w:val="0"/>
            <w:vAlign w:val="center"/>
          </w:tcPr>
          <w:p w14:paraId="7609E069">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1.严格落实雨污分流措施，实现雨污水有效收集处理，雨污水管道全面禁止使用软管，同时标注管道走向和用途，规范建设初期雨水沉淀池并安装pH实时检测仪，安装门式或蝶式闸阀，保证切换功能正常有效。严禁露天堆放易产生碱性淋溶水的物料，严禁脱硫、脱硝废水排入外环境；</w:t>
            </w:r>
          </w:p>
        </w:tc>
        <w:tc>
          <w:tcPr>
            <w:tcW w:w="829" w:type="dxa"/>
            <w:noWrap w:val="0"/>
            <w:vAlign w:val="center"/>
          </w:tcPr>
          <w:p w14:paraId="38301AE9">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4</w:t>
            </w:r>
          </w:p>
        </w:tc>
        <w:tc>
          <w:tcPr>
            <w:tcW w:w="4324" w:type="dxa"/>
            <w:noWrap w:val="0"/>
            <w:vAlign w:val="center"/>
          </w:tcPr>
          <w:p w14:paraId="59AF451F">
            <w:pPr>
              <w:numPr>
                <w:ilvl w:val="0"/>
                <w:numId w:val="0"/>
              </w:numPr>
              <w:spacing w:line="240" w:lineRule="exact"/>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1.</w:t>
            </w:r>
            <w:r>
              <w:rPr>
                <w:rFonts w:hint="eastAsia" w:ascii="宋体" w:hAnsi="宋体" w:eastAsia="宋体" w:cs="宋体"/>
                <w:kern w:val="0"/>
                <w:sz w:val="18"/>
                <w:szCs w:val="18"/>
              </w:rPr>
              <w:t>雨污水管道全面禁止使用软管，同时标注管道走向和用途</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0.5分；每发现1处.</w:t>
            </w:r>
            <w:r>
              <w:rPr>
                <w:rFonts w:hint="eastAsia" w:ascii="宋体" w:hAnsi="宋体" w:eastAsia="宋体" w:cs="宋体"/>
                <w:kern w:val="0"/>
                <w:sz w:val="18"/>
                <w:szCs w:val="18"/>
              </w:rPr>
              <w:t>雨污水管道</w:t>
            </w:r>
            <w:r>
              <w:rPr>
                <w:rFonts w:hint="eastAsia" w:ascii="宋体" w:hAnsi="宋体" w:cs="宋体"/>
                <w:kern w:val="0"/>
                <w:sz w:val="18"/>
                <w:szCs w:val="18"/>
                <w:lang w:val="en-US" w:eastAsia="zh-CN"/>
              </w:rPr>
              <w:t>使用软管或未标注管道走向和用途的扣0.1分，扣完为止；</w:t>
            </w:r>
          </w:p>
          <w:p w14:paraId="36322AA8">
            <w:pPr>
              <w:numPr>
                <w:ilvl w:val="0"/>
                <w:numId w:val="0"/>
              </w:numPr>
              <w:spacing w:line="240" w:lineRule="exact"/>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2.</w:t>
            </w:r>
            <w:r>
              <w:rPr>
                <w:rFonts w:hint="eastAsia" w:ascii="宋体" w:hAnsi="宋体" w:eastAsia="宋体" w:cs="宋体"/>
                <w:kern w:val="0"/>
                <w:sz w:val="18"/>
                <w:szCs w:val="18"/>
              </w:rPr>
              <w:t>规范建设初期雨水沉淀池并安装pH实时检测仪</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1分；未建设</w:t>
            </w:r>
            <w:r>
              <w:rPr>
                <w:rFonts w:hint="eastAsia" w:ascii="宋体" w:hAnsi="宋体" w:eastAsia="宋体" w:cs="宋体"/>
                <w:kern w:val="0"/>
                <w:sz w:val="18"/>
                <w:szCs w:val="18"/>
              </w:rPr>
              <w:t>初期雨水沉淀池</w:t>
            </w:r>
            <w:r>
              <w:rPr>
                <w:rFonts w:hint="eastAsia" w:ascii="宋体" w:hAnsi="宋体" w:cs="宋体"/>
                <w:kern w:val="0"/>
                <w:sz w:val="18"/>
                <w:szCs w:val="18"/>
                <w:lang w:val="en-US" w:eastAsia="zh-CN"/>
              </w:rPr>
              <w:t>或未</w:t>
            </w:r>
            <w:r>
              <w:rPr>
                <w:rFonts w:hint="eastAsia" w:ascii="宋体" w:hAnsi="宋体" w:eastAsia="宋体" w:cs="宋体"/>
                <w:kern w:val="0"/>
                <w:sz w:val="18"/>
                <w:szCs w:val="18"/>
              </w:rPr>
              <w:t>安装pH实时检测仪</w:t>
            </w:r>
            <w:r>
              <w:rPr>
                <w:rFonts w:hint="eastAsia" w:ascii="宋体" w:hAnsi="宋体" w:cs="宋体"/>
                <w:kern w:val="0"/>
                <w:sz w:val="18"/>
                <w:szCs w:val="18"/>
                <w:lang w:val="en-US" w:eastAsia="zh-CN"/>
              </w:rPr>
              <w:t>的不得分；</w:t>
            </w:r>
          </w:p>
          <w:p w14:paraId="334A7C4D">
            <w:pPr>
              <w:numPr>
                <w:ilvl w:val="0"/>
                <w:numId w:val="0"/>
              </w:numPr>
              <w:spacing w:line="240" w:lineRule="exact"/>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3.</w:t>
            </w:r>
            <w:r>
              <w:rPr>
                <w:rFonts w:hint="eastAsia" w:ascii="宋体" w:hAnsi="宋体" w:eastAsia="宋体" w:cs="宋体"/>
                <w:kern w:val="0"/>
                <w:sz w:val="18"/>
                <w:szCs w:val="18"/>
              </w:rPr>
              <w:t>安装门式或蝶式闸阀，保证切换功能正常有效</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0.5分；未</w:t>
            </w:r>
            <w:r>
              <w:rPr>
                <w:rFonts w:hint="eastAsia" w:ascii="宋体" w:hAnsi="宋体" w:eastAsia="宋体" w:cs="宋体"/>
                <w:kern w:val="0"/>
                <w:sz w:val="18"/>
                <w:szCs w:val="18"/>
              </w:rPr>
              <w:t>安装门式或蝶式闸阀</w:t>
            </w:r>
            <w:r>
              <w:rPr>
                <w:rFonts w:hint="eastAsia" w:ascii="宋体" w:hAnsi="宋体" w:cs="宋体"/>
                <w:kern w:val="0"/>
                <w:sz w:val="18"/>
                <w:szCs w:val="18"/>
                <w:lang w:val="en-US" w:eastAsia="zh-CN"/>
              </w:rPr>
              <w:t>或</w:t>
            </w:r>
            <w:r>
              <w:rPr>
                <w:rFonts w:hint="eastAsia" w:ascii="宋体" w:hAnsi="宋体" w:eastAsia="宋体" w:cs="宋体"/>
                <w:kern w:val="0"/>
                <w:sz w:val="18"/>
                <w:szCs w:val="18"/>
              </w:rPr>
              <w:t>切换功能</w:t>
            </w:r>
            <w:r>
              <w:rPr>
                <w:rFonts w:hint="eastAsia" w:ascii="宋体" w:hAnsi="宋体" w:cs="宋体"/>
                <w:kern w:val="0"/>
                <w:sz w:val="18"/>
                <w:szCs w:val="18"/>
                <w:lang w:val="en-US" w:eastAsia="zh-CN"/>
              </w:rPr>
              <w:t>不能</w:t>
            </w:r>
            <w:r>
              <w:rPr>
                <w:rFonts w:hint="eastAsia" w:ascii="宋体" w:hAnsi="宋体" w:eastAsia="宋体" w:cs="宋体"/>
                <w:kern w:val="0"/>
                <w:sz w:val="18"/>
                <w:szCs w:val="18"/>
              </w:rPr>
              <w:t>正常有效</w:t>
            </w:r>
            <w:r>
              <w:rPr>
                <w:rFonts w:hint="eastAsia" w:ascii="宋体" w:hAnsi="宋体" w:cs="宋体"/>
                <w:kern w:val="0"/>
                <w:sz w:val="18"/>
                <w:szCs w:val="18"/>
                <w:lang w:val="en-US" w:eastAsia="zh-CN"/>
              </w:rPr>
              <w:t>的不得分；</w:t>
            </w:r>
          </w:p>
          <w:p w14:paraId="09A7F5C9">
            <w:pPr>
              <w:numPr>
                <w:ilvl w:val="0"/>
                <w:numId w:val="0"/>
              </w:numPr>
              <w:spacing w:line="240" w:lineRule="exact"/>
              <w:rPr>
                <w:rFonts w:hint="default" w:ascii="宋体" w:hAnsi="宋体" w:cs="宋体"/>
                <w:kern w:val="0"/>
                <w:sz w:val="18"/>
                <w:szCs w:val="18"/>
                <w:lang w:val="en-US" w:eastAsia="zh-CN"/>
              </w:rPr>
            </w:pPr>
            <w:r>
              <w:rPr>
                <w:rFonts w:hint="eastAsia" w:ascii="宋体" w:hAnsi="宋体" w:cs="宋体"/>
                <w:kern w:val="0"/>
                <w:sz w:val="18"/>
                <w:szCs w:val="18"/>
                <w:lang w:val="en-US" w:eastAsia="zh-CN"/>
              </w:rPr>
              <w:t>4.无</w:t>
            </w:r>
            <w:r>
              <w:rPr>
                <w:rFonts w:hint="eastAsia" w:ascii="宋体" w:hAnsi="宋体" w:eastAsia="宋体" w:cs="宋体"/>
                <w:kern w:val="0"/>
                <w:sz w:val="18"/>
                <w:szCs w:val="18"/>
              </w:rPr>
              <w:t>露天堆放易产生碱性淋溶水的物料，</w:t>
            </w:r>
            <w:r>
              <w:rPr>
                <w:rFonts w:hint="eastAsia" w:ascii="宋体" w:hAnsi="宋体" w:cs="宋体"/>
                <w:kern w:val="0"/>
                <w:sz w:val="18"/>
                <w:szCs w:val="18"/>
                <w:lang w:eastAsia="zh-CN"/>
              </w:rPr>
              <w:t>无</w:t>
            </w:r>
            <w:r>
              <w:rPr>
                <w:rFonts w:hint="eastAsia" w:ascii="宋体" w:hAnsi="宋体" w:eastAsia="宋体" w:cs="宋体"/>
                <w:kern w:val="0"/>
                <w:sz w:val="18"/>
                <w:szCs w:val="18"/>
              </w:rPr>
              <w:t>脱硫、脱硝废水排入外环境</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2分；发现一起即不得分。</w:t>
            </w:r>
          </w:p>
          <w:p w14:paraId="3D091798">
            <w:pPr>
              <w:numPr>
                <w:ilvl w:val="0"/>
                <w:numId w:val="0"/>
              </w:numPr>
              <w:spacing w:line="240" w:lineRule="exact"/>
              <w:ind w:left="0" w:leftChars="0" w:firstLine="0" w:firstLineChars="0"/>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该最终分为上述4项累加分。</w:t>
            </w:r>
          </w:p>
        </w:tc>
        <w:tc>
          <w:tcPr>
            <w:tcW w:w="1867" w:type="dxa"/>
            <w:noWrap w:val="0"/>
            <w:vAlign w:val="center"/>
          </w:tcPr>
          <w:p w14:paraId="2690E2CC">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298E2DCA">
            <w:pPr>
              <w:widowControl/>
              <w:spacing w:line="240" w:lineRule="exact"/>
              <w:jc w:val="center"/>
              <w:rPr>
                <w:rFonts w:hint="eastAsia" w:ascii="宋体" w:hAnsi="宋体" w:eastAsia="宋体" w:cs="宋体"/>
                <w:color w:val="000000"/>
                <w:kern w:val="0"/>
                <w:sz w:val="18"/>
                <w:szCs w:val="18"/>
              </w:rPr>
            </w:pPr>
          </w:p>
        </w:tc>
      </w:tr>
      <w:tr w14:paraId="7357F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952" w:type="dxa"/>
            <w:vMerge w:val="continue"/>
            <w:noWrap w:val="0"/>
            <w:vAlign w:val="center"/>
          </w:tcPr>
          <w:p w14:paraId="47DF2FD4"/>
        </w:tc>
        <w:tc>
          <w:tcPr>
            <w:tcW w:w="4812" w:type="dxa"/>
            <w:noWrap w:val="0"/>
            <w:vAlign w:val="center"/>
          </w:tcPr>
          <w:p w14:paraId="0BFCD333">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2.脱硫废水循环水池必须加装pH检测仪，实行自动监测自动加药，确保各项污染物稳定达标排放。在脱硫循环水池等重点部位安装视频监控设备，实现与生态环境主管部门在线监控平台联网；</w:t>
            </w:r>
          </w:p>
        </w:tc>
        <w:tc>
          <w:tcPr>
            <w:tcW w:w="829" w:type="dxa"/>
            <w:noWrap w:val="0"/>
            <w:vAlign w:val="center"/>
          </w:tcPr>
          <w:p w14:paraId="43EDB1C3">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2</w:t>
            </w:r>
          </w:p>
        </w:tc>
        <w:tc>
          <w:tcPr>
            <w:tcW w:w="4324" w:type="dxa"/>
            <w:noWrap w:val="0"/>
            <w:vAlign w:val="center"/>
          </w:tcPr>
          <w:p w14:paraId="646CE325">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1.</w:t>
            </w:r>
            <w:r>
              <w:rPr>
                <w:rFonts w:hint="eastAsia" w:ascii="宋体" w:hAnsi="宋体" w:eastAsia="宋体" w:cs="宋体"/>
                <w:kern w:val="0"/>
                <w:sz w:val="18"/>
                <w:szCs w:val="18"/>
              </w:rPr>
              <w:t>脱硫废水循环水池加装pH检测仪，实行自动监测自动加药</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1分，不满足的不得分；</w:t>
            </w:r>
          </w:p>
          <w:p w14:paraId="685AF2F8">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2.</w:t>
            </w:r>
            <w:r>
              <w:rPr>
                <w:rFonts w:hint="eastAsia" w:ascii="宋体" w:hAnsi="宋体" w:eastAsia="宋体" w:cs="宋体"/>
                <w:kern w:val="0"/>
                <w:sz w:val="18"/>
                <w:szCs w:val="18"/>
              </w:rPr>
              <w:t>脱硫循环水池等重点部位安装视频监控设备，实现与生态环境主管部门在线监控平台联网</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1分，不满足的不得分。</w:t>
            </w:r>
          </w:p>
          <w:p w14:paraId="06EEC625">
            <w:pPr>
              <w:numPr>
                <w:ilvl w:val="0"/>
                <w:numId w:val="0"/>
              </w:numPr>
              <w:spacing w:line="240" w:lineRule="exact"/>
              <w:ind w:left="0" w:leftChars="0" w:firstLine="0" w:firstLineChars="0"/>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该最终分为上述2项累加分。</w:t>
            </w:r>
          </w:p>
        </w:tc>
        <w:tc>
          <w:tcPr>
            <w:tcW w:w="1867" w:type="dxa"/>
            <w:noWrap w:val="0"/>
            <w:vAlign w:val="center"/>
          </w:tcPr>
          <w:p w14:paraId="3416DDA6">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42CE21CE">
            <w:pPr>
              <w:widowControl/>
              <w:spacing w:line="240" w:lineRule="exact"/>
              <w:jc w:val="center"/>
              <w:rPr>
                <w:rFonts w:hint="eastAsia" w:ascii="宋体" w:hAnsi="宋体" w:eastAsia="宋体" w:cs="宋体"/>
                <w:color w:val="000000"/>
                <w:kern w:val="0"/>
                <w:sz w:val="18"/>
                <w:szCs w:val="18"/>
              </w:rPr>
            </w:pPr>
          </w:p>
        </w:tc>
      </w:tr>
      <w:tr w14:paraId="25771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952" w:type="dxa"/>
            <w:vMerge w:val="continue"/>
            <w:noWrap w:val="0"/>
            <w:vAlign w:val="center"/>
          </w:tcPr>
          <w:p w14:paraId="39A051CC"/>
        </w:tc>
        <w:tc>
          <w:tcPr>
            <w:tcW w:w="4812" w:type="dxa"/>
            <w:noWrap w:val="0"/>
            <w:vAlign w:val="center"/>
          </w:tcPr>
          <w:p w14:paraId="40D096F9">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3.强化突发环境事件风险防控措施，采取有效防止泄漏物质、消防水、污染雨水等扩散至外环境的收集、导流、拦截、降污等措施。</w:t>
            </w:r>
          </w:p>
        </w:tc>
        <w:tc>
          <w:tcPr>
            <w:tcW w:w="829" w:type="dxa"/>
            <w:noWrap w:val="0"/>
            <w:vAlign w:val="center"/>
          </w:tcPr>
          <w:p w14:paraId="0B40474F">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2</w:t>
            </w:r>
          </w:p>
        </w:tc>
        <w:tc>
          <w:tcPr>
            <w:tcW w:w="4324" w:type="dxa"/>
            <w:noWrap w:val="0"/>
            <w:vAlign w:val="center"/>
          </w:tcPr>
          <w:p w14:paraId="4D1A4A1F">
            <w:pPr>
              <w:spacing w:line="240" w:lineRule="exact"/>
              <w:rPr>
                <w:rFonts w:hint="eastAsia" w:ascii="宋体" w:hAnsi="宋体" w:eastAsia="宋体" w:cs="宋体"/>
                <w:kern w:val="0"/>
                <w:sz w:val="18"/>
                <w:szCs w:val="18"/>
                <w:lang w:val="en-US" w:eastAsia="zh-CN" w:bidi="ar-SA"/>
              </w:rPr>
            </w:pPr>
            <w:r>
              <w:rPr>
                <w:rFonts w:hint="eastAsia" w:ascii="宋体" w:hAnsi="宋体" w:cs="宋体"/>
                <w:kern w:val="0"/>
                <w:sz w:val="18"/>
                <w:szCs w:val="18"/>
                <w:lang w:eastAsia="zh-CN"/>
              </w:rPr>
              <w:t>企业</w:t>
            </w:r>
            <w:r>
              <w:rPr>
                <w:rFonts w:hint="eastAsia" w:ascii="宋体" w:hAnsi="宋体" w:eastAsia="宋体" w:cs="宋体"/>
                <w:kern w:val="0"/>
                <w:sz w:val="18"/>
                <w:szCs w:val="18"/>
              </w:rPr>
              <w:t>采取有效防止泄漏物质、消防水、污染雨水等扩散至外环境的收集、导流、拦截、降污等措施</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2分，发现一处未采取有效措施防止</w:t>
            </w:r>
            <w:r>
              <w:rPr>
                <w:rFonts w:hint="eastAsia" w:ascii="宋体" w:hAnsi="宋体" w:eastAsia="宋体" w:cs="宋体"/>
                <w:kern w:val="0"/>
                <w:sz w:val="18"/>
                <w:szCs w:val="18"/>
              </w:rPr>
              <w:t>泄漏物质、消防水、污染雨水</w:t>
            </w:r>
            <w:r>
              <w:rPr>
                <w:rFonts w:hint="eastAsia" w:ascii="宋体" w:hAnsi="宋体" w:cs="宋体"/>
                <w:kern w:val="0"/>
                <w:sz w:val="18"/>
                <w:szCs w:val="18"/>
                <w:lang w:val="en-US" w:eastAsia="zh-CN"/>
              </w:rPr>
              <w:t>的扣0.5分，直至扣完。</w:t>
            </w:r>
          </w:p>
        </w:tc>
        <w:tc>
          <w:tcPr>
            <w:tcW w:w="1867" w:type="dxa"/>
            <w:noWrap w:val="0"/>
            <w:vAlign w:val="center"/>
          </w:tcPr>
          <w:p w14:paraId="4CF79CEE">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26AC5E38">
            <w:pPr>
              <w:widowControl/>
              <w:spacing w:line="240" w:lineRule="exact"/>
              <w:jc w:val="center"/>
              <w:rPr>
                <w:rFonts w:hint="eastAsia" w:ascii="宋体" w:hAnsi="宋体" w:eastAsia="宋体" w:cs="宋体"/>
                <w:color w:val="000000"/>
                <w:kern w:val="0"/>
                <w:sz w:val="18"/>
                <w:szCs w:val="18"/>
              </w:rPr>
            </w:pPr>
          </w:p>
        </w:tc>
      </w:tr>
      <w:tr w14:paraId="7ED4D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952" w:type="dxa"/>
            <w:vMerge w:val="continue"/>
            <w:noWrap w:val="0"/>
            <w:vAlign w:val="center"/>
          </w:tcPr>
          <w:p w14:paraId="3FE44687"/>
        </w:tc>
        <w:tc>
          <w:tcPr>
            <w:tcW w:w="4812" w:type="dxa"/>
            <w:noWrap w:val="0"/>
            <w:vAlign w:val="center"/>
          </w:tcPr>
          <w:p w14:paraId="6FDAC287">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4.规范设立排放口标识，排放水污染物符合排污许可执行限值要求。</w:t>
            </w:r>
          </w:p>
        </w:tc>
        <w:tc>
          <w:tcPr>
            <w:tcW w:w="829" w:type="dxa"/>
            <w:noWrap w:val="0"/>
            <w:vAlign w:val="center"/>
          </w:tcPr>
          <w:p w14:paraId="1C15377C">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1</w:t>
            </w:r>
          </w:p>
        </w:tc>
        <w:tc>
          <w:tcPr>
            <w:tcW w:w="4324" w:type="dxa"/>
            <w:noWrap w:val="0"/>
            <w:vAlign w:val="center"/>
          </w:tcPr>
          <w:p w14:paraId="2145F16D">
            <w:pPr>
              <w:spacing w:line="240" w:lineRule="exact"/>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1.</w:t>
            </w:r>
            <w:r>
              <w:rPr>
                <w:rFonts w:hint="eastAsia" w:ascii="宋体" w:hAnsi="宋体" w:eastAsia="宋体" w:cs="宋体"/>
                <w:kern w:val="0"/>
                <w:sz w:val="18"/>
                <w:szCs w:val="18"/>
              </w:rPr>
              <w:t>规范设立排放口标识</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0.5分；不规范的不得分；</w:t>
            </w:r>
          </w:p>
          <w:p w14:paraId="50B61971">
            <w:pPr>
              <w:spacing w:line="240" w:lineRule="exact"/>
              <w:rPr>
                <w:rFonts w:hint="default" w:ascii="宋体" w:hAnsi="宋体" w:cs="宋体"/>
                <w:kern w:val="0"/>
                <w:sz w:val="18"/>
                <w:szCs w:val="18"/>
                <w:lang w:val="en-US" w:eastAsia="zh-CN"/>
              </w:rPr>
            </w:pPr>
            <w:r>
              <w:rPr>
                <w:rFonts w:hint="eastAsia" w:ascii="宋体" w:hAnsi="宋体" w:cs="宋体"/>
                <w:kern w:val="0"/>
                <w:sz w:val="18"/>
                <w:szCs w:val="18"/>
                <w:lang w:val="en-US" w:eastAsia="zh-CN"/>
              </w:rPr>
              <w:t>2.</w:t>
            </w:r>
            <w:r>
              <w:rPr>
                <w:rFonts w:hint="eastAsia" w:ascii="宋体" w:hAnsi="宋体" w:eastAsia="宋体" w:cs="宋体"/>
                <w:kern w:val="0"/>
                <w:sz w:val="18"/>
                <w:szCs w:val="18"/>
              </w:rPr>
              <w:t>排放水污染物符合排污许可执行限值要求</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0.5分；超过排放限值要求的不得分。</w:t>
            </w:r>
          </w:p>
          <w:p w14:paraId="74C79D6B">
            <w:pPr>
              <w:spacing w:line="240" w:lineRule="exact"/>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该最终分为上述2项累加分。</w:t>
            </w:r>
          </w:p>
        </w:tc>
        <w:tc>
          <w:tcPr>
            <w:tcW w:w="1867" w:type="dxa"/>
            <w:noWrap w:val="0"/>
            <w:vAlign w:val="center"/>
          </w:tcPr>
          <w:p w14:paraId="29B6C6A3">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4DDF2C5F">
            <w:pPr>
              <w:widowControl/>
              <w:spacing w:line="240" w:lineRule="exact"/>
              <w:jc w:val="center"/>
              <w:rPr>
                <w:rFonts w:hint="eastAsia" w:ascii="宋体" w:hAnsi="宋体" w:eastAsia="宋体" w:cs="宋体"/>
                <w:color w:val="000000"/>
                <w:kern w:val="0"/>
                <w:sz w:val="18"/>
                <w:szCs w:val="18"/>
              </w:rPr>
            </w:pPr>
          </w:p>
        </w:tc>
      </w:tr>
      <w:tr w14:paraId="2DEEE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952" w:type="dxa"/>
            <w:vMerge w:val="restart"/>
            <w:noWrap w:val="0"/>
            <w:vAlign w:val="center"/>
          </w:tcPr>
          <w:p w14:paraId="520FBCB0">
            <w:r>
              <w:rPr>
                <w:rFonts w:hint="eastAsia"/>
              </w:rPr>
              <w:t>（七）固体废物污染防治</w:t>
            </w:r>
          </w:p>
        </w:tc>
        <w:tc>
          <w:tcPr>
            <w:tcW w:w="4812" w:type="dxa"/>
            <w:noWrap w:val="0"/>
            <w:vAlign w:val="center"/>
          </w:tcPr>
          <w:p w14:paraId="2A86B44A">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1.对暂时不利用或者不能利用的，按照《一般工业固体废物贮存和填埋污染控制标准》（GB18559）、《危险废物贮存污染控制标准》（GB18597）规范建设一般工业固体废物和危险废物贮存场所，规范设置标识，实行分类贮存，严禁固体废物擅自倾倒、乱堆乱放、不规范收集贮存等行为；</w:t>
            </w:r>
          </w:p>
        </w:tc>
        <w:tc>
          <w:tcPr>
            <w:tcW w:w="829" w:type="dxa"/>
            <w:noWrap w:val="0"/>
            <w:vAlign w:val="center"/>
          </w:tcPr>
          <w:p w14:paraId="48ED49AB">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1</w:t>
            </w:r>
          </w:p>
        </w:tc>
        <w:tc>
          <w:tcPr>
            <w:tcW w:w="4324" w:type="dxa"/>
            <w:noWrap w:val="0"/>
            <w:vAlign w:val="center"/>
          </w:tcPr>
          <w:p w14:paraId="15197C49">
            <w:pPr>
              <w:spacing w:line="240" w:lineRule="exact"/>
              <w:rPr>
                <w:rFonts w:hint="default" w:ascii="宋体" w:hAnsi="宋体" w:cs="宋体"/>
                <w:kern w:val="0"/>
                <w:sz w:val="18"/>
                <w:szCs w:val="18"/>
                <w:lang w:val="en-US" w:eastAsia="zh-CN"/>
              </w:rPr>
            </w:pPr>
            <w:r>
              <w:rPr>
                <w:rFonts w:hint="eastAsia" w:ascii="宋体" w:hAnsi="宋体" w:cs="宋体"/>
                <w:kern w:val="0"/>
                <w:sz w:val="18"/>
                <w:szCs w:val="18"/>
                <w:lang w:val="en-US" w:eastAsia="zh-CN"/>
              </w:rPr>
              <w:t>1.</w:t>
            </w:r>
            <w:r>
              <w:rPr>
                <w:rFonts w:hint="eastAsia" w:ascii="宋体" w:hAnsi="宋体" w:eastAsia="宋体" w:cs="宋体"/>
                <w:kern w:val="0"/>
                <w:sz w:val="18"/>
                <w:szCs w:val="18"/>
              </w:rPr>
              <w:t>规范建设一般工业固体废物和危险废物贮存场所，规范设置标识</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0.5分；2.</w:t>
            </w:r>
            <w:r>
              <w:rPr>
                <w:rFonts w:hint="eastAsia" w:ascii="宋体" w:hAnsi="宋体" w:eastAsia="宋体" w:cs="宋体"/>
                <w:kern w:val="0"/>
                <w:sz w:val="18"/>
                <w:szCs w:val="18"/>
              </w:rPr>
              <w:t>实行分类贮存</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0.5分。发现一项不满足的扣0.2分。</w:t>
            </w:r>
          </w:p>
          <w:p w14:paraId="5E0A4532">
            <w:pPr>
              <w:spacing w:line="240" w:lineRule="exact"/>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该最终分为上述2项累加分。</w:t>
            </w:r>
          </w:p>
        </w:tc>
        <w:tc>
          <w:tcPr>
            <w:tcW w:w="1867" w:type="dxa"/>
            <w:noWrap w:val="0"/>
            <w:vAlign w:val="center"/>
          </w:tcPr>
          <w:p w14:paraId="48D9D6E0">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26A1963C">
            <w:pPr>
              <w:widowControl/>
              <w:spacing w:line="240" w:lineRule="exact"/>
              <w:jc w:val="center"/>
              <w:rPr>
                <w:rFonts w:hint="eastAsia" w:ascii="宋体" w:hAnsi="宋体" w:eastAsia="宋体" w:cs="宋体"/>
                <w:color w:val="000000"/>
                <w:kern w:val="0"/>
                <w:sz w:val="18"/>
                <w:szCs w:val="18"/>
              </w:rPr>
            </w:pPr>
          </w:p>
        </w:tc>
      </w:tr>
      <w:tr w14:paraId="61BB6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952" w:type="dxa"/>
            <w:vMerge w:val="continue"/>
            <w:noWrap w:val="0"/>
            <w:vAlign w:val="center"/>
          </w:tcPr>
          <w:p w14:paraId="608B05C9"/>
        </w:tc>
        <w:tc>
          <w:tcPr>
            <w:tcW w:w="4812" w:type="dxa"/>
            <w:noWrap w:val="0"/>
            <w:vAlign w:val="center"/>
          </w:tcPr>
          <w:p w14:paraId="48D8F89D">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2.建立健全工业固体废物产生、收集、贮存、运输、利用、处置全过程的污染环境防治责任制度，建立工业固体废物管理台账，如实记录产生工业固体废物的种类、数量、流向、贮存、利用、处置等信息，实现工业固体废物可追溯、可查询。委托他人运输、利用、处置工业固体废物，应当对受托方的主体资格和技术能力进行核实，依法签订书面合同，在合同中约定污染防治要求；</w:t>
            </w:r>
          </w:p>
        </w:tc>
        <w:tc>
          <w:tcPr>
            <w:tcW w:w="829" w:type="dxa"/>
            <w:noWrap w:val="0"/>
            <w:vAlign w:val="center"/>
          </w:tcPr>
          <w:p w14:paraId="75D418D4">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3</w:t>
            </w:r>
          </w:p>
        </w:tc>
        <w:tc>
          <w:tcPr>
            <w:tcW w:w="4324" w:type="dxa"/>
            <w:noWrap w:val="0"/>
            <w:vAlign w:val="center"/>
          </w:tcPr>
          <w:p w14:paraId="11070013">
            <w:pPr>
              <w:numPr>
                <w:ilvl w:val="0"/>
                <w:numId w:val="0"/>
              </w:numPr>
              <w:spacing w:line="240" w:lineRule="exact"/>
              <w:rPr>
                <w:rFonts w:hint="default" w:ascii="宋体" w:hAnsi="宋体" w:cs="宋体"/>
                <w:kern w:val="0"/>
                <w:sz w:val="18"/>
                <w:szCs w:val="18"/>
                <w:lang w:val="en-US" w:eastAsia="zh-CN"/>
              </w:rPr>
            </w:pPr>
            <w:r>
              <w:rPr>
                <w:rFonts w:hint="eastAsia" w:ascii="宋体" w:hAnsi="宋体" w:cs="宋体"/>
                <w:kern w:val="0"/>
                <w:sz w:val="18"/>
                <w:szCs w:val="18"/>
                <w:lang w:val="en-US" w:eastAsia="zh-CN"/>
              </w:rPr>
              <w:t>1.已</w:t>
            </w:r>
            <w:r>
              <w:rPr>
                <w:rFonts w:hint="eastAsia" w:ascii="宋体" w:hAnsi="宋体" w:eastAsia="宋体" w:cs="宋体"/>
                <w:kern w:val="0"/>
                <w:sz w:val="18"/>
                <w:szCs w:val="18"/>
              </w:rPr>
              <w:t>建立健全工业固体废物产生、收集、贮存、运输、利用、处置全过程的污染环境防治责任制度</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1分；未建立的不得分，已建立但不规范的得0.5分。</w:t>
            </w:r>
          </w:p>
          <w:p w14:paraId="163DD2A7">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2.</w:t>
            </w:r>
            <w:r>
              <w:rPr>
                <w:rFonts w:hint="eastAsia" w:ascii="宋体" w:hAnsi="宋体" w:eastAsia="宋体" w:cs="宋体"/>
                <w:kern w:val="0"/>
                <w:sz w:val="18"/>
                <w:szCs w:val="18"/>
              </w:rPr>
              <w:t>建立工业固体废物管理台账，如实记录产生工业固体废物的种类、数量、流向、贮存、利用、处置等信息</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1分；未建立的不得分，已建立但不规范的得0.5分。</w:t>
            </w:r>
          </w:p>
          <w:p w14:paraId="162F7580">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3.</w:t>
            </w:r>
            <w:r>
              <w:rPr>
                <w:rFonts w:hint="eastAsia" w:ascii="宋体" w:hAnsi="宋体" w:eastAsia="宋体" w:cs="宋体"/>
                <w:kern w:val="0"/>
                <w:sz w:val="18"/>
                <w:szCs w:val="18"/>
              </w:rPr>
              <w:t>委托他人运输、利用、处置工业固体废物，对受托方的主体资格和技术能力进行核实，依法签订书面合同，在合同中约定污染防治要求</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1分；未建立的不得分，已建立但不规范的得0.5分。</w:t>
            </w:r>
          </w:p>
          <w:p w14:paraId="0D7B1478">
            <w:pPr>
              <w:numPr>
                <w:ilvl w:val="0"/>
                <w:numId w:val="0"/>
              </w:numPr>
              <w:spacing w:line="240" w:lineRule="exact"/>
              <w:ind w:left="0" w:leftChars="0" w:firstLine="0" w:firstLineChars="0"/>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该最终分为上述3项累加分。</w:t>
            </w:r>
          </w:p>
        </w:tc>
        <w:tc>
          <w:tcPr>
            <w:tcW w:w="1867" w:type="dxa"/>
            <w:noWrap w:val="0"/>
            <w:vAlign w:val="center"/>
          </w:tcPr>
          <w:p w14:paraId="49E39FE9">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692CBF06">
            <w:pPr>
              <w:widowControl/>
              <w:spacing w:line="240" w:lineRule="exact"/>
              <w:jc w:val="center"/>
              <w:rPr>
                <w:rFonts w:hint="eastAsia" w:ascii="宋体" w:hAnsi="宋体" w:eastAsia="宋体" w:cs="宋体"/>
                <w:color w:val="000000"/>
                <w:kern w:val="0"/>
                <w:sz w:val="18"/>
                <w:szCs w:val="18"/>
              </w:rPr>
            </w:pPr>
          </w:p>
        </w:tc>
      </w:tr>
      <w:tr w14:paraId="19B77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52" w:type="dxa"/>
            <w:vMerge w:val="continue"/>
            <w:noWrap w:val="0"/>
            <w:vAlign w:val="center"/>
          </w:tcPr>
          <w:p w14:paraId="46EB0910"/>
        </w:tc>
        <w:tc>
          <w:tcPr>
            <w:tcW w:w="4812" w:type="dxa"/>
            <w:noWrap w:val="0"/>
            <w:vAlign w:val="center"/>
          </w:tcPr>
          <w:p w14:paraId="68B73FB3">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3.按照国家有关规定制定危险废物管理计划；建立危险废物管理台账，如实记录有关信息，并通过国家危险废物信息管理系统向生态环境主管部门申报危险废物的种类、产生量、流向、贮存、处置等有关资料。转移危险废物应当按照国家有关规定填写、运行危险废物转移联单。</w:t>
            </w:r>
          </w:p>
        </w:tc>
        <w:tc>
          <w:tcPr>
            <w:tcW w:w="829" w:type="dxa"/>
            <w:noWrap w:val="0"/>
            <w:vAlign w:val="center"/>
          </w:tcPr>
          <w:p w14:paraId="1A2A165D">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3</w:t>
            </w:r>
          </w:p>
        </w:tc>
        <w:tc>
          <w:tcPr>
            <w:tcW w:w="4324" w:type="dxa"/>
            <w:noWrap w:val="0"/>
            <w:vAlign w:val="center"/>
          </w:tcPr>
          <w:p w14:paraId="2716F999">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1.</w:t>
            </w:r>
            <w:r>
              <w:rPr>
                <w:rFonts w:hint="eastAsia" w:ascii="宋体" w:hAnsi="宋体" w:eastAsia="宋体" w:cs="宋体"/>
                <w:kern w:val="0"/>
                <w:sz w:val="18"/>
                <w:szCs w:val="18"/>
              </w:rPr>
              <w:t>按照国家有关规定制定危险废物管理计划</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1分；未建立的不得分，已建立但不规范的得0.5分。</w:t>
            </w:r>
          </w:p>
          <w:p w14:paraId="2AE1F04E">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2.</w:t>
            </w:r>
            <w:r>
              <w:rPr>
                <w:rFonts w:hint="eastAsia" w:ascii="宋体" w:hAnsi="宋体" w:eastAsia="宋体" w:cs="宋体"/>
                <w:kern w:val="0"/>
                <w:sz w:val="18"/>
                <w:szCs w:val="18"/>
              </w:rPr>
              <w:t>建立危险废物管理台账，如实记录有关信息</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0.5分；未建立的不得分，已建立但不规范的得0.5分。</w:t>
            </w:r>
          </w:p>
          <w:p w14:paraId="4ADE32AA">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3.</w:t>
            </w:r>
            <w:r>
              <w:rPr>
                <w:rFonts w:hint="eastAsia" w:ascii="宋体" w:hAnsi="宋体" w:eastAsia="宋体" w:cs="宋体"/>
                <w:kern w:val="0"/>
                <w:sz w:val="18"/>
                <w:szCs w:val="18"/>
              </w:rPr>
              <w:t>通过国家危险废物信息管理系统向生态环境主管部门申报危险废物的种类、产生量、流向、贮存、处置等有关资料</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0.5分；未申报的不得分，已申报但不完善的得0.5分。</w:t>
            </w:r>
          </w:p>
          <w:p w14:paraId="06D96D63">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4.</w:t>
            </w:r>
            <w:r>
              <w:rPr>
                <w:rFonts w:hint="eastAsia" w:ascii="宋体" w:hAnsi="宋体" w:eastAsia="宋体" w:cs="宋体"/>
                <w:kern w:val="0"/>
                <w:sz w:val="18"/>
                <w:szCs w:val="18"/>
              </w:rPr>
              <w:t>转移危险废物按照国家有关规定填写、运行危险废物转移联单</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1分。未执行的不得分，已执行但不规范的得0.5分。</w:t>
            </w:r>
          </w:p>
          <w:p w14:paraId="4EE0F40A">
            <w:pPr>
              <w:numPr>
                <w:ilvl w:val="0"/>
                <w:numId w:val="0"/>
              </w:numPr>
              <w:spacing w:line="240" w:lineRule="exact"/>
              <w:ind w:left="0" w:leftChars="0" w:firstLine="0" w:firstLineChars="0"/>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该最终分为上述4项累加分。</w:t>
            </w:r>
          </w:p>
        </w:tc>
        <w:tc>
          <w:tcPr>
            <w:tcW w:w="1867" w:type="dxa"/>
            <w:noWrap w:val="0"/>
            <w:vAlign w:val="center"/>
          </w:tcPr>
          <w:p w14:paraId="7EE85954">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51ADEAF5">
            <w:pPr>
              <w:widowControl/>
              <w:spacing w:line="240" w:lineRule="exact"/>
              <w:jc w:val="center"/>
              <w:rPr>
                <w:rFonts w:hint="eastAsia" w:ascii="宋体" w:hAnsi="宋体" w:eastAsia="宋体" w:cs="宋体"/>
                <w:color w:val="000000"/>
                <w:kern w:val="0"/>
                <w:sz w:val="18"/>
                <w:szCs w:val="18"/>
              </w:rPr>
            </w:pPr>
          </w:p>
        </w:tc>
      </w:tr>
      <w:tr w14:paraId="7F062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952" w:type="dxa"/>
            <w:vMerge w:val="restart"/>
            <w:noWrap w:val="0"/>
            <w:vAlign w:val="center"/>
          </w:tcPr>
          <w:p w14:paraId="447FCC89">
            <w:r>
              <w:rPr>
                <w:rFonts w:hint="eastAsia"/>
              </w:rPr>
              <w:t>（八）环境管理</w:t>
            </w:r>
          </w:p>
        </w:tc>
        <w:tc>
          <w:tcPr>
            <w:tcW w:w="4812" w:type="dxa"/>
            <w:noWrap w:val="0"/>
            <w:vAlign w:val="center"/>
          </w:tcPr>
          <w:p w14:paraId="30F1F898">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1.建立健全环境管理制度，依法履行建设项目环境影响评价手续，及时开展建设项目竣工环保验收，对于发生重大变动的情形，应当重新报批环境影响评价文件；</w:t>
            </w:r>
          </w:p>
        </w:tc>
        <w:tc>
          <w:tcPr>
            <w:tcW w:w="829" w:type="dxa"/>
            <w:noWrap w:val="0"/>
            <w:vAlign w:val="center"/>
          </w:tcPr>
          <w:p w14:paraId="7752B9EE">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1</w:t>
            </w:r>
          </w:p>
        </w:tc>
        <w:tc>
          <w:tcPr>
            <w:tcW w:w="4324" w:type="dxa"/>
            <w:noWrap w:val="0"/>
            <w:vAlign w:val="center"/>
          </w:tcPr>
          <w:p w14:paraId="5A4D367C">
            <w:pPr>
              <w:spacing w:line="240" w:lineRule="exact"/>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rPr>
              <w:t>依法履行建设项目环境影响评价手续，及时开展建设项目竣工环保验收</w:t>
            </w:r>
            <w:r>
              <w:rPr>
                <w:rFonts w:hint="eastAsia" w:ascii="宋体" w:hAnsi="宋体" w:cs="宋体"/>
                <w:kern w:val="0"/>
                <w:sz w:val="18"/>
                <w:szCs w:val="18"/>
                <w:lang w:eastAsia="zh-CN"/>
              </w:rPr>
              <w:t>且符合环境影响评价相关要求的得</w:t>
            </w:r>
            <w:r>
              <w:rPr>
                <w:rFonts w:hint="eastAsia" w:ascii="宋体" w:hAnsi="宋体" w:cs="宋体"/>
                <w:kern w:val="0"/>
                <w:sz w:val="18"/>
                <w:szCs w:val="18"/>
                <w:lang w:val="en-US" w:eastAsia="zh-CN"/>
              </w:rPr>
              <w:t>1分，不满足的不得分。</w:t>
            </w:r>
          </w:p>
        </w:tc>
        <w:tc>
          <w:tcPr>
            <w:tcW w:w="1867" w:type="dxa"/>
            <w:noWrap w:val="0"/>
            <w:vAlign w:val="center"/>
          </w:tcPr>
          <w:p w14:paraId="166B5B59">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7C3C3272">
            <w:pPr>
              <w:widowControl/>
              <w:spacing w:line="240" w:lineRule="exact"/>
              <w:jc w:val="center"/>
              <w:rPr>
                <w:rFonts w:hint="eastAsia" w:ascii="宋体" w:hAnsi="宋体" w:eastAsia="宋体" w:cs="宋体"/>
                <w:color w:val="000000"/>
                <w:kern w:val="0"/>
                <w:sz w:val="18"/>
                <w:szCs w:val="18"/>
              </w:rPr>
            </w:pPr>
          </w:p>
        </w:tc>
      </w:tr>
      <w:tr w14:paraId="1BBF5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52" w:type="dxa"/>
            <w:vMerge w:val="continue"/>
            <w:noWrap w:val="0"/>
            <w:vAlign w:val="center"/>
          </w:tcPr>
          <w:p w14:paraId="49A64A36">
            <w:pPr>
              <w:rPr>
                <w:rFonts w:hint="eastAsia"/>
              </w:rPr>
            </w:pPr>
          </w:p>
        </w:tc>
        <w:tc>
          <w:tcPr>
            <w:tcW w:w="4812" w:type="dxa"/>
            <w:noWrap w:val="0"/>
            <w:vAlign w:val="center"/>
          </w:tcPr>
          <w:p w14:paraId="6F07DC2E">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2.建立环境保护责任制度，明确单位负责人和相关人员的责任，定期对从业人员开展环保培训，鼓励企业引进第三方环境保护专业机构提升企业环境管理水平；</w:t>
            </w:r>
          </w:p>
        </w:tc>
        <w:tc>
          <w:tcPr>
            <w:tcW w:w="829" w:type="dxa"/>
            <w:noWrap w:val="0"/>
            <w:vAlign w:val="center"/>
          </w:tcPr>
          <w:p w14:paraId="6C77DDC3">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2</w:t>
            </w:r>
          </w:p>
        </w:tc>
        <w:tc>
          <w:tcPr>
            <w:tcW w:w="4324" w:type="dxa"/>
            <w:noWrap w:val="0"/>
            <w:vAlign w:val="center"/>
          </w:tcPr>
          <w:p w14:paraId="754688DB">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1.</w:t>
            </w:r>
            <w:r>
              <w:rPr>
                <w:rFonts w:hint="eastAsia" w:ascii="宋体" w:hAnsi="宋体" w:cs="宋体"/>
                <w:kern w:val="0"/>
                <w:sz w:val="18"/>
                <w:szCs w:val="18"/>
                <w:lang w:eastAsia="zh-CN"/>
              </w:rPr>
              <w:t>建</w:t>
            </w:r>
            <w:r>
              <w:rPr>
                <w:rFonts w:hint="eastAsia" w:ascii="宋体" w:hAnsi="宋体" w:eastAsia="宋体" w:cs="宋体"/>
                <w:kern w:val="0"/>
                <w:sz w:val="18"/>
                <w:szCs w:val="18"/>
              </w:rPr>
              <w:t>立环境保护责任制度，明确单位负责人和相关人员的责任</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1分，未建立的不得分；2.</w:t>
            </w:r>
            <w:r>
              <w:rPr>
                <w:rFonts w:hint="eastAsia" w:ascii="宋体" w:hAnsi="宋体" w:eastAsia="宋体" w:cs="宋体"/>
                <w:kern w:val="0"/>
                <w:sz w:val="18"/>
                <w:szCs w:val="18"/>
              </w:rPr>
              <w:t>定期对从业人员开展环保培训</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1分，未开展的不得分。</w:t>
            </w:r>
          </w:p>
          <w:p w14:paraId="277334F7">
            <w:pPr>
              <w:numPr>
                <w:ilvl w:val="0"/>
                <w:numId w:val="0"/>
              </w:numPr>
              <w:spacing w:line="240" w:lineRule="exact"/>
              <w:ind w:left="0" w:leftChars="0" w:firstLine="0" w:firstLineChars="0"/>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该最终分为上述2项累加分。</w:t>
            </w:r>
          </w:p>
        </w:tc>
        <w:tc>
          <w:tcPr>
            <w:tcW w:w="1867" w:type="dxa"/>
            <w:noWrap w:val="0"/>
            <w:vAlign w:val="center"/>
          </w:tcPr>
          <w:p w14:paraId="2E4A54F2">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058D0077">
            <w:pPr>
              <w:widowControl/>
              <w:spacing w:line="240" w:lineRule="exact"/>
              <w:jc w:val="center"/>
              <w:rPr>
                <w:rFonts w:hint="eastAsia" w:ascii="宋体" w:hAnsi="宋体" w:eastAsia="宋体" w:cs="宋体"/>
                <w:color w:val="000000"/>
                <w:kern w:val="0"/>
                <w:sz w:val="18"/>
                <w:szCs w:val="18"/>
              </w:rPr>
            </w:pPr>
          </w:p>
        </w:tc>
      </w:tr>
      <w:tr w14:paraId="3570E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52" w:type="dxa"/>
            <w:vMerge w:val="continue"/>
            <w:noWrap w:val="0"/>
            <w:vAlign w:val="center"/>
          </w:tcPr>
          <w:p w14:paraId="5269A848">
            <w:pPr>
              <w:rPr>
                <w:rFonts w:hint="eastAsia"/>
              </w:rPr>
            </w:pPr>
          </w:p>
        </w:tc>
        <w:tc>
          <w:tcPr>
            <w:tcW w:w="4812" w:type="dxa"/>
            <w:noWrap w:val="0"/>
            <w:vAlign w:val="center"/>
          </w:tcPr>
          <w:p w14:paraId="50DCC5F9">
            <w:pPr>
              <w:widowControl/>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3.依法实行排污许可管理，禁止无证排污，严格按证排放污染物，规范开展污染物自行监测及信息公开，保存原始监测记录，原始监测记录保存期限不得少于5年。建立环境管理台账记录制度，按照排污许可证规定的格式、内容和频次，如实记录主要生产设施、污染防治设施运行情况以及污染物排放浓度、排放量，环境管理台账记录保存期限不得少于5年。按照排污许可证规定的内容、频次和时间要求，规范上报排污许可证执行报告，如实报告污染物排放行为、排放浓度、排放量等；</w:t>
            </w:r>
          </w:p>
        </w:tc>
        <w:tc>
          <w:tcPr>
            <w:tcW w:w="829" w:type="dxa"/>
            <w:noWrap w:val="0"/>
            <w:vAlign w:val="center"/>
          </w:tcPr>
          <w:p w14:paraId="2B0384BE">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5</w:t>
            </w:r>
          </w:p>
        </w:tc>
        <w:tc>
          <w:tcPr>
            <w:tcW w:w="4324" w:type="dxa"/>
            <w:noWrap w:val="0"/>
            <w:vAlign w:val="center"/>
          </w:tcPr>
          <w:p w14:paraId="507D4BBC">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1.</w:t>
            </w:r>
            <w:r>
              <w:rPr>
                <w:rFonts w:hint="eastAsia" w:ascii="宋体" w:hAnsi="宋体" w:cs="宋体"/>
                <w:kern w:val="0"/>
                <w:sz w:val="18"/>
                <w:szCs w:val="18"/>
                <w:lang w:eastAsia="zh-CN"/>
              </w:rPr>
              <w:t>取得排污许可证或登记表，按</w:t>
            </w:r>
            <w:r>
              <w:rPr>
                <w:rFonts w:hint="eastAsia" w:ascii="宋体" w:hAnsi="宋体" w:eastAsia="宋体" w:cs="宋体"/>
                <w:kern w:val="0"/>
                <w:sz w:val="18"/>
                <w:szCs w:val="18"/>
              </w:rPr>
              <w:t>证排放污染物</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2分；</w:t>
            </w:r>
          </w:p>
          <w:p w14:paraId="392F95CA">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2.</w:t>
            </w:r>
            <w:r>
              <w:rPr>
                <w:rFonts w:hint="eastAsia" w:ascii="宋体" w:hAnsi="宋体" w:eastAsia="宋体" w:cs="宋体"/>
                <w:kern w:val="0"/>
                <w:sz w:val="18"/>
                <w:szCs w:val="18"/>
              </w:rPr>
              <w:t>规范开展污染物自行监测及信息公开，保存原始监测记录，原始监测记录保存期限不得少于5年</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w:t>
            </w:r>
          </w:p>
          <w:p w14:paraId="73DAC56C">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3.</w:t>
            </w:r>
            <w:r>
              <w:rPr>
                <w:rFonts w:hint="eastAsia" w:ascii="宋体" w:hAnsi="宋体" w:eastAsia="宋体" w:cs="宋体"/>
                <w:kern w:val="0"/>
                <w:sz w:val="18"/>
                <w:szCs w:val="18"/>
              </w:rPr>
              <w:t>建立环境管理台账记录制度，按照排污许可证规定的格式、内容和频次，如实记录主要生产设施、污染防治设施运行情况以及污染物排放浓度、排放量，环境管理台账记录保存期限不得少于5年</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w:t>
            </w:r>
          </w:p>
          <w:p w14:paraId="0BE52FC7">
            <w:pPr>
              <w:numPr>
                <w:ilvl w:val="0"/>
                <w:numId w:val="0"/>
              </w:numPr>
              <w:spacing w:line="240" w:lineRule="exact"/>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4.</w:t>
            </w:r>
            <w:r>
              <w:rPr>
                <w:rFonts w:hint="eastAsia" w:ascii="宋体" w:hAnsi="宋体" w:eastAsia="宋体" w:cs="宋体"/>
                <w:kern w:val="0"/>
                <w:sz w:val="18"/>
                <w:szCs w:val="18"/>
              </w:rPr>
              <w:t>按照排污许可证规定的内容、频次和时间要求，规范上报排污许可证执行报告，如实报告污染物排放行为、排放浓度、排放量等</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w:t>
            </w:r>
          </w:p>
          <w:p w14:paraId="74C03C12">
            <w:pPr>
              <w:widowControl w:val="0"/>
              <w:numPr>
                <w:ilvl w:val="0"/>
                <w:numId w:val="0"/>
              </w:numPr>
              <w:spacing w:line="240" w:lineRule="exact"/>
              <w:ind w:left="0" w:leftChars="0" w:firstLine="0" w:firstLineChars="0"/>
              <w:jc w:val="both"/>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该最终分为上述4项累加分。</w:t>
            </w:r>
          </w:p>
        </w:tc>
        <w:tc>
          <w:tcPr>
            <w:tcW w:w="1867" w:type="dxa"/>
            <w:noWrap w:val="0"/>
            <w:vAlign w:val="center"/>
          </w:tcPr>
          <w:p w14:paraId="069165F4">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035EE6A2">
            <w:pPr>
              <w:widowControl/>
              <w:spacing w:line="240" w:lineRule="exact"/>
              <w:jc w:val="center"/>
              <w:rPr>
                <w:rFonts w:hint="eastAsia" w:ascii="宋体" w:hAnsi="宋体" w:eastAsia="宋体" w:cs="宋体"/>
                <w:color w:val="000000"/>
                <w:kern w:val="0"/>
                <w:sz w:val="18"/>
                <w:szCs w:val="18"/>
              </w:rPr>
            </w:pPr>
          </w:p>
        </w:tc>
      </w:tr>
      <w:tr w14:paraId="2E0E8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52" w:type="dxa"/>
            <w:vMerge w:val="continue"/>
            <w:noWrap w:val="0"/>
            <w:vAlign w:val="center"/>
          </w:tcPr>
          <w:p w14:paraId="7ADB3A59">
            <w:pPr>
              <w:rPr>
                <w:rFonts w:hint="eastAsia"/>
              </w:rPr>
            </w:pPr>
          </w:p>
        </w:tc>
        <w:tc>
          <w:tcPr>
            <w:tcW w:w="4812" w:type="dxa"/>
            <w:noWrap w:val="0"/>
            <w:vAlign w:val="center"/>
          </w:tcPr>
          <w:p w14:paraId="463F6606">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4.制定污染防治设施操作规程，明确脱硫浆液pH值、药剂添加量、添加频次等技术参数，建立药剂添加合帐，规范填写污染防治设施（脱硫、脱硝、布袋收尘等）运行台帐；</w:t>
            </w:r>
          </w:p>
        </w:tc>
        <w:tc>
          <w:tcPr>
            <w:tcW w:w="829" w:type="dxa"/>
            <w:noWrap w:val="0"/>
            <w:vAlign w:val="center"/>
          </w:tcPr>
          <w:p w14:paraId="12F89062">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2</w:t>
            </w:r>
          </w:p>
        </w:tc>
        <w:tc>
          <w:tcPr>
            <w:tcW w:w="4324" w:type="dxa"/>
            <w:noWrap w:val="0"/>
            <w:vAlign w:val="center"/>
          </w:tcPr>
          <w:p w14:paraId="3B9CDCF8">
            <w:pPr>
              <w:numPr>
                <w:ilvl w:val="0"/>
                <w:numId w:val="0"/>
              </w:numPr>
              <w:spacing w:line="240" w:lineRule="exact"/>
              <w:rPr>
                <w:rFonts w:hint="eastAsia" w:ascii="宋体" w:hAnsi="宋体" w:eastAsia="宋体" w:cs="宋体"/>
                <w:kern w:val="0"/>
                <w:sz w:val="18"/>
                <w:szCs w:val="18"/>
              </w:rPr>
            </w:pPr>
            <w:r>
              <w:rPr>
                <w:rFonts w:hint="eastAsia" w:ascii="宋体" w:hAnsi="宋体" w:cs="宋体"/>
                <w:kern w:val="0"/>
                <w:sz w:val="18"/>
                <w:szCs w:val="18"/>
                <w:lang w:val="en-US" w:eastAsia="zh-CN"/>
              </w:rPr>
              <w:t>1.</w:t>
            </w:r>
            <w:r>
              <w:rPr>
                <w:rFonts w:hint="eastAsia" w:ascii="宋体" w:hAnsi="宋体" w:eastAsia="宋体" w:cs="宋体"/>
                <w:kern w:val="0"/>
                <w:sz w:val="18"/>
                <w:szCs w:val="18"/>
              </w:rPr>
              <w:t>制定污染防治设施操作规程，明确脱硫浆液pH值、药剂添加量、添加频次等技术参数</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w:t>
            </w:r>
          </w:p>
          <w:p w14:paraId="7CC8ED8B">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2.</w:t>
            </w:r>
            <w:r>
              <w:rPr>
                <w:rFonts w:hint="eastAsia" w:ascii="宋体" w:hAnsi="宋体" w:eastAsia="宋体" w:cs="宋体"/>
                <w:kern w:val="0"/>
                <w:sz w:val="18"/>
                <w:szCs w:val="18"/>
              </w:rPr>
              <w:t>建立药剂添加合帐，规范填写污染防治设施（脱硫、脱硝、布袋收尘等）运行台帐</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w:t>
            </w:r>
          </w:p>
          <w:p w14:paraId="3FA304B6">
            <w:pPr>
              <w:numPr>
                <w:ilvl w:val="0"/>
                <w:numId w:val="0"/>
              </w:numPr>
              <w:spacing w:line="240" w:lineRule="exact"/>
              <w:ind w:left="0" w:leftChars="0" w:firstLine="0" w:firstLineChars="0"/>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该最终分为上述2项累加分。</w:t>
            </w:r>
          </w:p>
        </w:tc>
        <w:tc>
          <w:tcPr>
            <w:tcW w:w="1867" w:type="dxa"/>
            <w:noWrap w:val="0"/>
            <w:vAlign w:val="center"/>
          </w:tcPr>
          <w:p w14:paraId="792234A0">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169C0F83">
            <w:pPr>
              <w:widowControl/>
              <w:spacing w:line="240" w:lineRule="exact"/>
              <w:jc w:val="center"/>
              <w:rPr>
                <w:rFonts w:hint="eastAsia" w:ascii="宋体" w:hAnsi="宋体" w:eastAsia="宋体" w:cs="宋体"/>
                <w:color w:val="000000"/>
                <w:kern w:val="0"/>
                <w:sz w:val="18"/>
                <w:szCs w:val="18"/>
              </w:rPr>
            </w:pPr>
          </w:p>
        </w:tc>
      </w:tr>
      <w:tr w14:paraId="3B7AF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52" w:type="dxa"/>
            <w:vMerge w:val="continue"/>
            <w:noWrap w:val="0"/>
            <w:vAlign w:val="center"/>
          </w:tcPr>
          <w:p w14:paraId="15978819">
            <w:pPr>
              <w:rPr>
                <w:rFonts w:hint="eastAsia"/>
              </w:rPr>
            </w:pPr>
          </w:p>
        </w:tc>
        <w:tc>
          <w:tcPr>
            <w:tcW w:w="4812" w:type="dxa"/>
            <w:noWrap w:val="0"/>
            <w:vAlign w:val="center"/>
          </w:tcPr>
          <w:p w14:paraId="78CCC579">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5.强化环境应急管理，在开展突发环境事件风险评估和应急资源调查的基础上制定突发环境事件应急预案，确定环境风险防范和环境安全隐患排查治理措施，按规定实施备案并及时更新。厂区内应当储备必要的环境应急装备和物资，并建立完善相关管理制度。定期开展应急演练，撰写演练评估报告，分析存在问题，并根据演练情况及时修改完善应急预案。对从业人员定期进行突发环境事件应急知识和技能培训，并建立培训档案，如实记录培训的时间、内容、参加人员等信息。</w:t>
            </w:r>
          </w:p>
        </w:tc>
        <w:tc>
          <w:tcPr>
            <w:tcW w:w="829" w:type="dxa"/>
            <w:noWrap w:val="0"/>
            <w:vAlign w:val="center"/>
          </w:tcPr>
          <w:p w14:paraId="64E4800F">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4</w:t>
            </w:r>
          </w:p>
        </w:tc>
        <w:tc>
          <w:tcPr>
            <w:tcW w:w="4324" w:type="dxa"/>
            <w:noWrap w:val="0"/>
            <w:vAlign w:val="center"/>
          </w:tcPr>
          <w:p w14:paraId="2AA99656">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1.</w:t>
            </w:r>
            <w:r>
              <w:rPr>
                <w:rFonts w:hint="eastAsia" w:ascii="宋体" w:hAnsi="宋体" w:eastAsia="宋体" w:cs="宋体"/>
                <w:kern w:val="0"/>
                <w:sz w:val="18"/>
                <w:szCs w:val="18"/>
              </w:rPr>
              <w:t>制定突发环境事件应急预案</w:t>
            </w:r>
            <w:r>
              <w:rPr>
                <w:rFonts w:hint="eastAsia" w:ascii="宋体" w:hAnsi="宋体" w:cs="宋体"/>
                <w:kern w:val="0"/>
                <w:sz w:val="18"/>
                <w:szCs w:val="18"/>
                <w:lang w:eastAsia="zh-CN"/>
              </w:rPr>
              <w:t>，</w:t>
            </w:r>
            <w:r>
              <w:rPr>
                <w:rFonts w:hint="eastAsia" w:ascii="宋体" w:hAnsi="宋体" w:eastAsia="宋体" w:cs="宋体"/>
                <w:kern w:val="0"/>
                <w:sz w:val="18"/>
                <w:szCs w:val="18"/>
              </w:rPr>
              <w:t>按规定实施备案并及时更新</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w:t>
            </w:r>
          </w:p>
          <w:p w14:paraId="75D6C608">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2.</w:t>
            </w:r>
            <w:r>
              <w:rPr>
                <w:rFonts w:hint="eastAsia" w:ascii="宋体" w:hAnsi="宋体" w:cs="宋体"/>
                <w:kern w:val="0"/>
                <w:sz w:val="18"/>
                <w:szCs w:val="18"/>
                <w:lang w:eastAsia="zh-CN"/>
              </w:rPr>
              <w:t>厂区内</w:t>
            </w:r>
            <w:r>
              <w:rPr>
                <w:rFonts w:hint="eastAsia" w:ascii="宋体" w:hAnsi="宋体" w:eastAsia="宋体" w:cs="宋体"/>
                <w:kern w:val="0"/>
                <w:sz w:val="18"/>
                <w:szCs w:val="18"/>
              </w:rPr>
              <w:t>储备必要的环境应急装备和物资，并建立完善相关管理制度</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w:t>
            </w:r>
          </w:p>
          <w:p w14:paraId="6448019D">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3.</w:t>
            </w:r>
            <w:r>
              <w:rPr>
                <w:rFonts w:hint="eastAsia" w:ascii="宋体" w:hAnsi="宋体" w:eastAsia="宋体" w:cs="宋体"/>
                <w:kern w:val="0"/>
                <w:sz w:val="18"/>
                <w:szCs w:val="18"/>
              </w:rPr>
              <w:t>定期开展应急演练，撰写演练评估报告</w:t>
            </w:r>
            <w:r>
              <w:rPr>
                <w:rFonts w:hint="eastAsia" w:ascii="宋体" w:hAnsi="宋体" w:cs="宋体"/>
                <w:kern w:val="0"/>
                <w:sz w:val="18"/>
                <w:szCs w:val="18"/>
                <w:lang w:eastAsia="zh-CN"/>
              </w:rPr>
              <w:t>，</w:t>
            </w:r>
            <w:r>
              <w:rPr>
                <w:rFonts w:hint="eastAsia" w:ascii="宋体" w:hAnsi="宋体" w:eastAsia="宋体" w:cs="宋体"/>
                <w:kern w:val="0"/>
                <w:sz w:val="18"/>
                <w:szCs w:val="18"/>
              </w:rPr>
              <w:t>及时修改完善应急预案</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w:t>
            </w:r>
          </w:p>
          <w:p w14:paraId="28D78390">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4.</w:t>
            </w:r>
            <w:r>
              <w:rPr>
                <w:rFonts w:hint="eastAsia" w:ascii="宋体" w:hAnsi="宋体" w:eastAsia="宋体" w:cs="宋体"/>
                <w:kern w:val="0"/>
                <w:sz w:val="18"/>
                <w:szCs w:val="18"/>
              </w:rPr>
              <w:t>从业人员定期进行突发环境事件应急知识和技能培训，并建立培训档案，如实记录培训的时间、内容、参加人员等信息</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w:t>
            </w:r>
          </w:p>
          <w:p w14:paraId="5455DA86">
            <w:pPr>
              <w:numPr>
                <w:ilvl w:val="0"/>
                <w:numId w:val="0"/>
              </w:numPr>
              <w:spacing w:line="240" w:lineRule="exact"/>
              <w:ind w:left="0" w:leftChars="0" w:firstLine="0" w:firstLineChars="0"/>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该最终分为上述4项累加分。</w:t>
            </w:r>
          </w:p>
        </w:tc>
        <w:tc>
          <w:tcPr>
            <w:tcW w:w="1867" w:type="dxa"/>
            <w:noWrap w:val="0"/>
            <w:vAlign w:val="center"/>
          </w:tcPr>
          <w:p w14:paraId="20B3826D">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20063E22">
            <w:pPr>
              <w:widowControl/>
              <w:spacing w:line="240" w:lineRule="exact"/>
              <w:jc w:val="center"/>
              <w:rPr>
                <w:rFonts w:hint="eastAsia" w:ascii="宋体" w:hAnsi="宋体" w:eastAsia="宋体" w:cs="宋体"/>
                <w:color w:val="000000"/>
                <w:kern w:val="0"/>
                <w:sz w:val="18"/>
                <w:szCs w:val="18"/>
              </w:rPr>
            </w:pPr>
          </w:p>
        </w:tc>
      </w:tr>
      <w:tr w14:paraId="2C5EB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952" w:type="dxa"/>
            <w:vMerge w:val="continue"/>
            <w:noWrap w:val="0"/>
            <w:vAlign w:val="center"/>
          </w:tcPr>
          <w:p w14:paraId="5E5865B9">
            <w:pPr>
              <w:rPr>
                <w:rFonts w:hint="eastAsia"/>
              </w:rPr>
            </w:pPr>
          </w:p>
        </w:tc>
        <w:tc>
          <w:tcPr>
            <w:tcW w:w="4812" w:type="dxa"/>
            <w:noWrap w:val="0"/>
            <w:vAlign w:val="center"/>
          </w:tcPr>
          <w:p w14:paraId="4FC4B31E">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6.建立健全环境安全隐患排查治理制度，建立隐患排查治理档案，及时发现并消除环境安全隐患。对于发现后能够立即治理的环境安全隐患，应当立即采取措施，消除环境安全隐患；对于情况复杂、短期内难以完成治理，可能产生较大环境危害的环境安全隐患，应当制定隐患治理方案，落实整改措施、责任、资金、时限和现场应急预案，及时消除隐患。</w:t>
            </w:r>
          </w:p>
        </w:tc>
        <w:tc>
          <w:tcPr>
            <w:tcW w:w="829" w:type="dxa"/>
            <w:noWrap w:val="0"/>
            <w:vAlign w:val="center"/>
          </w:tcPr>
          <w:p w14:paraId="31E11901">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2</w:t>
            </w:r>
          </w:p>
        </w:tc>
        <w:tc>
          <w:tcPr>
            <w:tcW w:w="4324" w:type="dxa"/>
            <w:noWrap w:val="0"/>
            <w:vAlign w:val="center"/>
          </w:tcPr>
          <w:p w14:paraId="0E4E6DB1">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1.</w:t>
            </w:r>
            <w:r>
              <w:rPr>
                <w:rFonts w:hint="eastAsia" w:ascii="宋体" w:hAnsi="宋体" w:eastAsia="宋体" w:cs="宋体"/>
                <w:kern w:val="0"/>
                <w:sz w:val="18"/>
                <w:szCs w:val="18"/>
              </w:rPr>
              <w:t>建立健全环境安全隐患排查治理制度</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w:t>
            </w:r>
          </w:p>
          <w:p w14:paraId="2A46CD2D">
            <w:pPr>
              <w:numPr>
                <w:ilvl w:val="0"/>
                <w:numId w:val="0"/>
              </w:numPr>
              <w:spacing w:line="240" w:lineRule="exact"/>
              <w:rPr>
                <w:rFonts w:hint="eastAsia" w:ascii="宋体" w:hAnsi="宋体" w:cs="宋体"/>
                <w:kern w:val="0"/>
                <w:sz w:val="18"/>
                <w:szCs w:val="18"/>
                <w:lang w:val="en-US" w:eastAsia="zh-CN"/>
              </w:rPr>
            </w:pPr>
            <w:r>
              <w:rPr>
                <w:rFonts w:hint="eastAsia" w:ascii="宋体" w:hAnsi="宋体" w:cs="宋体"/>
                <w:kern w:val="0"/>
                <w:sz w:val="18"/>
                <w:szCs w:val="18"/>
                <w:lang w:val="en-US" w:eastAsia="zh-CN"/>
              </w:rPr>
              <w:t>2.</w:t>
            </w:r>
            <w:r>
              <w:rPr>
                <w:rFonts w:hint="eastAsia" w:ascii="宋体" w:hAnsi="宋体" w:eastAsia="宋体" w:cs="宋体"/>
                <w:kern w:val="0"/>
                <w:sz w:val="18"/>
                <w:szCs w:val="18"/>
              </w:rPr>
              <w:t>建立隐患排查治理档案，及时发现并消除环境安全隐患</w:t>
            </w:r>
            <w:r>
              <w:rPr>
                <w:rFonts w:hint="eastAsia" w:ascii="宋体" w:hAnsi="宋体" w:cs="宋体"/>
                <w:kern w:val="0"/>
                <w:sz w:val="18"/>
                <w:szCs w:val="18"/>
                <w:lang w:eastAsia="zh-CN"/>
              </w:rPr>
              <w:t>的得</w:t>
            </w:r>
            <w:r>
              <w:rPr>
                <w:rFonts w:hint="eastAsia" w:ascii="宋体" w:hAnsi="宋体" w:cs="宋体"/>
                <w:kern w:val="0"/>
                <w:sz w:val="18"/>
                <w:szCs w:val="18"/>
                <w:lang w:val="en-US" w:eastAsia="zh-CN"/>
              </w:rPr>
              <w:t>1分；</w:t>
            </w:r>
          </w:p>
          <w:p w14:paraId="7795328D">
            <w:pPr>
              <w:numPr>
                <w:ilvl w:val="0"/>
                <w:numId w:val="0"/>
              </w:numPr>
              <w:spacing w:line="240" w:lineRule="exact"/>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3.发现有一件</w:t>
            </w:r>
            <w:r>
              <w:rPr>
                <w:rFonts w:hint="eastAsia" w:ascii="宋体" w:hAnsi="宋体" w:eastAsia="宋体" w:cs="宋体"/>
                <w:kern w:val="0"/>
                <w:sz w:val="18"/>
                <w:szCs w:val="18"/>
              </w:rPr>
              <w:t>情况复杂、短期内难以完成治理，可能产生较大环境危害的环境安全隐患，</w:t>
            </w:r>
            <w:r>
              <w:rPr>
                <w:rFonts w:hint="eastAsia" w:ascii="宋体" w:hAnsi="宋体" w:cs="宋体"/>
                <w:kern w:val="0"/>
                <w:sz w:val="18"/>
                <w:szCs w:val="18"/>
                <w:lang w:eastAsia="zh-CN"/>
              </w:rPr>
              <w:t>未</w:t>
            </w:r>
            <w:r>
              <w:rPr>
                <w:rFonts w:hint="eastAsia" w:ascii="宋体" w:hAnsi="宋体" w:eastAsia="宋体" w:cs="宋体"/>
                <w:kern w:val="0"/>
                <w:sz w:val="18"/>
                <w:szCs w:val="18"/>
              </w:rPr>
              <w:t>制定隐患治理方案，落实整改措施、责任、资金、时限和现场应急预案</w:t>
            </w:r>
            <w:r>
              <w:rPr>
                <w:rFonts w:hint="eastAsia" w:ascii="宋体" w:hAnsi="宋体" w:cs="宋体"/>
                <w:kern w:val="0"/>
                <w:sz w:val="18"/>
                <w:szCs w:val="18"/>
                <w:lang w:eastAsia="zh-CN"/>
              </w:rPr>
              <w:t>的扣</w:t>
            </w:r>
            <w:r>
              <w:rPr>
                <w:rFonts w:hint="eastAsia" w:ascii="宋体" w:hAnsi="宋体" w:cs="宋体"/>
                <w:kern w:val="0"/>
                <w:sz w:val="18"/>
                <w:szCs w:val="18"/>
                <w:lang w:val="en-US" w:eastAsia="zh-CN"/>
              </w:rPr>
              <w:t>1分，扣完2分为止。</w:t>
            </w:r>
          </w:p>
          <w:p w14:paraId="4D757166">
            <w:pPr>
              <w:numPr>
                <w:ilvl w:val="0"/>
                <w:numId w:val="0"/>
              </w:numPr>
              <w:spacing w:line="240" w:lineRule="exact"/>
              <w:ind w:left="0" w:leftChars="0" w:firstLine="0" w:firstLineChars="0"/>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该最终分为上述3项累计分。</w:t>
            </w:r>
          </w:p>
        </w:tc>
        <w:tc>
          <w:tcPr>
            <w:tcW w:w="1867" w:type="dxa"/>
            <w:noWrap w:val="0"/>
            <w:vAlign w:val="center"/>
          </w:tcPr>
          <w:p w14:paraId="6BBAE3BF">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kern w:val="0"/>
                <w:sz w:val="18"/>
                <w:szCs w:val="18"/>
                <w:lang w:val="en-US" w:eastAsia="zh-CN"/>
              </w:rPr>
              <w:t>区生态环境分局</w:t>
            </w:r>
          </w:p>
        </w:tc>
        <w:tc>
          <w:tcPr>
            <w:tcW w:w="722" w:type="dxa"/>
            <w:noWrap w:val="0"/>
            <w:vAlign w:val="center"/>
          </w:tcPr>
          <w:p w14:paraId="370DCF2C">
            <w:pPr>
              <w:widowControl/>
              <w:spacing w:line="240" w:lineRule="exact"/>
              <w:jc w:val="center"/>
              <w:rPr>
                <w:rFonts w:hint="eastAsia" w:ascii="宋体" w:hAnsi="宋体" w:eastAsia="宋体" w:cs="宋体"/>
                <w:color w:val="000000"/>
                <w:kern w:val="0"/>
                <w:sz w:val="18"/>
                <w:szCs w:val="18"/>
              </w:rPr>
            </w:pPr>
          </w:p>
        </w:tc>
      </w:tr>
      <w:tr w14:paraId="16A98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952" w:type="dxa"/>
            <w:vMerge w:val="restart"/>
            <w:noWrap w:val="0"/>
            <w:vAlign w:val="center"/>
          </w:tcPr>
          <w:p w14:paraId="51E6F424">
            <w:pPr>
              <w:rPr>
                <w:rFonts w:hint="eastAsia"/>
              </w:rPr>
            </w:pPr>
            <w:r>
              <w:rPr>
                <w:rFonts w:hint="eastAsia"/>
              </w:rPr>
              <w:t>（九）现场管理</w:t>
            </w:r>
          </w:p>
        </w:tc>
        <w:tc>
          <w:tcPr>
            <w:tcW w:w="4812" w:type="dxa"/>
            <w:noWrap w:val="0"/>
            <w:vAlign w:val="center"/>
          </w:tcPr>
          <w:p w14:paraId="6A03DBD2">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1.对日常操作设备每天擦拭1次以上；</w:t>
            </w:r>
          </w:p>
        </w:tc>
        <w:tc>
          <w:tcPr>
            <w:tcW w:w="829" w:type="dxa"/>
            <w:noWrap w:val="0"/>
            <w:vAlign w:val="center"/>
          </w:tcPr>
          <w:p w14:paraId="2C9B68F8">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1</w:t>
            </w:r>
          </w:p>
        </w:tc>
        <w:tc>
          <w:tcPr>
            <w:tcW w:w="4324" w:type="dxa"/>
            <w:noWrap w:val="0"/>
            <w:vAlign w:val="center"/>
          </w:tcPr>
          <w:p w14:paraId="38BE1457">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对日常操作设备每天擦拭1次以上</w:t>
            </w:r>
            <w:r>
              <w:rPr>
                <w:rFonts w:hint="eastAsia" w:ascii="宋体" w:hAnsi="宋体" w:eastAsia="宋体" w:cs="宋体"/>
                <w:kern w:val="0"/>
                <w:sz w:val="18"/>
                <w:szCs w:val="18"/>
                <w:lang w:eastAsia="zh-CN"/>
              </w:rPr>
              <w:t>，得</w:t>
            </w:r>
            <w:r>
              <w:rPr>
                <w:rFonts w:hint="eastAsia" w:ascii="宋体" w:hAnsi="宋体" w:eastAsia="宋体" w:cs="宋体"/>
                <w:kern w:val="0"/>
                <w:sz w:val="18"/>
                <w:szCs w:val="18"/>
                <w:lang w:val="en-US" w:eastAsia="zh-CN"/>
              </w:rPr>
              <w:t>1分。</w:t>
            </w:r>
          </w:p>
        </w:tc>
        <w:tc>
          <w:tcPr>
            <w:tcW w:w="1867" w:type="dxa"/>
            <w:noWrap w:val="0"/>
            <w:vAlign w:val="center"/>
          </w:tcPr>
          <w:p w14:paraId="5049BA11">
            <w:pPr>
              <w:widowControl/>
              <w:spacing w:line="240" w:lineRule="exact"/>
              <w:jc w:val="center"/>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区工信局</w:t>
            </w:r>
          </w:p>
        </w:tc>
        <w:tc>
          <w:tcPr>
            <w:tcW w:w="722" w:type="dxa"/>
            <w:noWrap w:val="0"/>
            <w:vAlign w:val="center"/>
          </w:tcPr>
          <w:p w14:paraId="2571885C">
            <w:pPr>
              <w:widowControl/>
              <w:spacing w:line="240" w:lineRule="exact"/>
              <w:jc w:val="center"/>
              <w:rPr>
                <w:rFonts w:hint="eastAsia" w:ascii="宋体" w:hAnsi="宋体" w:eastAsia="宋体" w:cs="宋体"/>
                <w:color w:val="000000"/>
                <w:kern w:val="0"/>
                <w:sz w:val="18"/>
                <w:szCs w:val="18"/>
              </w:rPr>
            </w:pPr>
          </w:p>
        </w:tc>
      </w:tr>
      <w:tr w14:paraId="051E5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952" w:type="dxa"/>
            <w:vMerge w:val="continue"/>
            <w:noWrap w:val="0"/>
            <w:vAlign w:val="center"/>
          </w:tcPr>
          <w:p w14:paraId="4AD56064">
            <w:pPr>
              <w:rPr>
                <w:rFonts w:hint="eastAsia"/>
              </w:rPr>
            </w:pPr>
          </w:p>
        </w:tc>
        <w:tc>
          <w:tcPr>
            <w:tcW w:w="4812" w:type="dxa"/>
            <w:noWrap w:val="0"/>
            <w:vAlign w:val="center"/>
          </w:tcPr>
          <w:p w14:paraId="789DA61E">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2.对室内设备、管道每周清洁1次以上；</w:t>
            </w:r>
          </w:p>
        </w:tc>
        <w:tc>
          <w:tcPr>
            <w:tcW w:w="829" w:type="dxa"/>
            <w:noWrap w:val="0"/>
            <w:vAlign w:val="center"/>
          </w:tcPr>
          <w:p w14:paraId="07273C77">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1</w:t>
            </w:r>
          </w:p>
        </w:tc>
        <w:tc>
          <w:tcPr>
            <w:tcW w:w="4324" w:type="dxa"/>
            <w:noWrap w:val="0"/>
            <w:vAlign w:val="center"/>
          </w:tcPr>
          <w:p w14:paraId="4CFCC94C">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对室内设备、管道每周清洁1次以上</w:t>
            </w:r>
            <w:r>
              <w:rPr>
                <w:rFonts w:hint="eastAsia" w:ascii="宋体" w:hAnsi="宋体" w:eastAsia="宋体" w:cs="宋体"/>
                <w:kern w:val="0"/>
                <w:sz w:val="18"/>
                <w:szCs w:val="18"/>
                <w:lang w:eastAsia="zh-CN"/>
              </w:rPr>
              <w:t>，得</w:t>
            </w:r>
            <w:r>
              <w:rPr>
                <w:rFonts w:hint="eastAsia" w:ascii="宋体" w:hAnsi="宋体" w:eastAsia="宋体" w:cs="宋体"/>
                <w:kern w:val="0"/>
                <w:sz w:val="18"/>
                <w:szCs w:val="18"/>
                <w:lang w:val="en-US" w:eastAsia="zh-CN"/>
              </w:rPr>
              <w:t>1分。</w:t>
            </w:r>
          </w:p>
        </w:tc>
        <w:tc>
          <w:tcPr>
            <w:tcW w:w="1867" w:type="dxa"/>
            <w:noWrap w:val="0"/>
            <w:vAlign w:val="center"/>
          </w:tcPr>
          <w:p w14:paraId="2B5E960B">
            <w:pPr>
              <w:widowControl/>
              <w:spacing w:line="240" w:lineRule="exact"/>
              <w:jc w:val="center"/>
              <w:rPr>
                <w:rFonts w:hint="eastAsia" w:ascii="宋体" w:hAnsi="宋体" w:eastAsia="宋体" w:cs="宋体"/>
                <w:color w:val="000000"/>
                <w:kern w:val="0"/>
                <w:sz w:val="18"/>
                <w:szCs w:val="18"/>
              </w:rPr>
            </w:pPr>
            <w:r>
              <w:rPr>
                <w:rFonts w:hint="eastAsia" w:ascii="宋体" w:hAnsi="宋体" w:cs="宋体"/>
                <w:color w:val="000000"/>
                <w:kern w:val="0"/>
                <w:sz w:val="18"/>
                <w:szCs w:val="18"/>
                <w:lang w:val="en-US" w:eastAsia="zh-CN"/>
              </w:rPr>
              <w:t>区工信局</w:t>
            </w:r>
          </w:p>
        </w:tc>
        <w:tc>
          <w:tcPr>
            <w:tcW w:w="722" w:type="dxa"/>
            <w:noWrap w:val="0"/>
            <w:vAlign w:val="center"/>
          </w:tcPr>
          <w:p w14:paraId="4538759C">
            <w:pPr>
              <w:widowControl/>
              <w:spacing w:line="240" w:lineRule="exact"/>
              <w:jc w:val="center"/>
              <w:rPr>
                <w:rFonts w:hint="eastAsia" w:ascii="宋体" w:hAnsi="宋体" w:eastAsia="宋体" w:cs="宋体"/>
                <w:color w:val="000000"/>
                <w:kern w:val="0"/>
                <w:sz w:val="18"/>
                <w:szCs w:val="18"/>
              </w:rPr>
            </w:pPr>
          </w:p>
        </w:tc>
      </w:tr>
      <w:tr w14:paraId="1FE7A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952" w:type="dxa"/>
            <w:vMerge w:val="continue"/>
            <w:noWrap w:val="0"/>
            <w:vAlign w:val="center"/>
          </w:tcPr>
          <w:p w14:paraId="447192E4">
            <w:pPr>
              <w:rPr>
                <w:rFonts w:hint="eastAsia"/>
              </w:rPr>
            </w:pPr>
          </w:p>
        </w:tc>
        <w:tc>
          <w:tcPr>
            <w:tcW w:w="4812" w:type="dxa"/>
            <w:noWrap w:val="0"/>
            <w:vAlign w:val="center"/>
          </w:tcPr>
          <w:p w14:paraId="6B7947A1">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3.确保设备清洁无积尘、无污渍；</w:t>
            </w:r>
          </w:p>
        </w:tc>
        <w:tc>
          <w:tcPr>
            <w:tcW w:w="829" w:type="dxa"/>
            <w:noWrap w:val="0"/>
            <w:vAlign w:val="center"/>
          </w:tcPr>
          <w:p w14:paraId="4F3D7295">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1</w:t>
            </w:r>
          </w:p>
        </w:tc>
        <w:tc>
          <w:tcPr>
            <w:tcW w:w="4324" w:type="dxa"/>
            <w:noWrap w:val="0"/>
            <w:vAlign w:val="center"/>
          </w:tcPr>
          <w:p w14:paraId="2B000FF0">
            <w:pPr>
              <w:spacing w:line="240" w:lineRule="exact"/>
              <w:rPr>
                <w:rFonts w:hint="default" w:ascii="宋体" w:hAnsi="宋体" w:eastAsia="宋体" w:cs="宋体"/>
                <w:kern w:val="0"/>
                <w:sz w:val="18"/>
                <w:szCs w:val="18"/>
                <w:lang w:val="en-US" w:eastAsia="zh-CN"/>
              </w:rPr>
            </w:pPr>
            <w:r>
              <w:rPr>
                <w:rFonts w:hint="eastAsia" w:ascii="宋体" w:hAnsi="宋体" w:eastAsia="宋体" w:cs="宋体"/>
                <w:kern w:val="0"/>
                <w:sz w:val="18"/>
                <w:szCs w:val="18"/>
              </w:rPr>
              <w:t>设备清洁无积尘、无污渍</w:t>
            </w:r>
            <w:r>
              <w:rPr>
                <w:rFonts w:hint="eastAsia" w:ascii="宋体" w:hAnsi="宋体" w:eastAsia="宋体" w:cs="宋体"/>
                <w:kern w:val="0"/>
                <w:sz w:val="18"/>
                <w:szCs w:val="18"/>
                <w:lang w:eastAsia="zh-CN"/>
              </w:rPr>
              <w:t>的得</w:t>
            </w:r>
            <w:r>
              <w:rPr>
                <w:rFonts w:hint="eastAsia" w:ascii="宋体" w:hAnsi="宋体" w:eastAsia="宋体" w:cs="宋体"/>
                <w:kern w:val="0"/>
                <w:sz w:val="18"/>
                <w:szCs w:val="18"/>
                <w:lang w:val="en-US" w:eastAsia="zh-CN"/>
              </w:rPr>
              <w:t>1分；发现积尘、污渍的酌情扣分。</w:t>
            </w:r>
          </w:p>
        </w:tc>
        <w:tc>
          <w:tcPr>
            <w:tcW w:w="1867" w:type="dxa"/>
            <w:noWrap w:val="0"/>
            <w:vAlign w:val="center"/>
          </w:tcPr>
          <w:p w14:paraId="67672C47">
            <w:pPr>
              <w:widowControl/>
              <w:spacing w:line="240" w:lineRule="exact"/>
              <w:jc w:val="center"/>
              <w:rPr>
                <w:rFonts w:hint="eastAsia" w:ascii="宋体" w:hAnsi="宋体" w:eastAsia="宋体" w:cs="宋体"/>
                <w:color w:val="000000"/>
                <w:kern w:val="0"/>
                <w:sz w:val="18"/>
                <w:szCs w:val="18"/>
              </w:rPr>
            </w:pPr>
            <w:r>
              <w:rPr>
                <w:rFonts w:hint="eastAsia" w:ascii="宋体" w:hAnsi="宋体" w:cs="宋体"/>
                <w:color w:val="000000"/>
                <w:kern w:val="0"/>
                <w:sz w:val="18"/>
                <w:szCs w:val="18"/>
                <w:lang w:val="en-US" w:eastAsia="zh-CN"/>
              </w:rPr>
              <w:t>区工信局</w:t>
            </w:r>
          </w:p>
        </w:tc>
        <w:tc>
          <w:tcPr>
            <w:tcW w:w="722" w:type="dxa"/>
            <w:noWrap w:val="0"/>
            <w:vAlign w:val="center"/>
          </w:tcPr>
          <w:p w14:paraId="0A5F428E">
            <w:pPr>
              <w:widowControl/>
              <w:spacing w:line="240" w:lineRule="exact"/>
              <w:jc w:val="center"/>
              <w:rPr>
                <w:rFonts w:hint="eastAsia" w:ascii="宋体" w:hAnsi="宋体" w:eastAsia="宋体" w:cs="宋体"/>
                <w:color w:val="000000"/>
                <w:kern w:val="0"/>
                <w:sz w:val="18"/>
                <w:szCs w:val="18"/>
              </w:rPr>
            </w:pPr>
          </w:p>
        </w:tc>
      </w:tr>
      <w:tr w14:paraId="66956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952" w:type="dxa"/>
            <w:vMerge w:val="continue"/>
            <w:noWrap w:val="0"/>
            <w:vAlign w:val="center"/>
          </w:tcPr>
          <w:p w14:paraId="0453A464">
            <w:pPr>
              <w:rPr>
                <w:rFonts w:hint="eastAsia"/>
              </w:rPr>
            </w:pPr>
          </w:p>
        </w:tc>
        <w:tc>
          <w:tcPr>
            <w:tcW w:w="4812" w:type="dxa"/>
            <w:noWrap w:val="0"/>
            <w:vAlign w:val="center"/>
          </w:tcPr>
          <w:p w14:paraId="3BBCCF38">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4.设立保洁岗位，配置移动式洒水设备，清扫车间及厂区地面卫生，确保地面整洁。</w:t>
            </w:r>
          </w:p>
        </w:tc>
        <w:tc>
          <w:tcPr>
            <w:tcW w:w="829" w:type="dxa"/>
            <w:noWrap w:val="0"/>
            <w:vAlign w:val="center"/>
          </w:tcPr>
          <w:p w14:paraId="246816D1">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2</w:t>
            </w:r>
          </w:p>
        </w:tc>
        <w:tc>
          <w:tcPr>
            <w:tcW w:w="4324" w:type="dxa"/>
            <w:noWrap w:val="0"/>
            <w:vAlign w:val="center"/>
          </w:tcPr>
          <w:p w14:paraId="684275E0">
            <w:pPr>
              <w:spacing w:line="240" w:lineRule="exact"/>
              <w:rPr>
                <w:rFonts w:hint="default" w:ascii="宋体" w:hAnsi="宋体" w:eastAsia="宋体" w:cs="宋体"/>
                <w:kern w:val="0"/>
                <w:sz w:val="18"/>
                <w:szCs w:val="18"/>
                <w:lang w:val="en-US" w:eastAsia="zh-CN"/>
              </w:rPr>
            </w:pPr>
            <w:r>
              <w:rPr>
                <w:rFonts w:hint="eastAsia" w:ascii="宋体" w:hAnsi="宋体" w:eastAsia="宋体" w:cs="宋体"/>
                <w:kern w:val="0"/>
                <w:sz w:val="18"/>
                <w:szCs w:val="18"/>
                <w:lang w:eastAsia="zh-CN"/>
              </w:rPr>
              <w:t>有</w:t>
            </w:r>
            <w:r>
              <w:rPr>
                <w:rFonts w:hint="eastAsia" w:ascii="宋体" w:hAnsi="宋体" w:eastAsia="宋体" w:cs="宋体"/>
                <w:kern w:val="0"/>
                <w:sz w:val="18"/>
                <w:szCs w:val="18"/>
              </w:rPr>
              <w:t>保洁岗位</w:t>
            </w:r>
            <w:r>
              <w:rPr>
                <w:rFonts w:hint="eastAsia" w:ascii="宋体" w:hAnsi="宋体" w:eastAsia="宋体" w:cs="宋体"/>
                <w:kern w:val="0"/>
                <w:sz w:val="18"/>
                <w:szCs w:val="18"/>
                <w:lang w:eastAsia="zh-CN"/>
              </w:rPr>
              <w:t>、</w:t>
            </w:r>
            <w:r>
              <w:rPr>
                <w:rFonts w:hint="eastAsia" w:ascii="宋体" w:hAnsi="宋体" w:eastAsia="宋体" w:cs="宋体"/>
                <w:kern w:val="0"/>
                <w:sz w:val="18"/>
                <w:szCs w:val="18"/>
              </w:rPr>
              <w:t>配置洒水设备，车间及厂区地面卫生</w:t>
            </w:r>
            <w:r>
              <w:rPr>
                <w:rFonts w:hint="eastAsia" w:ascii="宋体" w:hAnsi="宋体" w:eastAsia="宋体" w:cs="宋体"/>
                <w:kern w:val="0"/>
                <w:sz w:val="18"/>
                <w:szCs w:val="18"/>
                <w:lang w:eastAsia="zh-CN"/>
              </w:rPr>
              <w:t>得</w:t>
            </w:r>
            <w:r>
              <w:rPr>
                <w:rFonts w:hint="eastAsia" w:ascii="宋体" w:hAnsi="宋体" w:eastAsia="宋体" w:cs="宋体"/>
                <w:kern w:val="0"/>
                <w:sz w:val="18"/>
                <w:szCs w:val="18"/>
                <w:lang w:val="en-US" w:eastAsia="zh-CN"/>
              </w:rPr>
              <w:t>2分，厂区卫生较差的酌情扣分。</w:t>
            </w:r>
          </w:p>
        </w:tc>
        <w:tc>
          <w:tcPr>
            <w:tcW w:w="1867" w:type="dxa"/>
            <w:noWrap w:val="0"/>
            <w:vAlign w:val="center"/>
          </w:tcPr>
          <w:p w14:paraId="7F486B6A">
            <w:pPr>
              <w:widowControl/>
              <w:spacing w:line="240" w:lineRule="exact"/>
              <w:jc w:val="center"/>
              <w:rPr>
                <w:rFonts w:hint="eastAsia" w:ascii="宋体" w:hAnsi="宋体" w:eastAsia="宋体" w:cs="宋体"/>
                <w:color w:val="000000"/>
                <w:kern w:val="0"/>
                <w:sz w:val="18"/>
                <w:szCs w:val="18"/>
              </w:rPr>
            </w:pPr>
            <w:r>
              <w:rPr>
                <w:rFonts w:hint="eastAsia" w:ascii="宋体" w:hAnsi="宋体" w:cs="宋体"/>
                <w:color w:val="000000"/>
                <w:kern w:val="0"/>
                <w:sz w:val="18"/>
                <w:szCs w:val="18"/>
                <w:lang w:val="en-US" w:eastAsia="zh-CN"/>
              </w:rPr>
              <w:t>区工信局</w:t>
            </w:r>
          </w:p>
        </w:tc>
        <w:tc>
          <w:tcPr>
            <w:tcW w:w="722" w:type="dxa"/>
            <w:noWrap w:val="0"/>
            <w:vAlign w:val="center"/>
          </w:tcPr>
          <w:p w14:paraId="0648A74A">
            <w:pPr>
              <w:widowControl/>
              <w:spacing w:line="240" w:lineRule="exact"/>
              <w:jc w:val="center"/>
              <w:rPr>
                <w:rFonts w:hint="eastAsia" w:ascii="宋体" w:hAnsi="宋体" w:eastAsia="宋体" w:cs="宋体"/>
                <w:color w:val="000000"/>
                <w:kern w:val="0"/>
                <w:sz w:val="18"/>
                <w:szCs w:val="18"/>
              </w:rPr>
            </w:pPr>
          </w:p>
        </w:tc>
      </w:tr>
      <w:tr w14:paraId="06628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952" w:type="dxa"/>
            <w:vMerge w:val="restart"/>
            <w:noWrap w:val="0"/>
            <w:vAlign w:val="center"/>
          </w:tcPr>
          <w:p w14:paraId="7EDD242C">
            <w:pPr>
              <w:rPr>
                <w:rFonts w:hint="eastAsia"/>
              </w:rPr>
            </w:pPr>
            <w:r>
              <w:rPr>
                <w:rFonts w:hint="eastAsia"/>
              </w:rPr>
              <w:t>（十）厂区绿化</w:t>
            </w:r>
          </w:p>
        </w:tc>
        <w:tc>
          <w:tcPr>
            <w:tcW w:w="4812" w:type="dxa"/>
            <w:noWrap w:val="0"/>
            <w:vAlign w:val="center"/>
          </w:tcPr>
          <w:p w14:paraId="320648DF">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1.道路绿化应满足遮荫、防尘、降低噪音、保证交通安全等要求；</w:t>
            </w:r>
          </w:p>
        </w:tc>
        <w:tc>
          <w:tcPr>
            <w:tcW w:w="829" w:type="dxa"/>
            <w:noWrap w:val="0"/>
            <w:vAlign w:val="center"/>
          </w:tcPr>
          <w:p w14:paraId="33698C7E">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1</w:t>
            </w:r>
          </w:p>
        </w:tc>
        <w:tc>
          <w:tcPr>
            <w:tcW w:w="4324" w:type="dxa"/>
            <w:noWrap w:val="0"/>
            <w:vAlign w:val="center"/>
          </w:tcPr>
          <w:p w14:paraId="4EF11E72">
            <w:pPr>
              <w:spacing w:line="240" w:lineRule="exact"/>
              <w:rPr>
                <w:rFonts w:hint="default" w:ascii="宋体" w:hAnsi="宋体" w:eastAsia="宋体" w:cs="宋体"/>
                <w:kern w:val="0"/>
                <w:sz w:val="18"/>
                <w:szCs w:val="18"/>
                <w:lang w:val="en-US" w:eastAsia="zh-CN"/>
              </w:rPr>
            </w:pPr>
            <w:r>
              <w:rPr>
                <w:rFonts w:hint="eastAsia" w:ascii="宋体" w:hAnsi="宋体" w:eastAsia="宋体" w:cs="宋体"/>
                <w:kern w:val="0"/>
                <w:sz w:val="18"/>
                <w:szCs w:val="18"/>
              </w:rPr>
              <w:t>道路绿化应满足遮荫、防尘、降低噪音、保证交通安全等要求</w:t>
            </w:r>
            <w:r>
              <w:rPr>
                <w:rFonts w:hint="eastAsia" w:ascii="宋体" w:hAnsi="宋体" w:eastAsia="宋体" w:cs="宋体"/>
                <w:kern w:val="0"/>
                <w:sz w:val="18"/>
                <w:szCs w:val="18"/>
                <w:lang w:eastAsia="zh-CN"/>
              </w:rPr>
              <w:t>的得</w:t>
            </w:r>
            <w:r>
              <w:rPr>
                <w:rFonts w:hint="eastAsia" w:ascii="宋体" w:hAnsi="宋体" w:eastAsia="宋体" w:cs="宋体"/>
                <w:kern w:val="0"/>
                <w:sz w:val="18"/>
                <w:szCs w:val="18"/>
                <w:lang w:val="en-US" w:eastAsia="zh-CN"/>
              </w:rPr>
              <w:t>1分。</w:t>
            </w:r>
          </w:p>
        </w:tc>
        <w:tc>
          <w:tcPr>
            <w:tcW w:w="1867" w:type="dxa"/>
            <w:noWrap w:val="0"/>
            <w:vAlign w:val="center"/>
          </w:tcPr>
          <w:p w14:paraId="31A2E391">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color w:val="000000"/>
                <w:kern w:val="0"/>
                <w:sz w:val="18"/>
                <w:szCs w:val="18"/>
                <w:lang w:val="en-US" w:eastAsia="zh-CN"/>
              </w:rPr>
              <w:t>区工信局</w:t>
            </w:r>
          </w:p>
        </w:tc>
        <w:tc>
          <w:tcPr>
            <w:tcW w:w="722" w:type="dxa"/>
            <w:noWrap w:val="0"/>
            <w:vAlign w:val="center"/>
          </w:tcPr>
          <w:p w14:paraId="3D2F0A9B">
            <w:pPr>
              <w:widowControl/>
              <w:spacing w:line="240" w:lineRule="exact"/>
              <w:jc w:val="center"/>
              <w:rPr>
                <w:rFonts w:hint="eastAsia" w:ascii="宋体" w:hAnsi="宋体" w:eastAsia="宋体" w:cs="宋体"/>
                <w:color w:val="000000"/>
                <w:kern w:val="0"/>
                <w:sz w:val="18"/>
                <w:szCs w:val="18"/>
              </w:rPr>
            </w:pPr>
          </w:p>
        </w:tc>
      </w:tr>
      <w:tr w14:paraId="3011D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952" w:type="dxa"/>
            <w:vMerge w:val="continue"/>
            <w:noWrap w:val="0"/>
            <w:vAlign w:val="center"/>
          </w:tcPr>
          <w:p w14:paraId="36794B00">
            <w:pPr>
              <w:rPr>
                <w:rFonts w:hint="eastAsia"/>
              </w:rPr>
            </w:pPr>
          </w:p>
        </w:tc>
        <w:tc>
          <w:tcPr>
            <w:tcW w:w="4812" w:type="dxa"/>
            <w:noWrap w:val="0"/>
            <w:vAlign w:val="center"/>
          </w:tcPr>
          <w:p w14:paraId="0A8666CE">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2.生产区周边应适当栽种叶面较大、对有害气体抗性较强及吸附作用、隔音效果较好的树种；</w:t>
            </w:r>
          </w:p>
        </w:tc>
        <w:tc>
          <w:tcPr>
            <w:tcW w:w="829" w:type="dxa"/>
            <w:noWrap w:val="0"/>
            <w:vAlign w:val="center"/>
          </w:tcPr>
          <w:p w14:paraId="5AAE6EB2">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1</w:t>
            </w:r>
          </w:p>
        </w:tc>
        <w:tc>
          <w:tcPr>
            <w:tcW w:w="4324" w:type="dxa"/>
            <w:noWrap w:val="0"/>
            <w:vAlign w:val="center"/>
          </w:tcPr>
          <w:p w14:paraId="0FBAFE1C">
            <w:pPr>
              <w:spacing w:line="240" w:lineRule="exact"/>
              <w:rPr>
                <w:rFonts w:hint="default" w:ascii="宋体" w:hAnsi="宋体" w:eastAsia="宋体" w:cs="宋体"/>
                <w:kern w:val="0"/>
                <w:sz w:val="18"/>
                <w:szCs w:val="18"/>
                <w:lang w:val="en-US" w:eastAsia="zh-CN"/>
              </w:rPr>
            </w:pPr>
            <w:r>
              <w:rPr>
                <w:rFonts w:hint="eastAsia" w:ascii="宋体" w:hAnsi="宋体" w:eastAsia="宋体" w:cs="宋体"/>
                <w:kern w:val="0"/>
                <w:sz w:val="18"/>
                <w:szCs w:val="18"/>
              </w:rPr>
              <w:t>生产区周边应适当栽种叶面较大、对有害气体抗性较强及吸附作用、隔音效果较好的树种</w:t>
            </w:r>
            <w:r>
              <w:rPr>
                <w:rFonts w:hint="eastAsia" w:ascii="宋体" w:hAnsi="宋体" w:eastAsia="宋体" w:cs="宋体"/>
                <w:kern w:val="0"/>
                <w:sz w:val="18"/>
                <w:szCs w:val="18"/>
                <w:lang w:eastAsia="zh-CN"/>
              </w:rPr>
              <w:t>的得</w:t>
            </w:r>
            <w:r>
              <w:rPr>
                <w:rFonts w:hint="eastAsia" w:ascii="宋体" w:hAnsi="宋体" w:eastAsia="宋体" w:cs="宋体"/>
                <w:kern w:val="0"/>
                <w:sz w:val="18"/>
                <w:szCs w:val="18"/>
                <w:lang w:val="en-US" w:eastAsia="zh-CN"/>
              </w:rPr>
              <w:t>1分。</w:t>
            </w:r>
          </w:p>
        </w:tc>
        <w:tc>
          <w:tcPr>
            <w:tcW w:w="1867" w:type="dxa"/>
            <w:noWrap w:val="0"/>
            <w:vAlign w:val="center"/>
          </w:tcPr>
          <w:p w14:paraId="649BF9CB">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color w:val="000000"/>
                <w:kern w:val="0"/>
                <w:sz w:val="18"/>
                <w:szCs w:val="18"/>
                <w:lang w:val="en-US" w:eastAsia="zh-CN"/>
              </w:rPr>
              <w:t>区工信局</w:t>
            </w:r>
          </w:p>
        </w:tc>
        <w:tc>
          <w:tcPr>
            <w:tcW w:w="722" w:type="dxa"/>
            <w:noWrap w:val="0"/>
            <w:vAlign w:val="center"/>
          </w:tcPr>
          <w:p w14:paraId="2D53EDFD">
            <w:pPr>
              <w:widowControl/>
              <w:spacing w:line="240" w:lineRule="exact"/>
              <w:jc w:val="center"/>
              <w:rPr>
                <w:rFonts w:hint="eastAsia" w:ascii="宋体" w:hAnsi="宋体" w:eastAsia="宋体" w:cs="宋体"/>
                <w:color w:val="000000"/>
                <w:kern w:val="0"/>
                <w:sz w:val="18"/>
                <w:szCs w:val="18"/>
              </w:rPr>
            </w:pPr>
          </w:p>
        </w:tc>
      </w:tr>
      <w:tr w14:paraId="0AC13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952" w:type="dxa"/>
            <w:vMerge w:val="continue"/>
            <w:noWrap w:val="0"/>
            <w:vAlign w:val="center"/>
          </w:tcPr>
          <w:p w14:paraId="22345961">
            <w:pPr>
              <w:rPr>
                <w:rFonts w:hint="eastAsia"/>
              </w:rPr>
            </w:pPr>
          </w:p>
        </w:tc>
        <w:tc>
          <w:tcPr>
            <w:tcW w:w="4812" w:type="dxa"/>
            <w:noWrap w:val="0"/>
            <w:vAlign w:val="center"/>
          </w:tcPr>
          <w:p w14:paraId="5DD8E570">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3.办公区采用规则式与自然式相结合的布局，可设计花坛，栽植观赏花木，铺设草坪；</w:t>
            </w:r>
          </w:p>
        </w:tc>
        <w:tc>
          <w:tcPr>
            <w:tcW w:w="829" w:type="dxa"/>
            <w:noWrap w:val="0"/>
            <w:vAlign w:val="center"/>
          </w:tcPr>
          <w:p w14:paraId="0235E19A">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1</w:t>
            </w:r>
          </w:p>
        </w:tc>
        <w:tc>
          <w:tcPr>
            <w:tcW w:w="4324" w:type="dxa"/>
            <w:noWrap w:val="0"/>
            <w:vAlign w:val="center"/>
          </w:tcPr>
          <w:p w14:paraId="557C0247">
            <w:pPr>
              <w:spacing w:line="240" w:lineRule="exact"/>
              <w:rPr>
                <w:rFonts w:hint="default" w:ascii="宋体" w:hAnsi="宋体" w:eastAsia="宋体" w:cs="宋体"/>
                <w:kern w:val="0"/>
                <w:sz w:val="18"/>
                <w:szCs w:val="18"/>
                <w:lang w:val="en-US" w:eastAsia="zh-CN"/>
              </w:rPr>
            </w:pPr>
            <w:r>
              <w:rPr>
                <w:rFonts w:hint="eastAsia" w:ascii="宋体" w:hAnsi="宋体" w:eastAsia="宋体" w:cs="宋体"/>
                <w:kern w:val="0"/>
                <w:sz w:val="18"/>
                <w:szCs w:val="18"/>
                <w:lang w:eastAsia="zh-CN"/>
              </w:rPr>
              <w:t>有</w:t>
            </w:r>
            <w:r>
              <w:rPr>
                <w:rFonts w:hint="eastAsia" w:ascii="宋体" w:hAnsi="宋体" w:eastAsia="宋体" w:cs="宋体"/>
                <w:kern w:val="0"/>
                <w:sz w:val="18"/>
                <w:szCs w:val="18"/>
              </w:rPr>
              <w:t>花坛</w:t>
            </w:r>
            <w:r>
              <w:rPr>
                <w:rFonts w:hint="eastAsia" w:ascii="宋体" w:hAnsi="宋体" w:eastAsia="宋体" w:cs="宋体"/>
                <w:kern w:val="0"/>
                <w:sz w:val="18"/>
                <w:szCs w:val="18"/>
                <w:lang w:eastAsia="zh-CN"/>
              </w:rPr>
              <w:t>、</w:t>
            </w:r>
            <w:r>
              <w:rPr>
                <w:rFonts w:hint="eastAsia" w:ascii="宋体" w:hAnsi="宋体" w:eastAsia="宋体" w:cs="宋体"/>
                <w:kern w:val="0"/>
                <w:sz w:val="18"/>
                <w:szCs w:val="18"/>
              </w:rPr>
              <w:t>观赏花木</w:t>
            </w:r>
            <w:r>
              <w:rPr>
                <w:rFonts w:hint="eastAsia" w:ascii="宋体" w:hAnsi="宋体" w:eastAsia="宋体" w:cs="宋体"/>
                <w:kern w:val="0"/>
                <w:sz w:val="18"/>
                <w:szCs w:val="18"/>
                <w:lang w:eastAsia="zh-CN"/>
              </w:rPr>
              <w:t>或</w:t>
            </w:r>
            <w:r>
              <w:rPr>
                <w:rFonts w:hint="eastAsia" w:ascii="宋体" w:hAnsi="宋体" w:eastAsia="宋体" w:cs="宋体"/>
                <w:kern w:val="0"/>
                <w:sz w:val="18"/>
                <w:szCs w:val="18"/>
              </w:rPr>
              <w:t>铺设草坪</w:t>
            </w:r>
            <w:r>
              <w:rPr>
                <w:rFonts w:hint="eastAsia" w:ascii="宋体" w:hAnsi="宋体" w:eastAsia="宋体" w:cs="宋体"/>
                <w:kern w:val="0"/>
                <w:sz w:val="18"/>
                <w:szCs w:val="18"/>
                <w:lang w:eastAsia="zh-CN"/>
              </w:rPr>
              <w:t>的得</w:t>
            </w:r>
            <w:r>
              <w:rPr>
                <w:rFonts w:hint="eastAsia" w:ascii="宋体" w:hAnsi="宋体" w:eastAsia="宋体" w:cs="宋体"/>
                <w:kern w:val="0"/>
                <w:sz w:val="18"/>
                <w:szCs w:val="18"/>
                <w:lang w:val="en-US" w:eastAsia="zh-CN"/>
              </w:rPr>
              <w:t>1分，没有的不得分。</w:t>
            </w:r>
          </w:p>
        </w:tc>
        <w:tc>
          <w:tcPr>
            <w:tcW w:w="1867" w:type="dxa"/>
            <w:noWrap w:val="0"/>
            <w:vAlign w:val="center"/>
          </w:tcPr>
          <w:p w14:paraId="5741B0AD">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color w:val="000000"/>
                <w:kern w:val="0"/>
                <w:sz w:val="18"/>
                <w:szCs w:val="18"/>
                <w:lang w:val="en-US" w:eastAsia="zh-CN"/>
              </w:rPr>
              <w:t>区工信局</w:t>
            </w:r>
          </w:p>
        </w:tc>
        <w:tc>
          <w:tcPr>
            <w:tcW w:w="722" w:type="dxa"/>
            <w:noWrap w:val="0"/>
            <w:vAlign w:val="center"/>
          </w:tcPr>
          <w:p w14:paraId="00CAB60C">
            <w:pPr>
              <w:widowControl/>
              <w:spacing w:line="240" w:lineRule="exact"/>
              <w:jc w:val="center"/>
              <w:rPr>
                <w:rFonts w:hint="eastAsia" w:ascii="宋体" w:hAnsi="宋体" w:eastAsia="宋体" w:cs="宋体"/>
                <w:color w:val="000000"/>
                <w:kern w:val="0"/>
                <w:sz w:val="18"/>
                <w:szCs w:val="18"/>
              </w:rPr>
            </w:pPr>
          </w:p>
        </w:tc>
      </w:tr>
      <w:tr w14:paraId="1A4B3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952" w:type="dxa"/>
            <w:vMerge w:val="continue"/>
            <w:noWrap w:val="0"/>
            <w:vAlign w:val="center"/>
          </w:tcPr>
          <w:p w14:paraId="7C2BB488">
            <w:pPr>
              <w:rPr>
                <w:rFonts w:hint="eastAsia"/>
              </w:rPr>
            </w:pPr>
          </w:p>
        </w:tc>
        <w:tc>
          <w:tcPr>
            <w:tcW w:w="4812" w:type="dxa"/>
            <w:noWrap w:val="0"/>
            <w:vAlign w:val="center"/>
          </w:tcPr>
          <w:p w14:paraId="19FBFAF0">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4.厂区绿化应考虑到季节变化，力争实现四季常青的环境，企业总绿地面积原则上不低于厂区占地面积的10%。</w:t>
            </w:r>
          </w:p>
        </w:tc>
        <w:tc>
          <w:tcPr>
            <w:tcW w:w="829" w:type="dxa"/>
            <w:noWrap w:val="0"/>
            <w:vAlign w:val="center"/>
          </w:tcPr>
          <w:p w14:paraId="7730D856">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2</w:t>
            </w:r>
          </w:p>
        </w:tc>
        <w:tc>
          <w:tcPr>
            <w:tcW w:w="4324" w:type="dxa"/>
            <w:noWrap w:val="0"/>
            <w:vAlign w:val="center"/>
          </w:tcPr>
          <w:p w14:paraId="651E7D0E">
            <w:pPr>
              <w:spacing w:line="240" w:lineRule="exact"/>
              <w:rPr>
                <w:rFonts w:hint="default" w:ascii="宋体" w:hAnsi="宋体" w:eastAsia="宋体" w:cs="宋体"/>
                <w:kern w:val="0"/>
                <w:sz w:val="18"/>
                <w:szCs w:val="18"/>
                <w:lang w:val="en-US" w:eastAsia="zh-CN"/>
              </w:rPr>
            </w:pPr>
            <w:r>
              <w:rPr>
                <w:rFonts w:hint="eastAsia" w:ascii="宋体" w:hAnsi="宋体" w:eastAsia="宋体" w:cs="宋体"/>
                <w:kern w:val="0"/>
                <w:sz w:val="18"/>
                <w:szCs w:val="18"/>
              </w:rPr>
              <w:t>业总绿地面积原则上不低于厂区占地面积的10%</w:t>
            </w:r>
            <w:r>
              <w:rPr>
                <w:rFonts w:hint="eastAsia" w:ascii="宋体" w:hAnsi="宋体" w:eastAsia="宋体" w:cs="宋体"/>
                <w:kern w:val="0"/>
                <w:sz w:val="18"/>
                <w:szCs w:val="18"/>
                <w:lang w:eastAsia="zh-CN"/>
              </w:rPr>
              <w:t>的得</w:t>
            </w:r>
            <w:r>
              <w:rPr>
                <w:rFonts w:hint="eastAsia" w:ascii="宋体" w:hAnsi="宋体" w:eastAsia="宋体" w:cs="宋体"/>
                <w:kern w:val="0"/>
                <w:sz w:val="18"/>
                <w:szCs w:val="18"/>
                <w:lang w:val="en-US" w:eastAsia="zh-CN"/>
              </w:rPr>
              <w:t>2分，未达到比例的按比例得分。</w:t>
            </w:r>
          </w:p>
        </w:tc>
        <w:tc>
          <w:tcPr>
            <w:tcW w:w="1867" w:type="dxa"/>
            <w:noWrap w:val="0"/>
            <w:vAlign w:val="center"/>
          </w:tcPr>
          <w:p w14:paraId="364D4716">
            <w:pPr>
              <w:widowControl/>
              <w:spacing w:line="240" w:lineRule="exact"/>
              <w:jc w:val="center"/>
              <w:rPr>
                <w:rFonts w:hint="eastAsia" w:ascii="宋体" w:hAnsi="宋体" w:eastAsia="宋体" w:cs="宋体"/>
                <w:color w:val="000000"/>
                <w:kern w:val="0"/>
                <w:sz w:val="18"/>
                <w:szCs w:val="18"/>
                <w:lang w:val="en-US" w:eastAsia="zh-CN" w:bidi="ar-SA"/>
              </w:rPr>
            </w:pPr>
            <w:r>
              <w:rPr>
                <w:rFonts w:hint="eastAsia" w:ascii="宋体" w:hAnsi="宋体" w:cs="宋体"/>
                <w:color w:val="000000"/>
                <w:kern w:val="0"/>
                <w:sz w:val="18"/>
                <w:szCs w:val="18"/>
                <w:lang w:val="en-US" w:eastAsia="zh-CN"/>
              </w:rPr>
              <w:t>区工信局</w:t>
            </w:r>
          </w:p>
        </w:tc>
        <w:tc>
          <w:tcPr>
            <w:tcW w:w="722" w:type="dxa"/>
            <w:noWrap w:val="0"/>
            <w:vAlign w:val="center"/>
          </w:tcPr>
          <w:p w14:paraId="002C4C61">
            <w:pPr>
              <w:widowControl/>
              <w:spacing w:line="240" w:lineRule="exact"/>
              <w:jc w:val="center"/>
              <w:rPr>
                <w:rFonts w:hint="eastAsia" w:ascii="宋体" w:hAnsi="宋体" w:eastAsia="宋体" w:cs="宋体"/>
                <w:color w:val="000000"/>
                <w:kern w:val="0"/>
                <w:sz w:val="18"/>
                <w:szCs w:val="18"/>
              </w:rPr>
            </w:pPr>
          </w:p>
        </w:tc>
      </w:tr>
      <w:tr w14:paraId="6CDA5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952" w:type="dxa"/>
            <w:vMerge w:val="restart"/>
            <w:noWrap w:val="0"/>
            <w:vAlign w:val="center"/>
          </w:tcPr>
          <w:p w14:paraId="166410A8">
            <w:pPr>
              <w:rPr>
                <w:rFonts w:hint="eastAsia"/>
              </w:rPr>
            </w:pPr>
            <w:r>
              <w:rPr>
                <w:rFonts w:hint="eastAsia"/>
              </w:rPr>
              <w:t>（十一）安全生产</w:t>
            </w:r>
          </w:p>
        </w:tc>
        <w:tc>
          <w:tcPr>
            <w:tcW w:w="4812" w:type="dxa"/>
            <w:noWrap w:val="0"/>
            <w:vAlign w:val="center"/>
          </w:tcPr>
          <w:p w14:paraId="36DB3524">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1.建设项目安全设施“三同时”资料齐全完整；</w:t>
            </w:r>
          </w:p>
        </w:tc>
        <w:tc>
          <w:tcPr>
            <w:tcW w:w="829" w:type="dxa"/>
            <w:noWrap w:val="0"/>
            <w:vAlign w:val="center"/>
          </w:tcPr>
          <w:p w14:paraId="10221A25">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2</w:t>
            </w:r>
          </w:p>
        </w:tc>
        <w:tc>
          <w:tcPr>
            <w:tcW w:w="4324" w:type="dxa"/>
            <w:noWrap w:val="0"/>
            <w:vAlign w:val="center"/>
          </w:tcPr>
          <w:p w14:paraId="4D6A2716">
            <w:pPr>
              <w:spacing w:line="240" w:lineRule="exact"/>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rPr>
              <w:t>建设项目安全预评价报告</w:t>
            </w:r>
            <w:r>
              <w:rPr>
                <w:rFonts w:hint="eastAsia" w:ascii="宋体" w:hAnsi="宋体" w:cs="宋体"/>
                <w:kern w:val="0"/>
                <w:sz w:val="18"/>
                <w:szCs w:val="18"/>
                <w:lang w:val="en-US" w:eastAsia="zh-CN"/>
              </w:rPr>
              <w:t>完整0.5分；建设项目安全设施设计报告完整0.5分；</w:t>
            </w:r>
            <w:r>
              <w:rPr>
                <w:rFonts w:hint="eastAsia" w:ascii="宋体" w:hAnsi="宋体" w:eastAsia="宋体" w:cs="宋体"/>
                <w:kern w:val="0"/>
                <w:sz w:val="18"/>
                <w:szCs w:val="18"/>
              </w:rPr>
              <w:t>建设项目</w:t>
            </w:r>
            <w:r>
              <w:rPr>
                <w:rFonts w:hint="eastAsia" w:ascii="宋体" w:hAnsi="宋体" w:cs="宋体"/>
                <w:kern w:val="0"/>
                <w:sz w:val="18"/>
                <w:szCs w:val="18"/>
                <w:lang w:val="en-US" w:eastAsia="zh-CN"/>
              </w:rPr>
              <w:t>安全设施竣工验收报告完整1分。</w:t>
            </w:r>
          </w:p>
        </w:tc>
        <w:tc>
          <w:tcPr>
            <w:tcW w:w="1867" w:type="dxa"/>
            <w:noWrap w:val="0"/>
            <w:vAlign w:val="center"/>
          </w:tcPr>
          <w:p w14:paraId="58A7189F">
            <w:pPr>
              <w:widowControl/>
              <w:spacing w:line="240" w:lineRule="exact"/>
              <w:jc w:val="center"/>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区应急管理局</w:t>
            </w:r>
          </w:p>
        </w:tc>
        <w:tc>
          <w:tcPr>
            <w:tcW w:w="722" w:type="dxa"/>
            <w:noWrap w:val="0"/>
            <w:vAlign w:val="center"/>
          </w:tcPr>
          <w:p w14:paraId="592E633E">
            <w:pPr>
              <w:widowControl/>
              <w:spacing w:line="240" w:lineRule="exact"/>
              <w:jc w:val="center"/>
              <w:rPr>
                <w:rFonts w:hint="eastAsia" w:ascii="宋体" w:hAnsi="宋体" w:eastAsia="宋体" w:cs="宋体"/>
                <w:color w:val="000000"/>
                <w:kern w:val="0"/>
                <w:sz w:val="18"/>
                <w:szCs w:val="18"/>
              </w:rPr>
            </w:pPr>
          </w:p>
        </w:tc>
      </w:tr>
      <w:tr w14:paraId="1EBB6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952" w:type="dxa"/>
            <w:vMerge w:val="continue"/>
            <w:noWrap w:val="0"/>
            <w:vAlign w:val="center"/>
          </w:tcPr>
          <w:p w14:paraId="663210FE">
            <w:pPr>
              <w:rPr>
                <w:rFonts w:hint="eastAsia"/>
              </w:rPr>
            </w:pPr>
          </w:p>
        </w:tc>
        <w:tc>
          <w:tcPr>
            <w:tcW w:w="4812" w:type="dxa"/>
            <w:noWrap w:val="0"/>
            <w:vAlign w:val="center"/>
          </w:tcPr>
          <w:p w14:paraId="05589D51">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2.通过安全生产标准化验收；</w:t>
            </w:r>
          </w:p>
        </w:tc>
        <w:tc>
          <w:tcPr>
            <w:tcW w:w="829" w:type="dxa"/>
            <w:noWrap w:val="0"/>
            <w:vAlign w:val="center"/>
          </w:tcPr>
          <w:p w14:paraId="46735449">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2</w:t>
            </w:r>
          </w:p>
        </w:tc>
        <w:tc>
          <w:tcPr>
            <w:tcW w:w="4324" w:type="dxa"/>
            <w:noWrap w:val="0"/>
            <w:vAlign w:val="center"/>
          </w:tcPr>
          <w:p w14:paraId="004380A2">
            <w:pPr>
              <w:spacing w:line="240" w:lineRule="exact"/>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企业</w:t>
            </w:r>
            <w:r>
              <w:rPr>
                <w:rFonts w:hint="eastAsia" w:ascii="宋体" w:hAnsi="宋体" w:cs="宋体"/>
                <w:color w:val="auto"/>
                <w:kern w:val="0"/>
                <w:sz w:val="18"/>
                <w:szCs w:val="18"/>
                <w:lang w:val="en-US" w:eastAsia="zh-CN"/>
              </w:rPr>
              <w:t>连续三年未发生安全生产死亡事故2分。</w:t>
            </w:r>
          </w:p>
        </w:tc>
        <w:tc>
          <w:tcPr>
            <w:tcW w:w="1867" w:type="dxa"/>
            <w:noWrap w:val="0"/>
            <w:vAlign w:val="center"/>
          </w:tcPr>
          <w:p w14:paraId="0B545F65">
            <w:pPr>
              <w:widowControl/>
              <w:spacing w:line="240" w:lineRule="exact"/>
              <w:jc w:val="center"/>
              <w:rPr>
                <w:rFonts w:hint="eastAsia" w:ascii="宋体" w:hAnsi="宋体" w:eastAsia="宋体" w:cs="宋体"/>
                <w:color w:val="000000"/>
                <w:kern w:val="0"/>
                <w:sz w:val="18"/>
                <w:szCs w:val="18"/>
              </w:rPr>
            </w:pPr>
            <w:r>
              <w:rPr>
                <w:rFonts w:hint="eastAsia" w:ascii="宋体" w:hAnsi="宋体" w:cs="宋体"/>
                <w:color w:val="000000"/>
                <w:kern w:val="0"/>
                <w:sz w:val="18"/>
                <w:szCs w:val="18"/>
                <w:lang w:val="en-US" w:eastAsia="zh-CN"/>
              </w:rPr>
              <w:t>区应急管理局</w:t>
            </w:r>
          </w:p>
        </w:tc>
        <w:tc>
          <w:tcPr>
            <w:tcW w:w="722" w:type="dxa"/>
            <w:noWrap w:val="0"/>
            <w:vAlign w:val="center"/>
          </w:tcPr>
          <w:p w14:paraId="165B3983">
            <w:pPr>
              <w:widowControl/>
              <w:spacing w:line="240" w:lineRule="exact"/>
              <w:jc w:val="center"/>
              <w:rPr>
                <w:rFonts w:hint="eastAsia" w:ascii="宋体" w:hAnsi="宋体" w:eastAsia="宋体" w:cs="宋体"/>
                <w:color w:val="000000"/>
                <w:kern w:val="0"/>
                <w:sz w:val="18"/>
                <w:szCs w:val="18"/>
              </w:rPr>
            </w:pPr>
          </w:p>
        </w:tc>
      </w:tr>
      <w:tr w14:paraId="67429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952" w:type="dxa"/>
            <w:vMerge w:val="continue"/>
            <w:noWrap w:val="0"/>
            <w:vAlign w:val="center"/>
          </w:tcPr>
          <w:p w14:paraId="0D13E77B">
            <w:pPr>
              <w:rPr>
                <w:rFonts w:hint="eastAsia"/>
              </w:rPr>
            </w:pPr>
          </w:p>
        </w:tc>
        <w:tc>
          <w:tcPr>
            <w:tcW w:w="4812" w:type="dxa"/>
            <w:noWrap w:val="0"/>
            <w:vAlign w:val="center"/>
          </w:tcPr>
          <w:p w14:paraId="2581DE4D">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3.规范设置安全生产管理机构或配备安全生产管理人员；</w:t>
            </w:r>
          </w:p>
        </w:tc>
        <w:tc>
          <w:tcPr>
            <w:tcW w:w="829" w:type="dxa"/>
            <w:noWrap w:val="0"/>
            <w:vAlign w:val="center"/>
          </w:tcPr>
          <w:p w14:paraId="481FDB87">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2</w:t>
            </w:r>
          </w:p>
        </w:tc>
        <w:tc>
          <w:tcPr>
            <w:tcW w:w="4324" w:type="dxa"/>
            <w:noWrap w:val="0"/>
            <w:vAlign w:val="center"/>
          </w:tcPr>
          <w:p w14:paraId="0942BE93">
            <w:pPr>
              <w:spacing w:line="240" w:lineRule="exact"/>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未按照要求配备</w:t>
            </w:r>
            <w:r>
              <w:rPr>
                <w:rFonts w:hint="eastAsia" w:ascii="宋体" w:hAnsi="宋体" w:eastAsia="宋体" w:cs="宋体"/>
                <w:kern w:val="0"/>
                <w:sz w:val="18"/>
                <w:szCs w:val="18"/>
              </w:rPr>
              <w:t>安全生产管理机构或配备安全生产管理人员</w:t>
            </w:r>
            <w:r>
              <w:rPr>
                <w:rFonts w:hint="eastAsia" w:ascii="宋体" w:hAnsi="宋体" w:cs="宋体"/>
                <w:kern w:val="0"/>
                <w:sz w:val="18"/>
                <w:szCs w:val="18"/>
                <w:lang w:val="en-US" w:eastAsia="zh-CN"/>
              </w:rPr>
              <w:t>扣2分，配备人员不足扣1分。</w:t>
            </w:r>
          </w:p>
        </w:tc>
        <w:tc>
          <w:tcPr>
            <w:tcW w:w="1867" w:type="dxa"/>
            <w:noWrap w:val="0"/>
            <w:vAlign w:val="center"/>
          </w:tcPr>
          <w:p w14:paraId="7A5395D4">
            <w:pPr>
              <w:widowControl/>
              <w:spacing w:line="240" w:lineRule="exact"/>
              <w:jc w:val="center"/>
              <w:rPr>
                <w:rFonts w:hint="eastAsia" w:ascii="宋体" w:hAnsi="宋体" w:eastAsia="宋体" w:cs="宋体"/>
                <w:color w:val="000000"/>
                <w:kern w:val="0"/>
                <w:sz w:val="18"/>
                <w:szCs w:val="18"/>
              </w:rPr>
            </w:pPr>
            <w:r>
              <w:rPr>
                <w:rFonts w:hint="eastAsia" w:ascii="宋体" w:hAnsi="宋体" w:cs="宋体"/>
                <w:color w:val="000000"/>
                <w:kern w:val="0"/>
                <w:sz w:val="18"/>
                <w:szCs w:val="18"/>
                <w:lang w:val="en-US" w:eastAsia="zh-CN"/>
              </w:rPr>
              <w:t>区应急管理局</w:t>
            </w:r>
          </w:p>
        </w:tc>
        <w:tc>
          <w:tcPr>
            <w:tcW w:w="722" w:type="dxa"/>
            <w:noWrap w:val="0"/>
            <w:vAlign w:val="center"/>
          </w:tcPr>
          <w:p w14:paraId="6E4F837C">
            <w:pPr>
              <w:widowControl/>
              <w:spacing w:line="240" w:lineRule="exact"/>
              <w:jc w:val="center"/>
              <w:rPr>
                <w:rFonts w:hint="eastAsia" w:ascii="宋体" w:hAnsi="宋体" w:eastAsia="宋体" w:cs="宋体"/>
                <w:color w:val="000000"/>
                <w:kern w:val="0"/>
                <w:sz w:val="18"/>
                <w:szCs w:val="18"/>
              </w:rPr>
            </w:pPr>
          </w:p>
        </w:tc>
      </w:tr>
      <w:tr w14:paraId="6D36C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952" w:type="dxa"/>
            <w:vMerge w:val="continue"/>
            <w:noWrap w:val="0"/>
            <w:vAlign w:val="center"/>
          </w:tcPr>
          <w:p w14:paraId="79A3E60B">
            <w:pPr>
              <w:rPr>
                <w:rFonts w:hint="eastAsia"/>
              </w:rPr>
            </w:pPr>
          </w:p>
        </w:tc>
        <w:tc>
          <w:tcPr>
            <w:tcW w:w="4812" w:type="dxa"/>
            <w:noWrap w:val="0"/>
            <w:vAlign w:val="center"/>
          </w:tcPr>
          <w:p w14:paraId="7ED1FB82">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4.主要负责人和安全管理人员具备相应的安全生产知识和管理能力，特种作业人员持证上岗；</w:t>
            </w:r>
          </w:p>
        </w:tc>
        <w:tc>
          <w:tcPr>
            <w:tcW w:w="829" w:type="dxa"/>
            <w:noWrap w:val="0"/>
            <w:vAlign w:val="center"/>
          </w:tcPr>
          <w:p w14:paraId="69CF57E7">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2</w:t>
            </w:r>
          </w:p>
        </w:tc>
        <w:tc>
          <w:tcPr>
            <w:tcW w:w="4324" w:type="dxa"/>
            <w:noWrap w:val="0"/>
            <w:vAlign w:val="center"/>
          </w:tcPr>
          <w:p w14:paraId="0155BB06">
            <w:pPr>
              <w:spacing w:line="240" w:lineRule="exact"/>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rPr>
              <w:t>主要负责人和安全管理人员</w:t>
            </w:r>
            <w:r>
              <w:rPr>
                <w:rFonts w:hint="eastAsia" w:ascii="宋体" w:hAnsi="宋体" w:cs="宋体"/>
                <w:kern w:val="0"/>
                <w:sz w:val="18"/>
                <w:szCs w:val="18"/>
                <w:lang w:val="en-US" w:eastAsia="zh-CN"/>
              </w:rPr>
              <w:t>持安全资格证，</w:t>
            </w:r>
            <w:r>
              <w:rPr>
                <w:rFonts w:hint="eastAsia" w:ascii="宋体" w:hAnsi="宋体" w:eastAsia="宋体" w:cs="宋体"/>
                <w:kern w:val="0"/>
                <w:sz w:val="18"/>
                <w:szCs w:val="18"/>
              </w:rPr>
              <w:t>特种作业人员</w:t>
            </w:r>
            <w:r>
              <w:rPr>
                <w:rFonts w:hint="eastAsia" w:ascii="宋体" w:hAnsi="宋体" w:cs="宋体"/>
                <w:kern w:val="0"/>
                <w:sz w:val="18"/>
                <w:szCs w:val="18"/>
                <w:lang w:val="en-US" w:eastAsia="zh-CN"/>
              </w:rPr>
              <w:t>持证上岗，以上人员未持证扣2分。</w:t>
            </w:r>
          </w:p>
        </w:tc>
        <w:tc>
          <w:tcPr>
            <w:tcW w:w="1867" w:type="dxa"/>
            <w:noWrap w:val="0"/>
            <w:vAlign w:val="center"/>
          </w:tcPr>
          <w:p w14:paraId="702E848B">
            <w:pPr>
              <w:widowControl/>
              <w:spacing w:line="240" w:lineRule="exact"/>
              <w:jc w:val="center"/>
              <w:rPr>
                <w:rFonts w:hint="eastAsia" w:ascii="宋体" w:hAnsi="宋体" w:eastAsia="宋体" w:cs="宋体"/>
                <w:color w:val="000000"/>
                <w:kern w:val="0"/>
                <w:sz w:val="18"/>
                <w:szCs w:val="18"/>
              </w:rPr>
            </w:pPr>
            <w:r>
              <w:rPr>
                <w:rFonts w:hint="eastAsia" w:ascii="宋体" w:hAnsi="宋体" w:cs="宋体"/>
                <w:color w:val="000000"/>
                <w:kern w:val="0"/>
                <w:sz w:val="18"/>
                <w:szCs w:val="18"/>
                <w:lang w:val="en-US" w:eastAsia="zh-CN"/>
              </w:rPr>
              <w:t>区应急管理局</w:t>
            </w:r>
          </w:p>
        </w:tc>
        <w:tc>
          <w:tcPr>
            <w:tcW w:w="722" w:type="dxa"/>
            <w:noWrap w:val="0"/>
            <w:vAlign w:val="center"/>
          </w:tcPr>
          <w:p w14:paraId="1E26282E">
            <w:pPr>
              <w:widowControl/>
              <w:spacing w:line="240" w:lineRule="exact"/>
              <w:jc w:val="center"/>
              <w:rPr>
                <w:rFonts w:hint="eastAsia" w:ascii="宋体" w:hAnsi="宋体" w:eastAsia="宋体" w:cs="宋体"/>
                <w:color w:val="000000"/>
                <w:kern w:val="0"/>
                <w:sz w:val="18"/>
                <w:szCs w:val="18"/>
              </w:rPr>
            </w:pPr>
          </w:p>
        </w:tc>
      </w:tr>
      <w:tr w14:paraId="127DF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952" w:type="dxa"/>
            <w:vMerge w:val="continue"/>
            <w:noWrap w:val="0"/>
            <w:vAlign w:val="center"/>
          </w:tcPr>
          <w:p w14:paraId="6C6540B0">
            <w:pPr>
              <w:rPr>
                <w:rFonts w:hint="eastAsia"/>
              </w:rPr>
            </w:pPr>
          </w:p>
        </w:tc>
        <w:tc>
          <w:tcPr>
            <w:tcW w:w="4812" w:type="dxa"/>
            <w:noWrap w:val="0"/>
            <w:vAlign w:val="center"/>
          </w:tcPr>
          <w:p w14:paraId="5FE4DC06">
            <w:pPr>
              <w:widowControl/>
              <w:spacing w:line="240" w:lineRule="exact"/>
              <w:rPr>
                <w:rFonts w:ascii="宋体" w:hAnsi="宋体" w:eastAsia="宋体" w:cs="宋体"/>
                <w:kern w:val="0"/>
                <w:sz w:val="18"/>
                <w:szCs w:val="18"/>
              </w:rPr>
            </w:pPr>
            <w:r>
              <w:rPr>
                <w:rFonts w:hint="eastAsia" w:ascii="宋体" w:hAnsi="宋体" w:eastAsia="宋体" w:cs="宋体"/>
                <w:kern w:val="0"/>
                <w:sz w:val="18"/>
                <w:szCs w:val="18"/>
              </w:rPr>
              <w:t>5.健全完善安全生产责任制和各项规章制度。</w:t>
            </w:r>
          </w:p>
        </w:tc>
        <w:tc>
          <w:tcPr>
            <w:tcW w:w="829" w:type="dxa"/>
            <w:noWrap w:val="0"/>
            <w:vAlign w:val="center"/>
          </w:tcPr>
          <w:p w14:paraId="7ACF9FB1">
            <w:pPr>
              <w:widowControl/>
              <w:spacing w:line="240" w:lineRule="exact"/>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2</w:t>
            </w:r>
          </w:p>
        </w:tc>
        <w:tc>
          <w:tcPr>
            <w:tcW w:w="4324" w:type="dxa"/>
            <w:noWrap w:val="0"/>
            <w:vAlign w:val="center"/>
          </w:tcPr>
          <w:p w14:paraId="394544C5">
            <w:pPr>
              <w:spacing w:line="240" w:lineRule="exact"/>
              <w:rPr>
                <w:rFonts w:hint="eastAsia" w:ascii="宋体" w:hAnsi="宋体" w:eastAsia="宋体" w:cs="宋体"/>
                <w:kern w:val="0"/>
                <w:sz w:val="18"/>
                <w:szCs w:val="18"/>
                <w:lang w:val="en-US" w:eastAsia="zh-CN" w:bidi="ar-SA"/>
              </w:rPr>
            </w:pPr>
            <w:r>
              <w:rPr>
                <w:rFonts w:hint="eastAsia" w:ascii="宋体" w:hAnsi="宋体" w:cs="宋体"/>
                <w:kern w:val="0"/>
                <w:sz w:val="18"/>
                <w:szCs w:val="18"/>
                <w:lang w:val="en-US" w:eastAsia="zh-CN"/>
              </w:rPr>
              <w:t>建立健全全员安全生产责任制1分，建立健全安全生产管理制度0.5分，建立健全安全操作规程0.5分。</w:t>
            </w:r>
          </w:p>
        </w:tc>
        <w:tc>
          <w:tcPr>
            <w:tcW w:w="1867" w:type="dxa"/>
            <w:noWrap w:val="0"/>
            <w:vAlign w:val="center"/>
          </w:tcPr>
          <w:p w14:paraId="095C83F7">
            <w:pPr>
              <w:widowControl/>
              <w:spacing w:line="240" w:lineRule="exact"/>
              <w:jc w:val="center"/>
              <w:rPr>
                <w:rFonts w:hint="eastAsia" w:ascii="宋体" w:hAnsi="宋体" w:eastAsia="宋体" w:cs="宋体"/>
                <w:color w:val="000000"/>
                <w:kern w:val="0"/>
                <w:sz w:val="18"/>
                <w:szCs w:val="18"/>
              </w:rPr>
            </w:pPr>
            <w:r>
              <w:rPr>
                <w:rFonts w:hint="eastAsia" w:ascii="宋体" w:hAnsi="宋体" w:cs="宋体"/>
                <w:color w:val="000000"/>
                <w:kern w:val="0"/>
                <w:sz w:val="18"/>
                <w:szCs w:val="18"/>
                <w:lang w:val="en-US" w:eastAsia="zh-CN"/>
              </w:rPr>
              <w:t>区应急管理局</w:t>
            </w:r>
          </w:p>
        </w:tc>
        <w:tc>
          <w:tcPr>
            <w:tcW w:w="722" w:type="dxa"/>
            <w:noWrap w:val="0"/>
            <w:vAlign w:val="center"/>
          </w:tcPr>
          <w:p w14:paraId="4D07F00B">
            <w:pPr>
              <w:widowControl/>
              <w:spacing w:line="240" w:lineRule="exact"/>
              <w:jc w:val="center"/>
              <w:rPr>
                <w:rFonts w:hint="eastAsia" w:ascii="宋体" w:hAnsi="宋体" w:eastAsia="宋体" w:cs="宋体"/>
                <w:color w:val="000000"/>
                <w:kern w:val="0"/>
                <w:sz w:val="18"/>
                <w:szCs w:val="18"/>
              </w:rPr>
            </w:pPr>
          </w:p>
        </w:tc>
      </w:tr>
    </w:tbl>
    <w:p w14:paraId="2496D43B"/>
    <w:p w14:paraId="196B43C2">
      <w:pPr>
        <w:spacing w:line="590" w:lineRule="exact"/>
        <w:jc w:val="both"/>
        <w:rPr>
          <w:rFonts w:hint="eastAsia" w:ascii="仿宋_GB2312" w:hAnsi="仿宋_GB2312" w:eastAsia="仿宋_GB2312" w:cs="仿宋_GB2312"/>
          <w:sz w:val="32"/>
          <w:szCs w:val="32"/>
          <w:lang w:val="en-US" w:eastAsia="zh-CN"/>
        </w:rPr>
      </w:pPr>
    </w:p>
    <w:p w14:paraId="50FA6611">
      <w:pPr>
        <w:spacing w:line="590" w:lineRule="exact"/>
        <w:rPr>
          <w:rFonts w:hint="eastAsia" w:ascii="仿宋_GB2312" w:hAnsi="仿宋_GB2312" w:eastAsia="仿宋_GB2312" w:cs="仿宋_GB2312"/>
          <w:sz w:val="32"/>
          <w:szCs w:val="32"/>
        </w:rPr>
      </w:pPr>
    </w:p>
    <w:p w14:paraId="1E10F01C">
      <w:pPr>
        <w:rPr>
          <w:rFonts w:hint="default"/>
          <w:lang w:val="en-US" w:eastAsia="zh-CN"/>
        </w:rPr>
      </w:pPr>
    </w:p>
    <w:p w14:paraId="10B375DE"/>
    <w:bookmarkEnd w:id="0"/>
    <w:p w14:paraId="18227E32"/>
    <w:p w14:paraId="073E6DAD"/>
    <w:sectPr>
      <w:headerReference r:id="rId6" w:type="first"/>
      <w:footerReference r:id="rId9" w:type="first"/>
      <w:headerReference r:id="rId4" w:type="default"/>
      <w:footerReference r:id="rId7" w:type="default"/>
      <w:headerReference r:id="rId5" w:type="even"/>
      <w:footerReference r:id="rId8" w:type="even"/>
      <w:pgSz w:w="16838" w:h="11906" w:orient="landscape"/>
      <w:pgMar w:top="1361" w:right="1644" w:bottom="1361" w:left="1134"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方正小标宋_GBK">
    <w:altName w:val="微软雅黑"/>
    <w:panose1 w:val="02000000000000000000"/>
    <w:charset w:val="86"/>
    <w:family w:val="script"/>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5419F">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04C282">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304C282">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9BEBC">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46A71">
    <w:pPr>
      <w:pStyle w:val="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73E3D">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F23D2">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E180E">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92262">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hY2E5ZGU2NDJjZjAwZTU1NTBiZGYxMTk2NzhlZDQifQ=="/>
  </w:docVars>
  <w:rsids>
    <w:rsidRoot w:val="00000000"/>
    <w:rsid w:val="42BB4068"/>
    <w:rsid w:val="5F144953"/>
    <w:rsid w:val="7B4209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6">
    <w:name w:val="BodyTextIndent2"/>
    <w:basedOn w:val="1"/>
    <w:next w:val="1"/>
    <w:qFormat/>
    <w:uiPriority w:val="0"/>
    <w:pPr>
      <w:spacing w:line="590" w:lineRule="exact"/>
      <w:ind w:firstLine="880" w:firstLineChars="200"/>
      <w:jc w:val="both"/>
      <w:textAlignment w:val="baseline"/>
    </w:pPr>
    <w:rPr>
      <w:rFonts w:ascii="Times New Roman" w:hAnsi="Times New Roman" w:eastAsia="方正仿宋_GBK"/>
      <w:kern w:val="2"/>
      <w:sz w:val="21"/>
      <w:szCs w:val="24"/>
      <w:lang w:val="en-US" w:eastAsia="zh-CN" w:bidi="ar-SA"/>
    </w:rPr>
  </w:style>
  <w:style w:type="paragraph" w:customStyle="1" w:styleId="7">
    <w:name w:val="FootnoteText"/>
    <w:basedOn w:val="1"/>
    <w:qFormat/>
    <w:uiPriority w:val="0"/>
    <w:pPr>
      <w:snapToGrid w:val="0"/>
      <w:jc w:val="left"/>
      <w:textAlignment w:val="baseline"/>
    </w:pPr>
    <w:rPr>
      <w:rFonts w:ascii="Calibri" w:hAnsi="Calibri"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134</Words>
  <Characters>142</Characters>
  <Lines>0</Lines>
  <Paragraphs>0</Paragraphs>
  <TotalTime>1</TotalTime>
  <ScaleCrop>false</ScaleCrop>
  <LinksUpToDate>false</LinksUpToDate>
  <CharactersWithSpaces>180</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2024-08-28T06:49:00Z</dcterms:created>
  <dc:creator>HP</dc:creator>
  <cp:lastModifiedBy>郑明星</cp:lastModifiedBy>
  <cp:lastPrinted>2024-08-29T03:52:00Z</cp:lastPrinted>
  <dcterms:modified xsi:type="dcterms:W3CDTF">2024-09-15T02:52:11Z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646D3C75397E48F180E71FA78055C969_13</vt:lpwstr>
  </property>
</Properties>
</file>