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ascii="仿宋" w:hAnsi="仿宋" w:eastAsia="仿宋"/>
          <w:sz w:val="32"/>
          <w:szCs w:val="32"/>
        </w:rPr>
      </w:pPr>
    </w:p>
    <w:p>
      <w:pPr>
        <w:pStyle w:val="4"/>
        <w:autoSpaceDE w:val="0"/>
        <w:autoSpaceDN w:val="0"/>
        <w:spacing w:before="7"/>
        <w:jc w:val="center"/>
        <w:rPr>
          <w:rFonts w:hint="eastAsia"/>
        </w:rPr>
      </w:pPr>
    </w:p>
    <w:p>
      <w:pPr>
        <w:pStyle w:val="4"/>
        <w:keepNext w:val="0"/>
        <w:keepLines w:val="0"/>
        <w:pageBreakBefore w:val="0"/>
        <w:widowControl/>
        <w:kinsoku/>
        <w:wordWrap/>
        <w:overflowPunct/>
        <w:topLinePunct w:val="0"/>
        <w:autoSpaceDE w:val="0"/>
        <w:autoSpaceDN w:val="0"/>
        <w:bidi w:val="0"/>
        <w:adjustRightInd w:val="0"/>
        <w:snapToGrid w:val="0"/>
        <w:spacing w:after="0" w:line="640" w:lineRule="exact"/>
        <w:jc w:val="center"/>
        <w:textAlignment w:val="auto"/>
        <w:rPr>
          <w:rFonts w:hint="eastAsia" w:ascii="方正小标宋简体" w:hAnsi="方正小标宋简体" w:eastAsia="方正小标宋简体" w:cs="方正小标宋简体"/>
          <w:b w:val="0"/>
          <w:bCs/>
          <w:color w:val="000000" w:themeColor="text1"/>
          <w:w w:val="90"/>
          <w:sz w:val="44"/>
          <w:szCs w:val="44"/>
          <w14:textFill>
            <w14:solidFill>
              <w14:schemeClr w14:val="tx1"/>
            </w14:solidFill>
          </w14:textFill>
        </w:rPr>
      </w:pPr>
      <w:r>
        <w:rPr>
          <w:rFonts w:hint="eastAsia" w:ascii="方正小标宋简体" w:hAnsi="方正小标宋简体" w:eastAsia="方正小标宋简体" w:cs="方正小标宋简体"/>
          <w:b w:val="0"/>
          <w:bCs/>
          <w:color w:val="000000" w:themeColor="text1"/>
          <w:w w:val="90"/>
          <w:sz w:val="44"/>
          <w:szCs w:val="44"/>
          <w14:textFill>
            <w14:solidFill>
              <w14:schemeClr w14:val="tx1"/>
            </w14:solidFill>
          </w14:textFill>
        </w:rPr>
        <w:t>关于印发《池州市贵池区机制砂石行业管理规范》的通知</w:t>
      </w:r>
    </w:p>
    <w:p>
      <w:pPr>
        <w:autoSpaceDE w:val="0"/>
        <w:spacing w:before="0" w:beforeAutospacing="0" w:after="0" w:line="580" w:lineRule="exact"/>
        <w:jc w:val="center"/>
        <w:rPr>
          <w:rFonts w:hint="eastAsia" w:ascii="仿宋" w:hAnsi="仿宋" w:eastAsia="仿宋"/>
          <w:sz w:val="32"/>
          <w:szCs w:val="32"/>
        </w:rPr>
      </w:pPr>
    </w:p>
    <w:p>
      <w:pPr>
        <w:autoSpaceDE w:val="0"/>
        <w:spacing w:before="0" w:beforeAutospacing="0" w:after="0" w:line="580" w:lineRule="exact"/>
        <w:jc w:val="center"/>
        <w:rPr>
          <w:rFonts w:hint="eastAsia" w:ascii="仿宋" w:hAnsi="仿宋" w:eastAsia="仿宋"/>
          <w:sz w:val="32"/>
          <w:szCs w:val="32"/>
        </w:rPr>
      </w:pPr>
      <w:r>
        <w:rPr>
          <w:rFonts w:hint="eastAsia" w:ascii="仿宋" w:hAnsi="仿宋" w:eastAsia="仿宋"/>
          <w:sz w:val="32"/>
          <w:szCs w:val="32"/>
        </w:rPr>
        <w:t>贵</w:t>
      </w:r>
      <w:r>
        <w:rPr>
          <w:rFonts w:hint="eastAsia" w:ascii="仿宋" w:hAnsi="仿宋" w:eastAsia="仿宋"/>
          <w:sz w:val="32"/>
          <w:szCs w:val="32"/>
          <w:lang w:val="en-US" w:eastAsia="zh-CN"/>
        </w:rPr>
        <w:t>砂</w:t>
      </w:r>
      <w:r>
        <w:rPr>
          <w:rFonts w:hint="eastAsia" w:ascii="仿宋" w:hAnsi="仿宋" w:eastAsia="仿宋"/>
          <w:sz w:val="32"/>
          <w:szCs w:val="32"/>
        </w:rPr>
        <w:t>专项办字</w:t>
      </w:r>
      <w:r>
        <w:rPr>
          <w:rFonts w:ascii="仿宋" w:hAnsi="仿宋" w:eastAsia="仿宋" w:cs="宋体"/>
          <w:sz w:val="32"/>
          <w:szCs w:val="32"/>
        </w:rPr>
        <w:t>〔</w:t>
      </w:r>
      <w:r>
        <w:rPr>
          <w:rFonts w:ascii="仿宋" w:hAnsi="仿宋" w:eastAsia="仿宋" w:cs="仿宋_GB2312"/>
          <w:sz w:val="32"/>
          <w:szCs w:val="32"/>
        </w:rPr>
        <w:t>20</w:t>
      </w:r>
      <w:r>
        <w:rPr>
          <w:rFonts w:hint="eastAsia" w:ascii="仿宋" w:hAnsi="仿宋" w:eastAsia="仿宋" w:cs="仿宋_GB2312"/>
          <w:sz w:val="32"/>
          <w:szCs w:val="32"/>
        </w:rPr>
        <w:t>2</w:t>
      </w:r>
      <w:r>
        <w:rPr>
          <w:rFonts w:hint="eastAsia" w:ascii="仿宋" w:hAnsi="仿宋" w:eastAsia="仿宋" w:cs="仿宋_GB2312"/>
          <w:sz w:val="32"/>
          <w:szCs w:val="32"/>
          <w:lang w:val="en-US" w:eastAsia="zh-CN"/>
        </w:rPr>
        <w:t>2</w:t>
      </w:r>
      <w:r>
        <w:rPr>
          <w:rFonts w:ascii="仿宋" w:hAnsi="仿宋" w:eastAsia="仿宋" w:cs="宋体"/>
          <w:sz w:val="32"/>
          <w:szCs w:val="32"/>
        </w:rPr>
        <w:t>〕</w:t>
      </w:r>
      <w:r>
        <w:rPr>
          <w:rFonts w:hint="eastAsia" w:ascii="仿宋" w:hAnsi="仿宋" w:eastAsia="仿宋"/>
          <w:sz w:val="32"/>
          <w:szCs w:val="32"/>
          <w:lang w:val="en-US" w:eastAsia="zh-CN"/>
        </w:rPr>
        <w:t>0</w:t>
      </w:r>
      <w:r>
        <w:rPr>
          <w:rFonts w:hint="eastAsia" w:ascii="仿宋" w:hAnsi="仿宋" w:eastAsia="仿宋"/>
          <w:sz w:val="32"/>
          <w:szCs w:val="32"/>
        </w:rPr>
        <w:t>1号</w:t>
      </w:r>
    </w:p>
    <w:p>
      <w:pPr>
        <w:autoSpaceDE w:val="0"/>
        <w:spacing w:before="0" w:beforeAutospacing="0" w:after="0" w:line="580" w:lineRule="exact"/>
        <w:jc w:val="center"/>
        <w:rPr>
          <w:rFonts w:hint="eastAsia" w:ascii="仿宋" w:hAnsi="仿宋" w:eastAsia="仿宋"/>
          <w:sz w:val="32"/>
          <w:szCs w:val="32"/>
        </w:rPr>
      </w:pPr>
    </w:p>
    <w:p>
      <w:pPr>
        <w:autoSpaceDE w:val="0"/>
        <w:spacing w:before="0" w:beforeAutospacing="0" w:after="0" w:line="580" w:lineRule="exact"/>
        <w:jc w:val="both"/>
        <w:rPr>
          <w:rFonts w:hint="eastAsia" w:ascii="仿宋" w:hAnsi="仿宋" w:eastAsia="仿宋"/>
          <w:color w:val="000000"/>
          <w:spacing w:val="9"/>
          <w:sz w:val="32"/>
          <w:szCs w:val="32"/>
        </w:rPr>
      </w:pPr>
      <w:r>
        <w:rPr>
          <w:rFonts w:hint="eastAsia" w:ascii="仿宋" w:hAnsi="仿宋" w:eastAsia="仿宋"/>
          <w:color w:val="000000"/>
          <w:spacing w:val="9"/>
          <w:sz w:val="32"/>
          <w:szCs w:val="32"/>
        </w:rPr>
        <w:t>各有关镇人民政府、街道办事处，平天湖风景区、池州高新区、杏花村文化旅游区管委会，区政府各有关部门、直属机构：</w:t>
      </w:r>
    </w:p>
    <w:p>
      <w:pPr>
        <w:autoSpaceDE w:val="0"/>
        <w:spacing w:before="0" w:beforeAutospacing="0" w:after="0" w:line="580" w:lineRule="exact"/>
        <w:ind w:firstLine="676" w:firstLineChars="200"/>
        <w:jc w:val="both"/>
        <w:rPr>
          <w:rFonts w:hint="eastAsia" w:ascii="仿宋" w:hAnsi="仿宋" w:eastAsia="仿宋"/>
          <w:color w:val="000000"/>
          <w:spacing w:val="9"/>
          <w:sz w:val="32"/>
          <w:szCs w:val="32"/>
        </w:rPr>
      </w:pPr>
      <w:r>
        <w:rPr>
          <w:rFonts w:hint="eastAsia" w:ascii="仿宋" w:hAnsi="仿宋" w:eastAsia="仿宋"/>
          <w:color w:val="000000"/>
          <w:spacing w:val="9"/>
          <w:sz w:val="32"/>
          <w:szCs w:val="32"/>
        </w:rPr>
        <w:t>经区机制砂专项整治工作领导小组研究同意，现将《池州市贵池区机制砂石行业管理规范》印发给你们，请认真贯彻执行。</w:t>
      </w:r>
    </w:p>
    <w:p>
      <w:pPr>
        <w:autoSpaceDE w:val="0"/>
        <w:spacing w:before="0" w:beforeAutospacing="0" w:after="0" w:line="580" w:lineRule="exact"/>
        <w:ind w:firstLine="676" w:firstLineChars="200"/>
        <w:jc w:val="both"/>
        <w:rPr>
          <w:rFonts w:hint="eastAsia" w:ascii="仿宋" w:hAnsi="仿宋" w:eastAsia="仿宋"/>
          <w:color w:val="000000"/>
          <w:spacing w:val="9"/>
          <w:sz w:val="32"/>
          <w:szCs w:val="32"/>
        </w:rPr>
      </w:pPr>
      <w:r>
        <w:rPr>
          <w:rFonts w:hint="eastAsia" w:ascii="仿宋" w:hAnsi="仿宋" w:eastAsia="仿宋"/>
          <w:color w:val="000000"/>
          <w:spacing w:val="9"/>
          <w:sz w:val="32"/>
          <w:szCs w:val="32"/>
        </w:rPr>
        <w:t xml:space="preserve"> </w:t>
      </w:r>
    </w:p>
    <w:p>
      <w:pPr>
        <w:autoSpaceDE w:val="0"/>
        <w:spacing w:before="0" w:beforeAutospacing="0" w:after="0" w:line="580" w:lineRule="exact"/>
        <w:ind w:firstLine="676" w:firstLineChars="200"/>
        <w:jc w:val="both"/>
        <w:rPr>
          <w:rFonts w:hint="eastAsia" w:ascii="仿宋" w:hAnsi="仿宋" w:eastAsia="仿宋"/>
          <w:color w:val="000000"/>
          <w:spacing w:val="9"/>
          <w:sz w:val="32"/>
          <w:szCs w:val="32"/>
        </w:rPr>
      </w:pPr>
      <w:r>
        <w:rPr>
          <w:rFonts w:hint="eastAsia" w:ascii="仿宋" w:hAnsi="仿宋" w:eastAsia="仿宋"/>
          <w:color w:val="000000"/>
          <w:spacing w:val="9"/>
          <w:sz w:val="32"/>
          <w:szCs w:val="32"/>
        </w:rPr>
        <w:t xml:space="preserve"> </w:t>
      </w:r>
    </w:p>
    <w:p>
      <w:pPr>
        <w:autoSpaceDE w:val="0"/>
        <w:spacing w:before="0" w:beforeAutospacing="0" w:after="0" w:line="580" w:lineRule="exact"/>
        <w:ind w:firstLine="676" w:firstLineChars="200"/>
        <w:jc w:val="both"/>
        <w:rPr>
          <w:rFonts w:hint="eastAsia" w:ascii="仿宋" w:hAnsi="仿宋" w:eastAsia="仿宋"/>
          <w:color w:val="000000"/>
          <w:spacing w:val="9"/>
          <w:sz w:val="32"/>
          <w:szCs w:val="32"/>
        </w:rPr>
      </w:pPr>
    </w:p>
    <w:p>
      <w:pPr>
        <w:autoSpaceDE w:val="0"/>
        <w:spacing w:before="0" w:beforeAutospacing="0" w:after="0" w:line="580" w:lineRule="exact"/>
        <w:ind w:firstLine="3278" w:firstLineChars="1100"/>
        <w:jc w:val="both"/>
        <w:rPr>
          <w:rFonts w:hint="eastAsia" w:ascii="仿宋" w:hAnsi="仿宋" w:eastAsia="仿宋"/>
          <w:color w:val="000000"/>
          <w:spacing w:val="-11"/>
          <w:sz w:val="32"/>
          <w:szCs w:val="32"/>
        </w:rPr>
      </w:pPr>
      <w:r>
        <w:rPr>
          <w:rFonts w:hint="eastAsia" w:ascii="仿宋" w:hAnsi="仿宋" w:eastAsia="仿宋"/>
          <w:color w:val="000000"/>
          <w:spacing w:val="-11"/>
          <w:sz w:val="32"/>
          <w:szCs w:val="32"/>
        </w:rPr>
        <w:t>区机制砂专项整治工作领导小组办公室</w:t>
      </w:r>
    </w:p>
    <w:p>
      <w:pPr>
        <w:autoSpaceDE w:val="0"/>
        <w:spacing w:before="0" w:beforeAutospacing="0" w:after="0" w:line="580" w:lineRule="exact"/>
        <w:ind w:firstLine="4732" w:firstLineChars="1400"/>
        <w:jc w:val="both"/>
        <w:rPr>
          <w:rFonts w:hint="eastAsia" w:ascii="仿宋" w:hAnsi="仿宋" w:eastAsia="仿宋"/>
          <w:color w:val="000000"/>
          <w:spacing w:val="9"/>
          <w:sz w:val="32"/>
          <w:szCs w:val="32"/>
        </w:rPr>
      </w:pPr>
      <w:r>
        <w:rPr>
          <w:rFonts w:hint="eastAsia" w:ascii="仿宋" w:hAnsi="仿宋" w:eastAsia="仿宋"/>
          <w:color w:val="000000"/>
          <w:spacing w:val="9"/>
          <w:sz w:val="32"/>
          <w:szCs w:val="32"/>
        </w:rPr>
        <w:t>2022年1月1</w:t>
      </w:r>
      <w:r>
        <w:rPr>
          <w:rFonts w:hint="eastAsia" w:ascii="仿宋" w:hAnsi="仿宋" w:eastAsia="仿宋"/>
          <w:color w:val="000000"/>
          <w:spacing w:val="9"/>
          <w:sz w:val="32"/>
          <w:szCs w:val="32"/>
          <w:lang w:val="en-US" w:eastAsia="zh-CN"/>
        </w:rPr>
        <w:t>7</w:t>
      </w:r>
      <w:r>
        <w:rPr>
          <w:rFonts w:hint="eastAsia" w:ascii="仿宋" w:hAnsi="仿宋" w:eastAsia="仿宋"/>
          <w:color w:val="000000"/>
          <w:spacing w:val="9"/>
          <w:sz w:val="32"/>
          <w:szCs w:val="32"/>
        </w:rPr>
        <w:t>日</w:t>
      </w:r>
    </w:p>
    <w:p>
      <w:pPr>
        <w:keepNext w:val="0"/>
        <w:keepLines w:val="0"/>
        <w:pageBreakBefore w:val="0"/>
        <w:widowControl/>
        <w:kinsoku/>
        <w:wordWrap/>
        <w:overflowPunct/>
        <w:topLinePunct w:val="0"/>
        <w:autoSpaceDE/>
        <w:autoSpaceDN/>
        <w:bidi w:val="0"/>
        <w:adjustRightInd w:val="0"/>
        <w:snapToGrid w:val="0"/>
        <w:spacing w:after="0" w:line="600" w:lineRule="exact"/>
        <w:jc w:val="both"/>
        <w:textAlignment w:val="auto"/>
        <w:rPr>
          <w:rFonts w:hint="eastAsia" w:ascii="仿宋" w:hAnsi="仿宋" w:eastAsia="仿宋" w:cs="仿宋"/>
          <w:color w:val="000000" w:themeColor="text1"/>
          <w:spacing w:val="9"/>
          <w:sz w:val="32"/>
          <w:szCs w:val="32"/>
          <w14:textFill>
            <w14:solidFill>
              <w14:schemeClr w14:val="tx1"/>
            </w14:solidFill>
          </w14:textFill>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Style w:val="7"/>
          <w:rFonts w:hint="eastAsia" w:ascii="黑体" w:hAnsi="黑体" w:eastAsia="黑体" w:cs="黑体"/>
          <w:b/>
          <w:bCs/>
          <w:color w:val="000000"/>
          <w:spacing w:val="11"/>
          <w:w w:val="90"/>
          <w:sz w:val="44"/>
          <w:szCs w:val="44"/>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Style w:val="7"/>
          <w:rFonts w:hint="eastAsia" w:ascii="黑体" w:hAnsi="黑体" w:eastAsia="黑体" w:cs="黑体"/>
          <w:b/>
          <w:bCs/>
          <w:color w:val="000000"/>
          <w:spacing w:val="11"/>
          <w:w w:val="90"/>
          <w:sz w:val="44"/>
          <w:szCs w:val="44"/>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Style w:val="7"/>
          <w:rFonts w:hint="eastAsia" w:ascii="黑体" w:hAnsi="黑体" w:eastAsia="黑体" w:cs="黑体"/>
          <w:b/>
          <w:bCs/>
          <w:color w:val="000000"/>
          <w:spacing w:val="11"/>
          <w:w w:val="90"/>
          <w:sz w:val="44"/>
          <w:szCs w:val="44"/>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Style w:val="7"/>
          <w:rFonts w:hint="eastAsia" w:ascii="黑体" w:hAnsi="黑体" w:eastAsia="黑体" w:cs="黑体"/>
          <w:b/>
          <w:bCs/>
          <w:color w:val="000000"/>
          <w:spacing w:val="11"/>
          <w:w w:val="90"/>
          <w:sz w:val="44"/>
          <w:szCs w:val="44"/>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Style w:val="7"/>
          <w:rFonts w:hint="eastAsia" w:ascii="黑体" w:hAnsi="黑体" w:eastAsia="黑体" w:cs="黑体"/>
          <w:b/>
          <w:bCs/>
          <w:color w:val="000000"/>
          <w:spacing w:val="11"/>
          <w:w w:val="90"/>
          <w:sz w:val="44"/>
          <w:szCs w:val="44"/>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rPr>
          <w:rStyle w:val="7"/>
          <w:rFonts w:hint="eastAsia" w:ascii="仿宋" w:hAnsi="仿宋" w:eastAsia="仿宋" w:cs="仿宋"/>
          <w:color w:val="000000"/>
          <w:spacing w:val="11"/>
          <w:sz w:val="32"/>
          <w:szCs w:val="32"/>
        </w:rPr>
      </w:pPr>
      <w:bookmarkStart w:id="0" w:name="_GoBack"/>
      <w:bookmarkEnd w:id="0"/>
      <w:r>
        <w:rPr>
          <w:rStyle w:val="7"/>
          <w:rFonts w:hint="eastAsia" w:ascii="黑体" w:hAnsi="黑体" w:eastAsia="黑体" w:cs="黑体"/>
          <w:b/>
          <w:bCs/>
          <w:color w:val="000000"/>
          <w:spacing w:val="11"/>
          <w:w w:val="90"/>
          <w:sz w:val="44"/>
          <w:szCs w:val="44"/>
        </w:rPr>
        <w:t>池州市贵池区机制砂石行业管理规范</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为贯彻落实《国务院办公厅关于促进建材工业稳增长调结构增效益的指导意见》(国办发(2016)34号)、工业和信息化部等十部门《关于推进机制砂石行业高质量发展的若干意见》(工信部联原〔2019〕239号)以及省、市、区关于机制砂石行业管理要求，促进我区机制砂石行业健康、有序、绿色发展，现结合我区实际，制定本管理规范。</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本管理规范适用于贵池区辖内管理的机制砂石项目，是促进行业技术进步和规范发展的规范引导性文件。</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依据DZ/T 0316《砂石行业绿色矿山建设规范》标准中的定义，机制砂石是指由原生岩石矿山资源经机械破碎、筛分、整形等工艺加工制成的砂石颗粒，其中粒径大于4.75mm的称为机制碎石，也称粗骨料；粒径小于4.75mm的称为机制砂，也称细骨料。</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Style w:val="7"/>
          <w:rFonts w:hint="eastAsia" w:ascii="黑体" w:hAnsi="黑体" w:eastAsia="黑体" w:cs="黑体"/>
          <w:b w:val="0"/>
          <w:bCs w:val="0"/>
          <w:color w:val="000000"/>
          <w:spacing w:val="11"/>
          <w:sz w:val="32"/>
          <w:szCs w:val="32"/>
        </w:rPr>
        <w:t>一、总体要求</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机制砂石项目应符合国家、省、市、区产业规划和产业政策、主体功能区规划,项目用地应符合国土空间规划和土地使用标准,项目选址应符合区内人文、交通、生态等环境要求。生产机制砂石企业应依法依规办理营业执照、项目备案、环保、能评、水保、规划用地、施工许可、安全“三同时”、职业卫生等相关手续，合法经营，依法纳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Style w:val="7"/>
          <w:rFonts w:hint="eastAsia" w:ascii="黑体" w:hAnsi="黑体" w:eastAsia="黑体" w:cs="黑体"/>
          <w:b w:val="0"/>
          <w:bCs w:val="0"/>
          <w:color w:val="000000"/>
          <w:spacing w:val="11"/>
          <w:sz w:val="32"/>
          <w:szCs w:val="32"/>
        </w:rPr>
      </w:pPr>
      <w:r>
        <w:rPr>
          <w:rStyle w:val="7"/>
          <w:rFonts w:hint="eastAsia" w:ascii="黑体" w:hAnsi="黑体" w:eastAsia="黑体" w:cs="黑体"/>
          <w:b w:val="0"/>
          <w:bCs w:val="0"/>
          <w:color w:val="000000"/>
          <w:spacing w:val="11"/>
          <w:sz w:val="32"/>
          <w:szCs w:val="32"/>
        </w:rPr>
        <w:t>二、项目准入</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1、新建机制砂石项目要充分利用建筑废弃物、尾矿、废石废渣等固体废物，其中，粗骨料（石）生产规模不低于100万吨/年，细骨料（砂）生产规模不低于50万吨/年。</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2、新建机制砂石项目，应按照贵池区固废综合利用项目可行性研究报告规划选址要求执行。其他区域内新建项目，按照“进一退一、动态管理”的原则执行，并引导存量机制砂石企业通过技改、扩规等方式进入规划选址区。鼓励矿山企业在矿区范围内实施资源综合利用项目，实现资源“吃干榨净”。</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3、非矿山配套的机制砂石项目，必须保证合法、稳定、长期、产能匹配的供货来源，并按照就近供货原则，最大限度减少道路交通和环境压力。</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Style w:val="7"/>
          <w:rFonts w:hint="eastAsia" w:ascii="黑体" w:hAnsi="黑体" w:eastAsia="黑体" w:cs="黑体"/>
          <w:b w:val="0"/>
          <w:bCs w:val="0"/>
          <w:color w:val="000000"/>
          <w:spacing w:val="11"/>
          <w:sz w:val="32"/>
          <w:szCs w:val="32"/>
        </w:rPr>
      </w:pPr>
      <w:r>
        <w:rPr>
          <w:rStyle w:val="7"/>
          <w:rFonts w:hint="eastAsia" w:ascii="黑体" w:hAnsi="黑体" w:eastAsia="黑体" w:cs="黑体"/>
          <w:b w:val="0"/>
          <w:bCs w:val="0"/>
          <w:color w:val="000000"/>
          <w:spacing w:val="11"/>
          <w:sz w:val="32"/>
          <w:szCs w:val="32"/>
        </w:rPr>
        <w:t>三、设备节能</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1、机制砂石企业应采用先进可靠、节能、环保、安全、高效、智能的工艺及设备，不得采用国家明令禁止或淘汰的设备、工艺。</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2、新改扩机制砂石项目在开工建设前取得节能审查机关出具的节能审查意见。其中，年综合能源消费量不满1000吨标准煤，且年电力消费量不满500万千瓦时的固定资产投资项目，必须履行节能承诺；年综合能源消费量大于1000吨标准煤，且年电力消费量高于500万千瓦时的固定资产投资项目，项目开工建设前，必须取得节能审查机关出具的节能审查意见。项目投入生产、使用前，必须进行节能验收，并将节能验收报告和验收意见在20个工作日内告知出具节能审查意见的节能审查机关。</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Style w:val="7"/>
          <w:rFonts w:hint="eastAsia" w:ascii="黑体" w:hAnsi="黑体" w:eastAsia="黑体" w:cs="黑体"/>
          <w:b w:val="0"/>
          <w:bCs w:val="0"/>
          <w:color w:val="000000"/>
          <w:spacing w:val="11"/>
          <w:sz w:val="32"/>
          <w:szCs w:val="32"/>
        </w:rPr>
      </w:pPr>
      <w:r>
        <w:rPr>
          <w:rStyle w:val="7"/>
          <w:rFonts w:hint="eastAsia" w:ascii="黑体" w:hAnsi="黑体" w:eastAsia="黑体" w:cs="黑体"/>
          <w:b w:val="0"/>
          <w:bCs w:val="0"/>
          <w:color w:val="000000"/>
          <w:spacing w:val="11"/>
          <w:sz w:val="32"/>
          <w:szCs w:val="32"/>
        </w:rPr>
        <w:t>四、环境保护</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1、机制砂石企业环评手续齐全，环境保护设施竣工验收手续完善。按要求申请领取《排污许可证》，实行总量核准，严禁超总量排放。编制环境突发事件应急预案并进行演练，建立健全环境保护管理体系。</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2、机制砂石企业厂区应科学规划布局，做到生产作业区与生活办公区分开。厂内道路、生产作业区、仓库、料库等地面应作混凝土硬化，厂内未硬化的裸土地块均应进行绿化。生产作业区应实行工厂化封闭，各种物料应堆放在封闭的厂房内，场内安装固定式自动喷淋设备。破碎、筛分、制砂、风选过程产生的粉尘经负压收集后用布袋除尘器处理，排气筒高度不低于15m高；干式制砂工序皮带封闭，喂料口及车间不易封闭处设置喷淋装置；中转料仓、筛分等设备及场所实行有效密闭；厂区道路旁设置洒水喷头、对厂内道路及场地应及时清扫保洁，定期洒水降尘；运输车辆须采取加盖密闭方式运输，不得超速、超线、超载运输，厂区出入口设置车辆清洗平台，保证车辆清洁运输；废气排放参照《砖瓦工业大气污染物排放标准》（GB29620—2013）标准限值要求。</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 xml:space="preserve">3、机制砂石企业厂区排水应按雨污分流制进行设计建设，严禁违法乱排废水。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4、机制砂石企业应优选低噪声、低能耗的设备。厂界噪声排放达到《工业企业厂界环境噪声排放标准》（GB12348-2008）中2类标准要求。</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5、机制砂石企业在厂内应按要求建设一般固废暂存间和污泥暂存间。对产生的危险废物管理按照《危险废物贮存污染控制标准》（GB18597—2001）规范建设贮存场所，严禁固体废物乱堆乱放、不规范收集贮存。</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Style w:val="7"/>
          <w:rFonts w:hint="eastAsia" w:ascii="黑体" w:hAnsi="黑体" w:eastAsia="黑体" w:cs="黑体"/>
          <w:b w:val="0"/>
          <w:bCs w:val="0"/>
          <w:color w:val="000000"/>
          <w:spacing w:val="11"/>
          <w:sz w:val="32"/>
          <w:szCs w:val="32"/>
        </w:rPr>
        <w:t>五、安全生产</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1、机制砂石企业应依法履行建设项目安全设施“三同时”程序。</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2、机制砂石企业主要负责人和安全生产管理人员必须具备与本单位所从事的生产经营活动相应的安全生产知识和管理能力，从业人员应经安全生产教育和培训合格后方可上岗操作。</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3、机制砂石企业应建立健全全员安全生产责任制、安全生产规章制度和操作规程，责任制应覆盖所有岗位。建立安全检查或隐患排查治理台账，制定生产安全事故应急预案，定期进行应急演练。</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4、机制砂石企业使用特种设备应设立和明确特种设备安全管理机构、安全管理人员，配备持证作业人员，建立健全特种设备管理各项制度及特种作业人员管理台账。开展特种设备定期检查和日常隐患排查。</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Style w:val="7"/>
          <w:rFonts w:hint="eastAsia" w:ascii="仿宋" w:hAnsi="仿宋" w:eastAsia="仿宋" w:cs="仿宋"/>
          <w:color w:val="000000"/>
          <w:spacing w:val="11"/>
          <w:sz w:val="32"/>
          <w:szCs w:val="32"/>
        </w:rPr>
      </w:pPr>
      <w:r>
        <w:rPr>
          <w:rStyle w:val="7"/>
          <w:rFonts w:hint="eastAsia" w:ascii="黑体" w:hAnsi="黑体" w:eastAsia="黑体" w:cs="黑体"/>
          <w:b w:val="0"/>
          <w:bCs w:val="0"/>
          <w:color w:val="000000"/>
          <w:spacing w:val="11"/>
          <w:sz w:val="32"/>
          <w:szCs w:val="32"/>
        </w:rPr>
        <w:t>六、卫生健康</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1、机制砂石企业应依法履行建设项目职业卫生“三同时”管理制度。</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2、机制砂石企业应建立健全职业病危害防治管理机构制度和规程，落实职业健康监护制度，配备个体防护用品，定期开展卫生教育培训。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 xml:space="preserve">3、机制砂石企业禁止使用国家明令的可能产生职业病危害的设备或者材料。在产生职业病危害的设备上醒目位置设置警示标识，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4、机制砂石企业应按照《职业病防治法》等法规要求，落实企业主体责任，为劳动者创造符合国家职业卫生标准和卫生要求的工作环境和条件，并采取措施保障劳动者获得职业卫生保护。</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Style w:val="7"/>
          <w:rFonts w:hint="eastAsia" w:ascii="黑体" w:hAnsi="黑体" w:eastAsia="黑体" w:cs="黑体"/>
          <w:b w:val="0"/>
          <w:bCs w:val="0"/>
          <w:color w:val="000000"/>
          <w:spacing w:val="11"/>
          <w:sz w:val="32"/>
          <w:szCs w:val="32"/>
        </w:rPr>
        <w:t>七、项目管理</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1、新改扩机制砂石行业项目，由项目所属镇、街道和园区上报区机制砂行业专项整治工作领导小组预审，预审意见经区政府同意后，上报市机制砂行业专项整治工作领导小组，经审核同意后，区机制砂石行业管理部门办理备案手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2. 企业申请机制砂石项目预审，需向区机制砂石行业管理部门提供申请报告、池州市贵池区机制砂项目预审申请表、项目可行性方案（包含生产工艺说明、项目用地说明、环境保护说明、能耗情况说明、原料来源说明、运输方式说明等内容）。</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3、机制砂石项目主体应严格按照备案要求及项目书内容依法依规进行施工和生产，不得擅自变更施工内容及生产工艺，需变更内容应履行相应变更手续。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r>
        <w:rPr>
          <w:rFonts w:hint="eastAsia" w:ascii="仿宋" w:hAnsi="仿宋" w:eastAsia="仿宋" w:cs="仿宋"/>
          <w:color w:val="000000"/>
          <w:spacing w:val="11"/>
          <w:sz w:val="32"/>
          <w:szCs w:val="32"/>
        </w:rPr>
        <w:t>本管理规范由区经济和信息化局、区发展改革委员会、区生态环境分局、区应急管理局、区卫生健康委员会、区市场监督管理局、区交通运输局共同负责解释。</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90" w:lineRule="exact"/>
        <w:ind w:firstLine="684" w:firstLineChars="200"/>
        <w:jc w:val="both"/>
        <w:textAlignment w:val="auto"/>
        <w:rPr>
          <w:rFonts w:hint="eastAsia" w:ascii="仿宋" w:hAnsi="仿宋" w:eastAsia="仿宋" w:cs="仿宋"/>
          <w:color w:val="000000"/>
          <w:spacing w:val="11"/>
          <w:sz w:val="32"/>
          <w:szCs w:val="32"/>
        </w:rPr>
      </w:pPr>
    </w:p>
    <w:p>
      <w:pPr>
        <w:keepNext w:val="0"/>
        <w:keepLines w:val="0"/>
        <w:pageBreakBefore w:val="0"/>
        <w:widowControl/>
        <w:kinsoku/>
        <w:wordWrap/>
        <w:overflowPunct/>
        <w:topLinePunct w:val="0"/>
        <w:autoSpaceDE/>
        <w:autoSpaceDN/>
        <w:bidi w:val="0"/>
        <w:adjustRightInd w:val="0"/>
        <w:snapToGrid w:val="0"/>
        <w:spacing w:after="0" w:line="600" w:lineRule="exact"/>
        <w:jc w:val="both"/>
        <w:textAlignment w:val="auto"/>
        <w:rPr>
          <w:rFonts w:hint="eastAsia" w:ascii="仿宋" w:hAnsi="仿宋" w:eastAsia="仿宋" w:cs="仿宋"/>
          <w:color w:val="000000" w:themeColor="text1"/>
          <w:spacing w:val="9"/>
          <w:sz w:val="32"/>
          <w:szCs w:val="32"/>
          <w14:textFill>
            <w14:solidFill>
              <w14:schemeClr w14:val="tx1"/>
            </w14:solidFill>
          </w14:textFill>
        </w:rPr>
      </w:pPr>
    </w:p>
    <w:sectPr>
      <w:footerReference r:id="rId5" w:type="default"/>
      <w:pgSz w:w="11906" w:h="16838"/>
      <w:pgMar w:top="1474" w:right="1474" w:bottom="1474" w:left="1474" w:header="708" w:footer="709" w:gutter="0"/>
      <w:pgNumType w:start="2"/>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hY2E5ZGU2NDJjZjAwZTU1NTBiZGYxMTk2NzhlZDQifQ=="/>
  </w:docVars>
  <w:rsids>
    <w:rsidRoot w:val="00D31D50"/>
    <w:rsid w:val="00032B2D"/>
    <w:rsid w:val="00323B43"/>
    <w:rsid w:val="003D37D8"/>
    <w:rsid w:val="00426133"/>
    <w:rsid w:val="004358AB"/>
    <w:rsid w:val="00707661"/>
    <w:rsid w:val="007F2A3E"/>
    <w:rsid w:val="008B7726"/>
    <w:rsid w:val="008E0CC8"/>
    <w:rsid w:val="008F45C5"/>
    <w:rsid w:val="00A14895"/>
    <w:rsid w:val="00D31D50"/>
    <w:rsid w:val="00EE47F9"/>
    <w:rsid w:val="14AB6E69"/>
    <w:rsid w:val="27EE2AA3"/>
    <w:rsid w:val="30135068"/>
    <w:rsid w:val="48AE7DC4"/>
    <w:rsid w:val="50340DCB"/>
    <w:rsid w:val="67920DBC"/>
    <w:rsid w:val="72E34C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uiPriority w:val="99"/>
    <w:pPr>
      <w:tabs>
        <w:tab w:val="center" w:pos="4153"/>
        <w:tab w:val="right" w:pos="8306"/>
      </w:tabs>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jc w:val="center"/>
    </w:pPr>
    <w:rPr>
      <w:sz w:val="18"/>
      <w:szCs w:val="18"/>
    </w:rPr>
  </w:style>
  <w:style w:type="paragraph" w:styleId="4">
    <w:name w:val="Normal (Web)"/>
    <w:basedOn w:val="1"/>
    <w:unhideWhenUsed/>
    <w:qFormat/>
    <w:uiPriority w:val="99"/>
    <w:rPr>
      <w:rFonts w:ascii="Times New Roman" w:hAnsi="Times New Roman"/>
      <w:sz w:val="24"/>
    </w:rPr>
  </w:style>
  <w:style w:type="character" w:styleId="7">
    <w:name w:val="Strong"/>
    <w:basedOn w:val="6"/>
    <w:qFormat/>
    <w:uiPriority w:val="22"/>
    <w:rPr>
      <w:b/>
      <w:bCs/>
    </w:rPr>
  </w:style>
  <w:style w:type="character" w:customStyle="1" w:styleId="8">
    <w:name w:val="页眉 Char"/>
    <w:basedOn w:val="6"/>
    <w:link w:val="3"/>
    <w:semiHidden/>
    <w:qFormat/>
    <w:uiPriority w:val="99"/>
    <w:rPr>
      <w:rFonts w:ascii="Tahoma" w:hAnsi="Tahoma"/>
      <w:sz w:val="18"/>
      <w:szCs w:val="18"/>
    </w:rPr>
  </w:style>
  <w:style w:type="character" w:customStyle="1" w:styleId="9">
    <w:name w:val="页脚 Char"/>
    <w:basedOn w:val="6"/>
    <w:link w:val="2"/>
    <w:semiHidden/>
    <w:qFormat/>
    <w:uiPriority w:val="99"/>
    <w:rPr>
      <w:rFonts w:ascii="Tahoma" w:hAnsi="Tahoma"/>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2696</Words>
  <Characters>2778</Characters>
  <Lines>1</Lines>
  <Paragraphs>1</Paragraphs>
  <TotalTime>1</TotalTime>
  <ScaleCrop>false</ScaleCrop>
  <LinksUpToDate>false</LinksUpToDate>
  <CharactersWithSpaces>2825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2022-01-14T05:17:00Z</dcterms:created>
  <dc:creator>经信局</dc:creator>
  <cp:lastModifiedBy>郑明星</cp:lastModifiedBy>
  <cp:lastPrinted>2022-01-18T02:56:00Z</cp:lastPrinted>
  <dcterms:modified xsi:type="dcterms:W3CDTF">2024-08-16T01:39:04Z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F53C54235F29473183EFC9B6EC0C9BEF_12</vt:lpwstr>
  </property>
</Properties>
</file>