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仿宋" w:hAnsi="仿宋" w:eastAsia="仿宋"/>
          <w:color w:val="000000" w:themeColor="text1"/>
          <w:sz w:val="32"/>
          <w:szCs w:val="32"/>
          <w14:textFill>
            <w14:solidFill>
              <w14:schemeClr w14:val="tx1"/>
            </w14:solidFill>
          </w14:textFill>
        </w:rPr>
      </w:pPr>
    </w:p>
    <w:p>
      <w:pPr>
        <w:spacing w:line="640" w:lineRule="exact"/>
        <w:jc w:val="center"/>
        <w:rPr>
          <w:rFonts w:hint="eastAsia" w:ascii="方正小标宋简体" w:eastAsia="方正小标宋简体"/>
          <w:spacing w:val="-8"/>
          <w:sz w:val="44"/>
          <w:szCs w:val="44"/>
        </w:rPr>
      </w:pPr>
      <w:r>
        <w:rPr>
          <w:rFonts w:hint="eastAsia" w:ascii="方正小标宋简体" w:eastAsia="方正小标宋简体"/>
          <w:spacing w:val="-8"/>
          <w:sz w:val="44"/>
          <w:szCs w:val="44"/>
        </w:rPr>
        <w:t>关于印发牛头山镇新材料产业发展专项规划（2023-2025年）的通知</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贵经信字〔202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63</w:t>
      </w:r>
      <w:r>
        <w:rPr>
          <w:rFonts w:hint="eastAsia" w:ascii="仿宋_GB2312" w:hAnsi="仿宋_GB2312" w:eastAsia="仿宋_GB2312" w:cs="仿宋_GB2312"/>
          <w:color w:val="000000" w:themeColor="text1"/>
          <w:sz w:val="32"/>
          <w:szCs w:val="32"/>
          <w14:textFill>
            <w14:solidFill>
              <w14:schemeClr w14:val="tx1"/>
            </w14:solidFill>
          </w14:textFill>
        </w:rPr>
        <w:t>号</w:t>
      </w:r>
    </w:p>
    <w:p>
      <w:pPr>
        <w:pStyle w:val="2"/>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eastAsia="仿宋_GB2312"/>
          <w:sz w:val="32"/>
          <w:szCs w:val="32"/>
        </w:rPr>
      </w:pPr>
      <w:r>
        <w:rPr>
          <w:rFonts w:hint="eastAsia" w:ascii="仿宋_GB2312" w:eastAsia="仿宋_GB2312"/>
          <w:sz w:val="32"/>
          <w:szCs w:val="32"/>
        </w:rPr>
        <w:t>牛头山镇人民政府：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sz w:val="32"/>
          <w:szCs w:val="32"/>
        </w:rPr>
      </w:pPr>
      <w:r>
        <w:rPr>
          <w:rFonts w:hint="eastAsia" w:ascii="仿宋_GB2312" w:eastAsia="仿宋_GB2312"/>
          <w:sz w:val="32"/>
          <w:szCs w:val="32"/>
        </w:rPr>
        <w:t>现将《牛头山镇新材料产业发展专项规划（2023-2025年）》印发给你们，请结合实际，认真抓好贯彻落实。</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ind w:firstLine="4160" w:firstLineChars="1300"/>
        <w:jc w:val="both"/>
        <w:textAlignment w:val="auto"/>
        <w:rPr>
          <w:rFonts w:hint="eastAsia" w:ascii="仿宋_GB2312" w:eastAsia="仿宋_GB2312"/>
          <w:sz w:val="32"/>
          <w:szCs w:val="32"/>
          <w:lang w:eastAsia="zh-CN"/>
        </w:rPr>
      </w:pPr>
      <w:r>
        <w:rPr>
          <w:rFonts w:hint="eastAsia" w:ascii="仿宋_GB2312" w:eastAsia="仿宋_GB2312"/>
          <w:sz w:val="32"/>
          <w:szCs w:val="32"/>
          <w:lang w:eastAsia="zh-CN"/>
        </w:rPr>
        <w:t>池州市贵池区经济和信息化局</w:t>
      </w:r>
    </w:p>
    <w:p>
      <w:pPr>
        <w:keepNext w:val="0"/>
        <w:keepLines w:val="0"/>
        <w:pageBreakBefore w:val="0"/>
        <w:widowControl w:val="0"/>
        <w:kinsoku/>
        <w:wordWrap/>
        <w:overflowPunct/>
        <w:topLinePunct w:val="0"/>
        <w:autoSpaceDE/>
        <w:autoSpaceDN/>
        <w:bidi w:val="0"/>
        <w:adjustRightInd/>
        <w:snapToGrid/>
        <w:spacing w:line="600" w:lineRule="exact"/>
        <w:ind w:firstLine="5120" w:firstLineChars="1600"/>
        <w:jc w:val="both"/>
        <w:textAlignment w:val="auto"/>
        <w:rPr>
          <w:rFonts w:hint="eastAsia" w:ascii="仿宋_GB2312" w:eastAsia="仿宋_GB2312"/>
          <w:sz w:val="32"/>
          <w:szCs w:val="32"/>
        </w:rPr>
      </w:pPr>
      <w:r>
        <w:rPr>
          <w:rFonts w:hint="eastAsia" w:ascii="仿宋_GB2312" w:eastAsia="仿宋_GB2312"/>
          <w:sz w:val="32"/>
          <w:szCs w:val="32"/>
        </w:rPr>
        <w:t>2023年5月11日</w:t>
      </w:r>
    </w:p>
    <w:p>
      <w:pPr>
        <w:pStyle w:val="5"/>
        <w:keepNext w:val="0"/>
        <w:keepLines w:val="0"/>
        <w:widowControl/>
        <w:suppressLineNumbers w:val="0"/>
        <w:spacing w:before="0" w:beforeAutospacing="0" w:after="0" w:afterAutospacing="0"/>
        <w:ind w:left="0" w:firstLine="420"/>
        <w:jc w:val="both"/>
      </w:pPr>
    </w:p>
    <w:p>
      <w:pPr>
        <w:pStyle w:val="5"/>
        <w:keepNext w:val="0"/>
        <w:keepLines w:val="0"/>
        <w:widowControl/>
        <w:suppressLineNumbers w:val="0"/>
        <w:spacing w:before="0" w:beforeAutospacing="0" w:after="0" w:afterAutospacing="0"/>
        <w:ind w:left="0" w:firstLine="420"/>
        <w:jc w:val="both"/>
      </w:pPr>
    </w:p>
    <w:p>
      <w:pPr>
        <w:pStyle w:val="5"/>
        <w:keepNext w:val="0"/>
        <w:keepLines w:val="0"/>
        <w:widowControl/>
        <w:suppressLineNumbers w:val="0"/>
        <w:spacing w:before="0" w:beforeAutospacing="0" w:after="0" w:afterAutospacing="0"/>
        <w:ind w:left="0" w:firstLine="420"/>
        <w:jc w:val="both"/>
      </w:pPr>
    </w:p>
    <w:p>
      <w:pPr>
        <w:pStyle w:val="5"/>
        <w:keepNext w:val="0"/>
        <w:keepLines w:val="0"/>
        <w:widowControl/>
        <w:suppressLineNumbers w:val="0"/>
        <w:spacing w:before="0" w:beforeAutospacing="0" w:after="0" w:afterAutospacing="0"/>
        <w:ind w:left="0" w:firstLine="420"/>
        <w:jc w:val="both"/>
      </w:pPr>
    </w:p>
    <w:p>
      <w:pPr>
        <w:pStyle w:val="5"/>
        <w:keepNext w:val="0"/>
        <w:keepLines w:val="0"/>
        <w:widowControl/>
        <w:suppressLineNumbers w:val="0"/>
        <w:spacing w:before="0" w:beforeAutospacing="0" w:after="0" w:afterAutospacing="0"/>
        <w:ind w:left="0" w:firstLine="420"/>
        <w:jc w:val="both"/>
      </w:pPr>
    </w:p>
    <w:p>
      <w:pPr>
        <w:pStyle w:val="5"/>
        <w:keepNext w:val="0"/>
        <w:keepLines w:val="0"/>
        <w:widowControl/>
        <w:suppressLineNumbers w:val="0"/>
        <w:spacing w:before="0" w:beforeAutospacing="0" w:after="0" w:afterAutospacing="0"/>
        <w:ind w:left="0" w:firstLine="420"/>
        <w:jc w:val="both"/>
      </w:pPr>
    </w:p>
    <w:p>
      <w:pPr>
        <w:pStyle w:val="5"/>
        <w:keepNext w:val="0"/>
        <w:keepLines w:val="0"/>
        <w:widowControl/>
        <w:suppressLineNumbers w:val="0"/>
        <w:spacing w:before="0" w:beforeAutospacing="0" w:after="0" w:afterAutospacing="0"/>
        <w:ind w:left="0" w:firstLine="420"/>
        <w:jc w:val="both"/>
      </w:pPr>
    </w:p>
    <w:p>
      <w:pPr>
        <w:pStyle w:val="5"/>
        <w:keepNext w:val="0"/>
        <w:keepLines w:val="0"/>
        <w:widowControl/>
        <w:suppressLineNumbers w:val="0"/>
        <w:spacing w:before="0" w:beforeAutospacing="0" w:after="0" w:afterAutospacing="0"/>
        <w:jc w:val="both"/>
      </w:pPr>
      <w:bookmarkStart w:id="0" w:name="_GoBack"/>
      <w:bookmarkEnd w:id="0"/>
    </w:p>
    <w:p>
      <w:pPr>
        <w:pStyle w:val="5"/>
        <w:keepNext w:val="0"/>
        <w:keepLines w:val="0"/>
        <w:widowControl/>
        <w:suppressLineNumbers w:val="0"/>
        <w:spacing w:before="0" w:beforeAutospacing="0" w:after="0" w:afterAutospacing="0"/>
        <w:ind w:left="0" w:firstLine="420"/>
        <w:jc w:val="center"/>
      </w:pPr>
      <w:r>
        <w:rPr>
          <w:rFonts w:hint="eastAsia" w:ascii="方正小标宋简体" w:hAnsi="方正小标宋简体" w:eastAsia="方正小标宋简体" w:cs="方正小标宋简体"/>
          <w:sz w:val="44"/>
          <w:szCs w:val="44"/>
        </w:rPr>
        <w:t>牛头山镇新材料产业发展专项规划</w:t>
      </w:r>
    </w:p>
    <w:p>
      <w:pPr>
        <w:pStyle w:val="5"/>
        <w:keepNext w:val="0"/>
        <w:keepLines w:val="0"/>
        <w:widowControl/>
        <w:suppressLineNumbers w:val="0"/>
        <w:spacing w:before="0" w:beforeAutospacing="0" w:after="0" w:afterAutospacing="0"/>
        <w:ind w:left="0" w:firstLine="420"/>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（2023—2025 年）</w:t>
      </w:r>
    </w:p>
    <w:p>
      <w:pPr>
        <w:pStyle w:val="5"/>
        <w:keepNext w:val="0"/>
        <w:keepLines w:val="0"/>
        <w:widowControl/>
        <w:suppressLineNumbers w:val="0"/>
        <w:spacing w:before="0" w:beforeAutospacing="0" w:after="0" w:afterAutospacing="0"/>
        <w:ind w:left="0" w:firstLine="420"/>
        <w:jc w:val="both"/>
      </w:pPr>
      <w:r>
        <w:rPr>
          <w:sz w:val="24"/>
          <w:szCs w:val="24"/>
        </w:rPr>
        <w:t>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为持续推动我镇新材料产业集聚式、可持续、链条化、高质 量发展，全力壮大镇域经济，聚力打造“产城融合西部新城、现 代服务业重镇”，按照《池州市贵池区国民经济和社会发展第十 四个五年规划和 2035 年远景目标纲要》、《贵池区工业和信息化发展“十四五”规划》、《牛头山镇总体规划 2018—2030》等文件要求，结合我镇产业发展现状，制定《牛头山新材料产业专项规划（2023—2025 年）》（以下简称《专项规划》）。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一、产业发展现状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牛头山镇位于贵池区西部，辖 9 个村 4 个社区（1 个城市社区），总面积 111 平方公里，人口 5.2 万人。秋浦河、黄湓河贯穿全境，沿江岸线资源丰富，可利用深水岸线 13.8 公里。近年来，牛头山镇立足“产城融合西部新城，现代服务业重镇”定位，突出新发展思路，迈出三产融合发展新步伐，先后获评全国重点镇、安徽省扩权强镇试点镇、安徽省森林城镇、“第五届安徽省文明村镇”、省经济发达镇行政管理体制改革乡镇等称号。近年来，我镇深入贯彻《中共池州市贵池区委池州市贵池区人民政府关于大力发展“4+3”新兴产业加快打造新兴产业聚集地的实施意见》等文件精神，将新材料产业作为全镇重点领域谋划、优先发展，初步形成了以新型建筑材料为主的具有牛头山特色的新材料产业体系。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产业优势初步显现。根据区政府做出的“两新一装”产业布局调整，牛头山镇聚焦新材料产业，依托现有产业基础，奋力推动牛头山新材料产业基地建设，通过政府引导、市场主导和定向招商，持续推动产业联动、特色集聚，基本确定构建以新型建筑材料为核心的产业集聚式、链条化产业发展新格局。结合《牛头山镇乡村振兴行动实施方案》，按照“一年良好开局、两年初见成效、三年基本成型”的工作目标，实现镇域经济总量再上台阶，主导产业做优做强，乡村面貌焕然一新，民生福祉切实增强，经济社会全面发展，形成产城融合发展新优势。</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产业发展基础良好。牛头山镇充分发挥深水岸线码头和周边矿产资源优势，抢抓全区矿产废弃资源综合加工布局机遇，高标准规划建设新材料产业基地。目前基地内汇成废弃资源公司建成投产，拟落户企业 3 家，基本形成建筑材料产业集聚化、链条化发展态势。辖区内集聚池州海螺、中电建长九码头、高新区（西区）等多个省市重点企业，先后落户国兴资源综合利用、海创环保、长航物流等一批重要财源企业。2021—2022 连续两年荣获全区镇域经济考核一等奖。2022 年，全镇实现财政总收入 5.7 亿元，同比增长 5%；完成固定资产投资 16.8 亿元、规上工业总产值 3.6亿元，分别增长 37.7%、3%，连续三年摘得镇域经济高质量发展一等奖桂冠。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产业配套逐步完善。牛头山新材料基地规划用地面积约 1000 余亩，位于 318 国道牛头山段南侧，距国道 200 米，距远航码头约 4.5 公里，距殷汇高速出口 11 公里。基地及周边有池州海螺水泥（年产水泥 250 万吨）、池州海螺新材料公司（年产建筑骨料500 万吨）、长九公司码头（年产建筑骨料 3500 万吨、年产废弃泥饼 70 万吨）、贵航特钢（年生产钢材 300 万吨）等装配式建筑生产配套企业。目前，产业基地已完成进场道路黑化、绿化及亮化，建设有 10000KVA 的电力线路以及自来水管网铺设，配套设施已基本完善。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二、总体思路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（一）指导思想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以习近平新时代中国特色社会主义思想为指导，全面贯彻党的二十大精神，全力落实“五位一体”总体布局、“四个全面”战略布局，深入贯彻落实党中央和省委、市委、区委、镇党委决 策部署，坚持稳中求进工作总基调，坚持工业立镇、产业兴镇发展定位，突出产业融合发展思路，以推动新材料产业高质量发展为主题，以深化供给侧结构性改革为主线，以推动绿色制造与新产业协同发展为动力，强化“双招双引”，做大龙头企业和多层次市场延伸，着力构建产业发展新格局，全面谱写牛头山现代化建设新篇章。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（二）基本原则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坚持统筹谋划，系统推进。坚持问题导向、目标导向和结果导向，加强前瞻性研究、全局性谋划和战略性布局，明确新材料产业发展方向和目标任务，坚持整体推进与重点突破相结合，服务构建我镇产业发展新格局。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坚持市场主导，政府引导。发挥市场需求对新材料开发应用的引导作用，研究推动关键技术引进和科技成果产业化，推动产业重大项目的快落地、稳落地，积极促进与周边地区、园区的供需对接，打造产业化应用示范，营造产业发展的良好环境。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坚持创新驱动，绿色发展。推动产业绿色化、工业化、信息化、集约化、产业化发展，推动绿色金融与新材料产业的深度融合，积极培育新产品、新业态、新模式，减少材料和能源消耗，实现可持续高质量发展。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（三）发展目标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至 2025 年，产业规模进一步壮大。全镇新材料产业总产值力争达到 10 亿元，加快引进和建设一批成长型企业，培育 2 家销售收入 5 亿级企业和 4~5 家具有行业国内影响力的新材料企业（集团），建成辐射带动作用明显增强，具有鲜明特色的“产城融合西部新城、现代服务业重镇”。</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至 2025 年，载体建设进一步完善。持续补强做优新材料产业基地配套功能，整合资源，优化环境，增强基地的综合承载能力。将新材料产业基地打造成为具有特色的和在省内甚至国内有影响力的产业集聚区，培育具有区域竞争力的经济增长新动能。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三、主要任务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（一）推动重大项目建设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坚持“工业强镇”战略不动摇，大抓项目、抓大项目，结合《开发方案》合理安排项目用地规模、结构和布局，加强土地集约开发利用，全面加快已落地项目建设，争取未开工项目尽快开工。加快年处理 400 万吨废矿资源综合利用项目及后续的扩能提升项目的建设进度，将本项目作为产业融合关键年的重头戏，确保项目建设稳步高效推进，引领新材料产业基地建设的新浪潮。统筹推动粉体科技项目、建筑物表面修护新型材料项目、PHC 管桩用辅料项目、机制砂石综合利用及加工项目、PC 构件生产项目、硅基新材料项目、钙基新材料项目、利用尾矿生产新型环保建材项目、轻质建筑材料生产项目、陶粒生产项目以及配套的机械部件制造项目的加快落地，强化土地供应和空间规划保障，加快推进各项前期工作，争取早开工、早见效。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（二）延伸补强产业链接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强化“双招双引”，突出“招大引强”，近期围绕新材料产业上下游关键环节，瞄准大央企、中国 500 强，重点招引绿色建筑企业，着力引进混凝土预制构件等产业链中下游关联企业，探索发展新材料深加工产业，力争形成上下游联动、集群化发展的规模效应；同步补链配套招商，招引石材精细加工、固废综合处理、原料生产等产业链上游项目；积极推动延链强链，鼓励龙头企业开展绝缘材料、陶瓷材料、新型隔热隔音材料、新型建筑防水材料、新型墙体材料等多领域的产品线扩张，形成“建材—家居”产业链。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（三）加快载体配套建设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统筹推进载体改造建设、优化完善综合管理，加快构建规划科学合理、产业定位清晰、开发集约有序、功能配套完善的高质量产业载体发展格局。积极探索盘活存量产业载体的方法，创新盘活存量工业用地和低效用地举措，形成以政府引导、自主更新为主的经验模式，助推新材料产业载体转型升级和经济高质量发展。持续优化新材料产业基地内道路、供水、供电、污水处理等基础设施建设，切实做好“九通一平”工作。大力实施以工代赈，充分挖掘基地建设及运营等方面用工潜力，促进镇区群众就业增收。积极推动牛头山镇乡村振兴示范园建设工程建设，同步进行配套设施建设及周边环境整治，打造产业融合、产城融合发展新示范。探索利用预留用地，建设矿产品交易市场、服装生产基地、皮具生产基地、汽车配饰生产基地、汽车配件生产基地等，积极探索前店后厂的直销模式，尽可能减少物流成本、降低中间营销费用，多渠道扩大销量、促进营销。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（四）提升绿色发展水平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以“碳达峰、碳中和”为引领，深入贯彻“绿水青山就是金山银山”发展理念，加快构建绿色制造体系。强化新落地项目的监督管理，进一步加严能耗与排放控制，加大淘汰落后产能、工艺和设备的力度。鼓励新落户项目和企业运用高新技术、节能环保技术、清洁生产技术等先进适用技术实施绿色化改造升级。加强资源再生高效利用，发展资源再生产业和再制造产业，推进废矿、尾矿资源综合利用示范项目建设，推动建设经济社会发展全面绿色转型示范区。积极对接长三角金融机构，探索发展绿色金融。推广绿色设计示范企业、绿色示范工厂的试点经验。到 2025年，打造 1~2 家绿色设计示范企业、绿色示范工厂。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四、空间布局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按照“需求引领、集约集聚”原则，发挥牛头山镇资源优势及区位优势，通过项目招引、企业搬迁、转型提升等方式，推动优质资源定向集聚，提升牛头山镇新材料产业基地能级。结合《池州市贵池区牛头山镇总体规划（2018-2030）》以及《池州市贵池区牛头山镇镇区南部片区土地征收成片开发方案》（详见附件 2）功能区特点，产业基地主要规划在《开发方案》划定的成片开发范围及周边部分区域（详见附件 3），其中近期重点项目布局详见附件 4。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五、保障措施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（一）加强组织领导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成立新材料产业发展推进小组，由镇政府主要领导担任组长，成员由村镇规划建设办公室、经济发展办公室、乡村振兴办公室等部门的主要领导组成。推进小组下设办公室，办公室设在村镇规划建设办，由村镇规划建设办领导兼任办公室主任，协调开展日常工作。通过压紧压实责任，推动形成一级抓一级、层层抓落实的局面，激发工作推进的自觉性和主动性。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（二）强化要素保障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全面落实新材料产业的共性和个性政策，综合运用土地、金融等政策，整合现有资金、技术和人才等各种要素和资源，进一步优化产业发展政策环境，引导产业集聚发展。积极对接金融平台，拓宽融资渠道，化解融资难题；强化企业用工、电、水、燃 气、通信等生产要素保障；围绕人才引进、培养、使用、服务等环节，加大对新材料产业人才优化发展的支持力度。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（三）优化营商环境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建立项目建设“周调度”机制，落实专班跟踪督办，逐一破解从立项到投产的烦事、难题，促进项目建设提速增效。制定和实施新材料产业准入负面清单管理，加强事中事后监管，营造有利于激发企业创新活力、引导企业公平竞争的市场环境。对企业发展实行“清单式”全生命周期跟踪服务，形成闭环办理模式，畅通惠企政策传导，兑现政策性补贴、奖励，当好企业发展“店小二”。深化落实服务企业专员制度，全力帮助企业解决用地、用工、融资等难题。完善重点领域的应用示范政策，扩大公共事业领域对新材料产业产品的需求，不断完善支撑新材料产业需求的政府采购制度。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（四）加大宣传力度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采取专题推介会、展览会、现场观摩会、建设新材料样板工程等宣传，充分利用各种信息媒介，宣传新材料产业优势和发展前景，增强镇区居民对新材料产业的信心，并积极投入到产业建设中去，使各级领导、投资主体充分认识新材料的综合优势，调动全镇实施规划的自觉性和主动性，营造良好社会氛围。</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left="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（五）强化调度督查 </w:t>
      </w:r>
    </w:p>
    <w:p>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9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做好与市、区上位规划的衔接，建立健全科学、规范的规划实施机制，加强规划各项目标任务的分解落实和责任监督。落实领导小组组长每季度调度、副组长每月调度的工作机制，及时协调解决招商引资和项目推进中遇到的困难和问题。加大对规划实施的监督，严格规范项目实施行为，监督各项任务进展，保证规划顺利实施。</w:t>
      </w:r>
    </w:p>
    <w:p>
      <w:pPr>
        <w:pStyle w:val="2"/>
        <w:keepNext w:val="0"/>
        <w:keepLines w:val="0"/>
        <w:pageBreakBefore w:val="0"/>
        <w:kinsoku/>
        <w:wordWrap/>
        <w:overflowPunct/>
        <w:topLinePunct w:val="0"/>
        <w:autoSpaceDE/>
        <w:autoSpaceDN/>
        <w:bidi w:val="0"/>
        <w:adjustRightInd/>
        <w:snapToGrid/>
        <w:spacing w:line="590" w:lineRule="exact"/>
        <w:ind w:firstLine="624" w:firstLineChars="200"/>
        <w:textAlignment w:val="auto"/>
        <w:rPr>
          <w:rFonts w:hint="eastAsia" w:ascii="仿宋_GB2312" w:hAnsi="仿宋_GB2312" w:eastAsia="仿宋_GB2312" w:cs="仿宋_GB2312"/>
          <w:sz w:val="32"/>
          <w:szCs w:val="32"/>
        </w:rPr>
      </w:pPr>
    </w:p>
    <w:sectPr>
      <w:pgSz w:w="11906" w:h="16838"/>
      <w:pgMar w:top="1587" w:right="1474" w:bottom="1417"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FhY2E5ZGU2NDJjZjAwZTU1NTBiZGYxMTk2NzhlZDQifQ=="/>
  </w:docVars>
  <w:rsids>
    <w:rsidRoot w:val="00D51D88"/>
    <w:rsid w:val="002E5F4A"/>
    <w:rsid w:val="00D51D88"/>
    <w:rsid w:val="08CA1531"/>
    <w:rsid w:val="47E87E57"/>
    <w:rsid w:val="4A630034"/>
    <w:rsid w:val="4A6E707E"/>
    <w:rsid w:val="4CF042C7"/>
    <w:rsid w:val="526D7C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8"/>
    <w:qFormat/>
    <w:uiPriority w:val="0"/>
    <w:pPr>
      <w:keepNext/>
      <w:keepLines/>
      <w:spacing w:before="700" w:after="700" w:line="240" w:lineRule="exact"/>
      <w:jc w:val="center"/>
      <w:outlineLvl w:val="0"/>
    </w:pPr>
    <w:rPr>
      <w:rFonts w:eastAsia="黑体"/>
      <w:b/>
      <w:kern w:val="44"/>
      <w:sz w:val="44"/>
      <w:szCs w:val="24"/>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firstLineChars="200"/>
    </w:pPr>
    <w:rPr>
      <w:rFonts w:hint="eastAsia"/>
      <w:sz w:val="21"/>
    </w:rPr>
  </w:style>
  <w:style w:type="paragraph" w:styleId="3">
    <w:name w:val="Body Text Indent"/>
    <w:basedOn w:val="1"/>
    <w:qFormat/>
    <w:uiPriority w:val="99"/>
    <w:pPr>
      <w:spacing w:line="480" w:lineRule="exact"/>
      <w:ind w:firstLine="527"/>
    </w:pPr>
    <w:rPr>
      <w:rFonts w:ascii="宋体" w:hAnsi="宋体" w:cs="宋体"/>
      <w:spacing w:val="-4"/>
      <w:sz w:val="28"/>
      <w:szCs w:val="28"/>
    </w:rPr>
  </w:style>
  <w:style w:type="paragraph" w:styleId="5">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customStyle="1" w:styleId="8">
    <w:name w:val="标题 1 字符"/>
    <w:basedOn w:val="7"/>
    <w:link w:val="4"/>
    <w:qFormat/>
    <w:uiPriority w:val="0"/>
    <w:rPr>
      <w:rFonts w:eastAsia="黑体"/>
      <w:b/>
      <w:kern w:val="44"/>
      <w:sz w:val="4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94</Words>
  <Characters>118</Characters>
  <Lines>1</Lines>
  <Paragraphs>1</Paragraphs>
  <TotalTime>22</TotalTime>
  <ScaleCrop>false</ScaleCrop>
  <LinksUpToDate>false</LinksUpToDate>
  <CharactersWithSpaces>118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2023-05-11T06:48:00Z</dcterms:created>
  <dc:creator>刘自渊</dc:creator>
  <cp:lastModifiedBy>郑明星</cp:lastModifiedBy>
  <cp:lastPrinted>2023-05-11T08:37:00Z</cp:lastPrinted>
  <dcterms:modified xsi:type="dcterms:W3CDTF">2024-08-15T03:16:26Z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9A50858822384E888C188D07DFE29761_13</vt:lpwstr>
  </property>
</Properties>
</file>