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320" w:lineRule="exact"/>
        <w:ind w:left="0" w:right="0"/>
        <w:jc w:val="center"/>
        <w:rPr>
          <w:rFonts w:hint="eastAsia" w:ascii="楷体" w:hAnsi="楷体" w:eastAsia="楷体" w:cs="楷体"/>
          <w:lang w:val="en-US"/>
        </w:rPr>
      </w:pPr>
    </w:p>
    <w:p>
      <w:pPr>
        <w:keepNext w:val="0"/>
        <w:keepLines w:val="0"/>
        <w:widowControl w:val="0"/>
        <w:suppressLineNumbers w:val="0"/>
        <w:spacing w:before="0" w:beforeAutospacing="0" w:after="0" w:afterAutospacing="0" w:line="320" w:lineRule="exact"/>
        <w:ind w:left="0" w:right="0"/>
        <w:jc w:val="center"/>
        <w:rPr>
          <w:rFonts w:hint="eastAsia" w:ascii="仿宋_GB2312" w:hAnsi="华文中宋" w:eastAsia="仿宋_GB2312" w:cs="仿宋_GB2312"/>
          <w:b/>
          <w:bCs/>
          <w:lang w:val="en-US"/>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bookmarkStart w:id="0" w:name="正文"/>
      <w:r>
        <w:rPr>
          <w:rFonts w:hint="eastAsia" w:ascii="方正小标宋简体" w:hAnsi="方正小标宋简体" w:eastAsia="方正小标宋简体" w:cs="方正小标宋简体"/>
          <w:kern w:val="2"/>
          <w:sz w:val="44"/>
          <w:szCs w:val="44"/>
          <w:lang w:val="en-US" w:eastAsia="zh-CN" w:bidi="ar"/>
        </w:rPr>
        <w:t>关于印发《2024年池州市贵池区夏季食品</w:t>
      </w: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安全专项排查整治行动实施方案》的通知</w:t>
      </w:r>
    </w:p>
    <w:p>
      <w:pPr>
        <w:keepNext w:val="0"/>
        <w:keepLines w:val="0"/>
        <w:widowControl w:val="0"/>
        <w:suppressLineNumbers w:val="0"/>
        <w:spacing w:before="0" w:beforeAutospacing="0" w:after="0" w:afterAutospacing="0" w:line="500" w:lineRule="exact"/>
        <w:ind w:left="0" w:right="0"/>
        <w:jc w:val="center"/>
        <w:rPr>
          <w:rFonts w:hint="eastAsia" w:ascii="仿宋_GB2312" w:hAnsi="楷体" w:eastAsia="仿宋_GB2312" w:cs="仿宋_GB2312"/>
          <w:kern w:val="2"/>
          <w:sz w:val="32"/>
          <w:szCs w:val="24"/>
          <w:lang w:val="en-US" w:eastAsia="zh-CN" w:bidi="ar"/>
        </w:rPr>
      </w:pPr>
      <w:bookmarkStart w:id="1" w:name="发文字号"/>
    </w:p>
    <w:p>
      <w:pPr>
        <w:keepNext w:val="0"/>
        <w:keepLines w:val="0"/>
        <w:widowControl w:val="0"/>
        <w:suppressLineNumbers w:val="0"/>
        <w:spacing w:before="0" w:beforeAutospacing="0" w:after="0" w:afterAutospacing="0" w:line="500" w:lineRule="exact"/>
        <w:ind w:left="0" w:right="0"/>
        <w:jc w:val="center"/>
        <w:rPr>
          <w:rFonts w:hint="eastAsia" w:ascii="仿宋_GB2312" w:hAnsi="楷体" w:eastAsia="仿宋_GB2312" w:cs="仿宋_GB2312"/>
          <w:lang w:val="en-US"/>
        </w:rPr>
      </w:pPr>
      <w:r>
        <w:rPr>
          <w:rFonts w:hint="eastAsia" w:ascii="仿宋_GB2312" w:hAnsi="楷体" w:eastAsia="仿宋_GB2312" w:cs="仿宋_GB2312"/>
          <w:kern w:val="2"/>
          <w:sz w:val="32"/>
          <w:szCs w:val="24"/>
          <w:lang w:val="en-US" w:eastAsia="zh-CN" w:bidi="ar"/>
        </w:rPr>
        <w:t>贵食安委办〔2024〕7号</w:t>
      </w:r>
      <w:bookmarkEnd w:id="1"/>
    </w:p>
    <w:p>
      <w:pPr>
        <w:keepNext w:val="0"/>
        <w:keepLines w:val="0"/>
        <w:widowControl w:val="0"/>
        <w:suppressLineNumbers w:val="0"/>
        <w:spacing w:before="0" w:beforeAutospacing="0" w:after="0" w:afterAutospacing="0" w:line="600" w:lineRule="exact"/>
        <w:ind w:left="0" w:right="0" w:firstLine="872" w:firstLineChars="200"/>
        <w:jc w:val="left"/>
        <w:rPr>
          <w:rFonts w:hint="eastAsia" w:ascii="方正小标宋简体" w:hAnsi="方正小标宋简体" w:eastAsia="方正小标宋简体" w:cs="方正小标宋简体"/>
          <w:sz w:val="44"/>
          <w:szCs w:val="44"/>
          <w:lang w:val="en-US"/>
        </w:rPr>
      </w:pPr>
    </w:p>
    <w:p>
      <w:pPr>
        <w:keepNext w:val="0"/>
        <w:keepLines w:val="0"/>
        <w:widowControl w:val="0"/>
        <w:suppressLineNumbers w:val="0"/>
        <w:spacing w:before="0" w:beforeAutospacing="0" w:after="0" w:afterAutospacing="0" w:line="600" w:lineRule="exact"/>
        <w:ind w:left="0" w:right="0"/>
        <w:jc w:val="left"/>
        <w:rPr>
          <w:rFonts w:hint="eastAsia" w:ascii="仿宋_GB2312" w:hAnsi="仿宋_GB2312" w:eastAsia="仿宋_GB2312" w:cs="仿宋_GB2312"/>
          <w:color w:val="000000"/>
          <w:szCs w:val="32"/>
          <w:lang w:val="en-US"/>
        </w:rPr>
      </w:pPr>
      <w:r>
        <w:rPr>
          <w:rFonts w:hint="eastAsia" w:ascii="仿宋_GB2312" w:hAnsi="仿宋_GB2312" w:eastAsia="仿宋_GB2312" w:cs="仿宋_GB2312"/>
          <w:color w:val="000000"/>
          <w:kern w:val="2"/>
          <w:sz w:val="32"/>
          <w:szCs w:val="32"/>
          <w:lang w:val="en-US" w:eastAsia="zh-CN" w:bidi="ar"/>
        </w:rPr>
        <w:t>各镇街食安办、区食安委成员单位：</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现将《2024年池州市贵池区夏季食品安全专项排查整治行动实施方案》印发你们，请抓好贯彻落实。</w:t>
      </w:r>
    </w:p>
    <w:p>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pPr>
        <w:keepNext w:val="0"/>
        <w:keepLines w:val="0"/>
        <w:widowControl w:val="0"/>
        <w:suppressLineNumbers w:val="0"/>
        <w:spacing w:before="0" w:beforeAutospacing="0" w:after="0" w:afterAutospacing="0" w:line="600" w:lineRule="exact"/>
        <w:ind w:left="0" w:right="0" w:firstLine="3160" w:firstLineChars="1000"/>
        <w:jc w:val="left"/>
        <w:rPr>
          <w:rFonts w:hint="default"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池州市贵池区食品安全委员会办公室</w:t>
      </w:r>
    </w:p>
    <w:p>
      <w:pPr>
        <w:keepNext w:val="0"/>
        <w:keepLines w:val="0"/>
        <w:widowControl w:val="0"/>
        <w:suppressLineNumbers w:val="0"/>
        <w:spacing w:before="0" w:beforeAutospacing="0" w:after="0" w:afterAutospacing="0" w:line="600" w:lineRule="exact"/>
        <w:ind w:left="0" w:right="0" w:firstLine="4424" w:firstLineChars="14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2024年8月2日</w:t>
      </w: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bookmarkStart w:id="4" w:name="_GoBack"/>
      <w:bookmarkEnd w:id="4"/>
    </w:p>
    <w:p>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方正小标宋简体" w:hAnsi="方正小标宋简体" w:eastAsia="方正小标宋简体" w:cs="方正小标宋简体"/>
          <w:kern w:val="2"/>
          <w:sz w:val="44"/>
          <w:szCs w:val="44"/>
          <w:lang w:val="en-US" w:eastAsia="zh-CN" w:bidi="ar"/>
        </w:rPr>
        <w:t>2024年池州市贵池区夏季食品安全</w:t>
      </w:r>
    </w:p>
    <w:p>
      <w:pPr>
        <w:keepNext w:val="0"/>
        <w:keepLines w:val="0"/>
        <w:widowControl w:val="0"/>
        <w:suppressLineNumbers w:val="0"/>
        <w:spacing w:before="0" w:beforeAutospacing="0" w:after="0" w:afterAutospacing="0" w:line="660" w:lineRule="exact"/>
        <w:ind w:left="0" w:right="0"/>
        <w:jc w:val="center"/>
        <w:rPr>
          <w:rFonts w:hint="eastAsia" w:ascii="仿宋_GB2312" w:hAnsi="仿宋_GB2312" w:eastAsia="仿宋_GB2312" w:cs="仿宋_GB2312"/>
          <w:szCs w:val="32"/>
          <w:lang w:val="en-US"/>
        </w:rPr>
      </w:pPr>
      <w:r>
        <w:rPr>
          <w:rFonts w:hint="eastAsia" w:ascii="方正小标宋简体" w:hAnsi="方正小标宋简体" w:eastAsia="方正小标宋简体" w:cs="方正小标宋简体"/>
          <w:kern w:val="2"/>
          <w:sz w:val="44"/>
          <w:szCs w:val="44"/>
          <w:lang w:val="en-US" w:eastAsia="zh-CN" w:bidi="ar"/>
        </w:rPr>
        <w:t>专项排查整治行动实施方案</w:t>
      </w:r>
    </w:p>
    <w:p>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为进一步加强食品安全监管，坚决守住食品安全底线，切实保障广大人民群众身体健康、生命安全，杜绝再次出现“古茗奶茶”等类似重大舆情。针对夏季食品安全事故易发、多发的特点，决定在全区范围内组织开展夏季食品安全专项排查整治行动，进一步推深做实食品安全“食安守护”专项行动，坚决守住食品安全底线，保障全区人民“舌尖上”的安全，特制定本方案。</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一、指导思想</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以习近平新时代中国特色社会主义思想为指导，坚持食品监管“四个最严”工作要求，以保障群众饮食安全为宗旨，通过开展夏季食品安全专项排查整治行动，不断提高食品安全保障能力，着力构建高效的食品安全责任体系、监管体系、保障体系，推动我区食品安全工作健康发展，努力营造一个人民群众买得放心、吃得安全的食品消费环境。</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二、整治目标</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全面落实“四个最严”要求，按照预防为主、风险管理、全程控制、社会共治的原则，针对夏季食品安全突出问题和重点风险隐患进行全力治理。压紧压实属地管理责任、行业主管责任、部门监管责任、企业主体责任，聚焦重点区域、重点时段、重点品种，通过全覆盖排查整治，强化监管举措，严查重处违法违规行为。进一步聚焦存在风险较大的肉制品、乳制品、饮料、方便食品、桶装饮用水、凉菜（含卤菜）、饮品、裱花蛋糕等八个重点品种，集中时间、集中力量治理夏季食品安全存在的突出问题和重点隐患。坚持一手抓整治，一手抓指导，强化食品安全风险隐患排查和整改提升，严防、严管、严控食品安全风险，确保不发生重大食品安全事故、不发生重大舆情事件、不发生影响社会稳定的问题。</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三、整治时间</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2024年8月1日-9月30日。</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四、任务分工</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楷体" w:hAnsi="楷体" w:eastAsia="楷体" w:cs="楷体"/>
          <w:szCs w:val="32"/>
          <w:lang w:val="en-US"/>
        </w:rPr>
      </w:pPr>
      <w:r>
        <w:rPr>
          <w:rFonts w:hint="eastAsia" w:ascii="楷体" w:hAnsi="楷体" w:eastAsia="楷体" w:cs="楷体"/>
          <w:kern w:val="2"/>
          <w:sz w:val="32"/>
          <w:szCs w:val="32"/>
          <w:lang w:val="en-US" w:eastAsia="zh-CN" w:bidi="ar"/>
        </w:rPr>
        <w:t>（一）市场监管部门</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b/>
          <w:bCs/>
          <w:szCs w:val="32"/>
          <w:lang w:val="en-US"/>
        </w:rPr>
      </w:pPr>
      <w:r>
        <w:rPr>
          <w:rFonts w:hint="eastAsia" w:ascii="仿宋_GB2312" w:hAnsi="Times New Roman" w:eastAsia="仿宋_GB2312" w:cs="仿宋_GB2312"/>
          <w:b/>
          <w:bCs/>
          <w:kern w:val="2"/>
          <w:sz w:val="32"/>
          <w:szCs w:val="32"/>
          <w:lang w:val="en-US" w:eastAsia="zh-CN" w:bidi="ar"/>
        </w:rPr>
        <w:t>1.各环节监管要求</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（1）生产环节：深化食用植物油、包装饮用水、肉制品等重点食品的专项整治，落实食品生产风险防控标识推广，加大对小作坊的日常监管与巡查频次，确保生产条件合规，产品质量安全。</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流通环节：以集贸市场、食品超市、城乡接合部及农村小超市为监管重点，特别关注高温敏感食品的冷链管理，确保冷藏冷冻设施有效运行。加强即食鲜切水果监管，严格落实《池州市即食鲜切水果管理规范》。加强熟食制品、散装食品监管。加强对肉制品市场的风险防控，建立健全追溯机制，防止病死动物及其产品流入市场。</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餐饮环节：突出咖啡和奶茶等饮品、凉菜、蛋糕、三明治、卤菜等重点品种，突出各类集体聚餐承办、连锁（加盟）餐饮、网络餐饮、旅游景区餐饮、“小饭桌”、学校食堂、农村红白喜宴及有食品安全不良记录的餐饮等重点单位，突出对网络舆情高发的饮品店、蛋糕店、卤菜店、快餐店等开展拉网式排查。重点检查从业人员健康管理、原料管理及环境卫生、三防和消毒设施、加工制作过程等。对承办“升学宴”等大型聚餐活动的餐饮单位，实施重点监控。大力推广“互联网+明厨亮灶”，鼓励全体餐饮单位建设“视频厨房”。</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b/>
          <w:bCs/>
          <w:szCs w:val="32"/>
          <w:lang w:val="en-US"/>
        </w:rPr>
      </w:pPr>
      <w:r>
        <w:rPr>
          <w:rFonts w:hint="eastAsia" w:ascii="仿宋_GB2312" w:hAnsi="Times New Roman" w:eastAsia="仿宋_GB2312" w:cs="仿宋_GB2312"/>
          <w:b/>
          <w:bCs/>
          <w:kern w:val="2"/>
          <w:sz w:val="32"/>
          <w:szCs w:val="32"/>
          <w:lang w:val="en-US" w:eastAsia="zh-CN" w:bidi="ar"/>
        </w:rPr>
        <w:t>2.整治工作要求</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1）所有饮品店在处理区应加装视频监控设施，实现操作过程可实时回放。通过加装视频监控，实现监督员工规范操作、确保饮品食品安全、明确纠纷责任等作用。下一步，在现有“互联网+明厨亮灶”的基础上，有序向其他餐饮单位推进加装视频监控举措。</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2）依法要求网络餐饮服务第三方平台提供者加强对入网餐饮服务提供者食品经营许可证审查与经营行为抽查和监测，强化对送餐人员的食品安全培训和管理；要求入网餐饮服务提供者在食品打包后使用一次性、不可复合的具备一次性使用、开启即损坏且无法恢复原状性能的“食安封签”进行封口。</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3）及时处置食品投诉举报及舆情。建立健全消费者投诉举报分级分类处置和24小时值班值守制度，加强群众投诉举报事项分析研判、快速处置。对食品安全等群众关切较高的民生领域以及存在舆情风险事项高度关注，抓住处置最佳时机，及时妥善处置到位，第一时间安排执法人员携带执法记录装备进行处置，通过检查、询问、调取视频监控等举措全方位固定现有证据，迅速回应消费者及社会关切，坚决防范矛盾激化和网络舆情。</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4）此次夏季食品安全专项排查整治行动以肉制品、乳制品、饮料、方便食品、桶装饮用水、凉菜（含卤菜）、饮品、裱花蛋糕等八个品种为重点并结合方案内容开展整治，涵盖生产、流通、餐饮三个环节。要严格按照市场监管总局下发《食品生产经营监督检查要点表》及方案要求进行检查并详实填写检查情况，每周五报送《2024年夏季食品安全专项整治行动工作汇总表》（附件1）。</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楷体" w:hAnsi="楷体" w:eastAsia="楷体" w:cs="楷体"/>
          <w:szCs w:val="32"/>
          <w:lang w:val="en-US"/>
        </w:rPr>
      </w:pPr>
      <w:r>
        <w:rPr>
          <w:rFonts w:hint="eastAsia" w:ascii="楷体" w:hAnsi="楷体" w:eastAsia="楷体" w:cs="楷体"/>
          <w:kern w:val="2"/>
          <w:sz w:val="32"/>
          <w:szCs w:val="32"/>
          <w:lang w:val="en-US" w:eastAsia="zh-CN" w:bidi="ar"/>
        </w:rPr>
        <w:t>（二）行业主管部门</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住建部门：</w:t>
      </w:r>
      <w:r>
        <w:rPr>
          <w:rFonts w:hint="eastAsia" w:ascii="仿宋_GB2312" w:hAnsi="Times New Roman" w:eastAsia="仿宋_GB2312" w:cs="仿宋_GB2312"/>
          <w:kern w:val="2"/>
          <w:sz w:val="32"/>
          <w:szCs w:val="32"/>
          <w:lang w:val="en-US" w:eastAsia="zh-CN" w:bidi="ar"/>
        </w:rPr>
        <w:t>加强对建筑工地食堂的督导检查，推动企业建立健全食品安全管理体系，确保工地食堂符合卫生达标，防范食物中毒事件发生。</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教育部门：</w:t>
      </w:r>
      <w:r>
        <w:rPr>
          <w:rFonts w:hint="eastAsia" w:ascii="仿宋_GB2312" w:hAnsi="Times New Roman" w:eastAsia="仿宋_GB2312" w:cs="仿宋_GB2312"/>
          <w:kern w:val="2"/>
          <w:sz w:val="32"/>
          <w:szCs w:val="32"/>
          <w:lang w:val="en-US" w:eastAsia="zh-CN" w:bidi="ar"/>
        </w:rPr>
        <w:t>加强对学校、教育培训机构、托幼机构食堂及供餐单位的监管，确保食品安全管理制度落实到位，保障师生饮食安全。上好“食品安全开学第一课”，提高师生食品安全意识。</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民政部门：</w:t>
      </w:r>
      <w:r>
        <w:rPr>
          <w:rFonts w:hint="eastAsia" w:ascii="仿宋_GB2312" w:hAnsi="Times New Roman" w:eastAsia="仿宋_GB2312" w:cs="仿宋_GB2312"/>
          <w:kern w:val="2"/>
          <w:sz w:val="32"/>
          <w:szCs w:val="32"/>
          <w:lang w:val="en-US" w:eastAsia="zh-CN" w:bidi="ar"/>
        </w:rPr>
        <w:t>加大对养老机构食堂的监管力度，督促其改善食品安全管理条件，提升服务水平，守护老年人舌尖上的安全。</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文旅部门：</w:t>
      </w:r>
      <w:r>
        <w:rPr>
          <w:rFonts w:hint="eastAsia" w:ascii="仿宋_GB2312" w:hAnsi="Times New Roman" w:eastAsia="仿宋_GB2312" w:cs="仿宋_GB2312"/>
          <w:kern w:val="2"/>
          <w:sz w:val="32"/>
          <w:szCs w:val="32"/>
          <w:lang w:val="en-US" w:eastAsia="zh-CN" w:bidi="ar"/>
        </w:rPr>
        <w:t>指导A级旅游景区建立健全食品安全管理制度，加强对景区内食品经营单位的监督检查，及时消除安全隐患，为游客提供安全的餐饮环境。</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农业部门：</w:t>
      </w:r>
      <w:r>
        <w:rPr>
          <w:rFonts w:hint="eastAsia" w:ascii="仿宋_GB2312" w:hAnsi="Times New Roman" w:eastAsia="仿宋_GB2312" w:cs="仿宋_GB2312"/>
          <w:kern w:val="2"/>
          <w:sz w:val="32"/>
          <w:szCs w:val="32"/>
          <w:lang w:val="en-US" w:eastAsia="zh-CN" w:bidi="ar"/>
        </w:rPr>
        <w:t>聚焦水产品、畜禽养殖及蔬菜种植等关键领域，深化农药兽药残留、违禁物质等专项整治，严格控制源头污染，保障农产品质量安全。</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卫健部门：</w:t>
      </w:r>
      <w:r>
        <w:rPr>
          <w:rFonts w:hint="eastAsia" w:ascii="仿宋_GB2312" w:hAnsi="Times New Roman" w:eastAsia="仿宋_GB2312" w:cs="仿宋_GB2312"/>
          <w:kern w:val="2"/>
          <w:sz w:val="32"/>
          <w:szCs w:val="32"/>
          <w:lang w:val="en-US" w:eastAsia="zh-CN" w:bidi="ar"/>
        </w:rPr>
        <w:t>持续开展食品安全风险监测工作，及时发现并通报食品安全隐患。同时，加强应急演练，提升流行病学调查、医疗救治和现场处置能力，持续开展食品安全风险监测工作，及时发现并通报食品安全隐患。</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公安部门：</w:t>
      </w:r>
      <w:r>
        <w:rPr>
          <w:rFonts w:hint="eastAsia" w:ascii="仿宋_GB2312" w:hAnsi="Times New Roman" w:eastAsia="仿宋_GB2312" w:cs="仿宋_GB2312"/>
          <w:kern w:val="2"/>
          <w:sz w:val="32"/>
          <w:szCs w:val="32"/>
          <w:lang w:val="en-US" w:eastAsia="zh-CN" w:bidi="ar"/>
        </w:rPr>
        <w:t>依法严打生产、销售假劣食品和有毒有害食品的违法行为，对涉案人员从严从重处罚，形成强大的威慑效应。建立完善食品安全应急机制，确保在食品安全事件发生时能够迅速响应、及时处置。</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b/>
          <w:bCs/>
          <w:kern w:val="2"/>
          <w:sz w:val="32"/>
          <w:szCs w:val="32"/>
          <w:lang w:val="en-US" w:eastAsia="zh-CN" w:bidi="ar"/>
        </w:rPr>
        <w:t>其他部门：</w:t>
      </w:r>
      <w:r>
        <w:rPr>
          <w:rFonts w:hint="eastAsia" w:ascii="仿宋_GB2312" w:hAnsi="Times New Roman" w:eastAsia="仿宋_GB2312" w:cs="仿宋_GB2312"/>
          <w:kern w:val="2"/>
          <w:sz w:val="32"/>
          <w:szCs w:val="32"/>
          <w:lang w:val="en-US" w:eastAsia="zh-CN" w:bidi="ar"/>
        </w:rPr>
        <w:t>在各自职责范围内做好食品安全监督管理工作。</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五、严格执法</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市场监管部门、农业部门、公安部门要集中执法力量，加大案件查办力度，始终保持严厉打击食品生产经营领域违法行为的高压态势。对日常监管中发现、消费者投诉举报和媒体舆情反映的食品违法线索，要及时处置，深挖细追，对违法行为，一查到底。加大对重大食品安全违法案件督查督办，坚持有案必查，有查必果。对无证无照生产行为，坚决予以取缔，并公开曝光，形成震慑。对违法制售凉菜、裱花蛋糕的，对违规行为拒不整改或整改不到位的，一律立案查处，涉嫌犯罪的及时移送公安机关。坚持以案促改、以案促治、以案促建、以案促教，达到“打击一个、震慑一批、影响一片”的整治效果。</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黑体" w:hAnsi="宋体" w:eastAsia="黑体" w:cs="黑体"/>
          <w:kern w:val="2"/>
          <w:sz w:val="32"/>
          <w:szCs w:val="32"/>
          <w:lang w:val="en-US" w:eastAsia="zh-CN" w:bidi="ar"/>
        </w:rPr>
        <w:t>六、工作要求</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楷体" w:hAnsi="楷体" w:eastAsia="楷体" w:cs="楷体"/>
          <w:kern w:val="2"/>
          <w:sz w:val="32"/>
          <w:szCs w:val="32"/>
          <w:lang w:val="en-US" w:eastAsia="zh-CN" w:bidi="ar"/>
        </w:rPr>
        <w:t>（一）提高政治站位，强化组织领导。</w:t>
      </w:r>
      <w:r>
        <w:rPr>
          <w:rFonts w:hint="eastAsia" w:ascii="仿宋_GB2312" w:hAnsi="Times New Roman" w:eastAsia="仿宋_GB2312" w:cs="仿宋_GB2312"/>
          <w:kern w:val="2"/>
          <w:sz w:val="32"/>
          <w:szCs w:val="32"/>
          <w:lang w:val="en-US" w:eastAsia="zh-CN" w:bidi="ar"/>
        </w:rPr>
        <w:t>夏季高温，食品安全问题易发多发，守牢食品安全底线尤为重要。各单位要从讲政治的高度，深刻认识到抓好食品安全的极端重要性，迅速行动，真抓实干，深入开展夏季食品安全整治专项行动。主要负责人亲自抓，分管负责人具体抓，相关部门全部参与。切实加强组织领导，明确目标任务和工作责任，精心组织、认真实施，确保食品安全各个领域、各个环节有人抓、有人管、无缺漏、不缺位，把夏季食品安全专项排查整治行动抓紧、抓细、抓好，抓出实效。</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楷体" w:hAnsi="楷体" w:eastAsia="楷体" w:cs="楷体"/>
          <w:kern w:val="2"/>
          <w:sz w:val="32"/>
          <w:szCs w:val="32"/>
          <w:lang w:val="en-US" w:eastAsia="zh-CN" w:bidi="ar"/>
        </w:rPr>
        <w:t>（二）加强协作配合，形成工作合力。</w:t>
      </w:r>
      <w:r>
        <w:rPr>
          <w:rFonts w:hint="eastAsia" w:ascii="仿宋_GB2312" w:hAnsi="Times New Roman" w:eastAsia="仿宋_GB2312" w:cs="仿宋_GB2312"/>
          <w:kern w:val="2"/>
          <w:sz w:val="32"/>
          <w:szCs w:val="32"/>
          <w:lang w:val="en-US" w:eastAsia="zh-CN" w:bidi="ar"/>
        </w:rPr>
        <w:t>食安办要充分发挥统筹协调作用，调动公安、农业农村、教体、民政等成员单位的积极性，同步开展食品安全整治，加强“从农田到餐桌”全过程监管。同时，强化与镇街食安办的协同力度，发挥“四员”桥头堡作用，进一步强化协作配合，联查联动，联合惩戒违法违规行为等，形成上下联动、左右协同、齐抓共管的工作局面。</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楷体" w:hAnsi="楷体" w:eastAsia="楷体" w:cs="楷体"/>
          <w:kern w:val="2"/>
          <w:sz w:val="32"/>
          <w:szCs w:val="32"/>
          <w:lang w:val="en-US" w:eastAsia="zh-CN" w:bidi="ar"/>
        </w:rPr>
        <w:t>（三）坚持问题导向，严格监督检查。</w:t>
      </w:r>
      <w:r>
        <w:rPr>
          <w:rFonts w:hint="eastAsia" w:ascii="仿宋_GB2312" w:hAnsi="Times New Roman" w:eastAsia="仿宋_GB2312" w:cs="仿宋_GB2312"/>
          <w:kern w:val="2"/>
          <w:sz w:val="32"/>
          <w:szCs w:val="32"/>
          <w:lang w:val="en-US" w:eastAsia="zh-CN" w:bidi="ar"/>
        </w:rPr>
        <w:t>要始终坚持问题导向，从严落实监管责任，从严开展监督检查，切实把食品安全风险隐患全部检查出来，形成一张完整“问题清单”，建立台账，责令生产经营者限期逐一对账销号、全部整改到位，坚决做到管理到位、整改到位、处罚到位，形成整治“闭环”，杜绝低效、无效检查。不定期调度整治进展，保证各项任务要求落实到位。对因责任不落实、监管不作为、问题不解决，导致食品安全事故发生的单位和个人，要依法依规追究责任。区食安办将适时组织对各单位专项整治行动开展情况进行督查。食安办各成员单位每半月向区食安办报送《2024年夏季食品安全专项整治行动工作报表》（附件2）。</w:t>
      </w: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楷体" w:hAnsi="楷体" w:eastAsia="楷体" w:cs="楷体"/>
          <w:kern w:val="2"/>
          <w:sz w:val="32"/>
          <w:szCs w:val="32"/>
          <w:lang w:val="en-US" w:eastAsia="zh-CN" w:bidi="ar"/>
        </w:rPr>
        <w:t>（四）加强舆情监测，做好应急处置。</w:t>
      </w:r>
      <w:r>
        <w:rPr>
          <w:rFonts w:hint="eastAsia" w:ascii="仿宋_GB2312" w:hAnsi="Times New Roman" w:eastAsia="仿宋_GB2312" w:cs="仿宋_GB2312"/>
          <w:kern w:val="2"/>
          <w:sz w:val="32"/>
          <w:szCs w:val="32"/>
          <w:lang w:val="en-US" w:eastAsia="zh-CN" w:bidi="ar"/>
        </w:rPr>
        <w:t>各成员单位要畅通投诉举报渠道，加强食品安全舆情监测与信息共享，妥善处置食品安全舆情信息，及时回应社会关切，避免舆情发酵升级。要认真完善突发食品安全事故和舆情事件应急处置工作机制，加强应急演练，提高实战水平，确保一旦发生食品安全事故和舆情事件，能够立即采取有效措施，快速控制事态发展，及时查明事故原因，将负面影响降到最低程度。</w:t>
      </w:r>
    </w:p>
    <w:p>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eastAsia="仿宋_GB2312" w:cs="仿宋_GB2312"/>
          <w:szCs w:val="32"/>
          <w:lang w:val="en-US"/>
        </w:rPr>
      </w:pPr>
    </w:p>
    <w:p>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eastAsia="仿宋_GB2312" w:cs="仿宋_GB2312"/>
          <w:szCs w:val="32"/>
          <w:lang w:val="en-US"/>
        </w:rPr>
      </w:pPr>
      <w:r>
        <w:rPr>
          <w:rFonts w:hint="eastAsia" w:ascii="仿宋_GB2312" w:hAnsi="Times New Roman" w:eastAsia="仿宋_GB2312" w:cs="仿宋_GB2312"/>
          <w:kern w:val="2"/>
          <w:sz w:val="32"/>
          <w:szCs w:val="32"/>
          <w:lang w:val="en-US" w:eastAsia="zh-CN" w:bidi="ar"/>
        </w:rPr>
        <w:t>附件：</w:t>
      </w:r>
      <w:r>
        <w:rPr>
          <w:rFonts w:hint="eastAsia" w:ascii="仿宋_GB2312" w:hAnsi="Times New Roman" w:eastAsia="仿宋_GB2312" w:cs="仿宋_GB2312"/>
          <w:spacing w:val="-12"/>
          <w:kern w:val="2"/>
          <w:sz w:val="32"/>
          <w:szCs w:val="32"/>
          <w:lang w:val="en-US" w:eastAsia="zh-CN" w:bidi="ar"/>
        </w:rPr>
        <w:t>1.《2024年夏季食品安全专项整治行动工作汇总表》；</w:t>
      </w:r>
    </w:p>
    <w:p>
      <w:pPr>
        <w:keepNext w:val="0"/>
        <w:keepLines w:val="0"/>
        <w:widowControl w:val="0"/>
        <w:suppressLineNumbers w:val="0"/>
        <w:spacing w:before="0" w:beforeAutospacing="0" w:after="0" w:afterAutospacing="0" w:line="600" w:lineRule="exact"/>
        <w:ind w:left="0" w:right="0" w:firstLine="1480" w:firstLineChars="500"/>
        <w:jc w:val="left"/>
      </w:pPr>
      <w:r>
        <w:rPr>
          <w:rFonts w:hint="eastAsia" w:ascii="仿宋_GB2312" w:hAnsi="Times New Roman" w:eastAsia="仿宋_GB2312" w:cs="仿宋_GB2312"/>
          <w:spacing w:val="-10"/>
          <w:kern w:val="2"/>
          <w:sz w:val="32"/>
          <w:szCs w:val="32"/>
          <w:lang w:val="en-US" w:eastAsia="zh-CN" w:bidi="ar"/>
        </w:rPr>
        <w:t>2.《2024年夏季食品安全专项整治行动工作报表》。</w:t>
      </w:r>
      <w:bookmarkEnd w:id="0"/>
      <w:bookmarkStart w:id="2" w:name="End"/>
      <w:bookmarkEnd w:id="2"/>
      <w:bookmarkStart w:id="3" w:name="Start"/>
      <w:bookmarkEnd w:id="3"/>
    </w:p>
    <w:p>
      <w:pPr>
        <w:sectPr>
          <w:pgSz w:w="11906" w:h="16838"/>
          <w:pgMar w:top="1440" w:right="1800" w:bottom="1440" w:left="1800" w:header="851" w:footer="1135" w:gutter="0"/>
          <w:cols w:space="425" w:num="1"/>
          <w:docGrid w:type="linesAndChars" w:linePitch="579" w:charSpace="-849"/>
        </w:sectPr>
      </w:pPr>
    </w:p>
    <w:p>
      <w:pPr>
        <w:rPr>
          <w:rFonts w:hint="eastAsia" w:ascii="黑体" w:hAnsi="黑体" w:eastAsia="黑体" w:cs="黑体"/>
          <w:spacing w:val="-12"/>
          <w:kern w:val="2"/>
          <w:sz w:val="32"/>
          <w:szCs w:val="32"/>
          <w:lang w:val="en-US" w:eastAsia="zh-CN" w:bidi="ar"/>
        </w:rPr>
      </w:pPr>
      <w:r>
        <w:rPr>
          <w:rFonts w:hint="eastAsia" w:ascii="黑体" w:hAnsi="黑体" w:eastAsia="黑体" w:cs="黑体"/>
          <w:kern w:val="2"/>
          <w:sz w:val="32"/>
          <w:szCs w:val="32"/>
          <w:lang w:val="en-US" w:eastAsia="zh-CN" w:bidi="ar"/>
        </w:rPr>
        <w:t>附件</w:t>
      </w:r>
      <w:r>
        <w:rPr>
          <w:rFonts w:hint="eastAsia" w:ascii="黑体" w:hAnsi="黑体" w:eastAsia="黑体" w:cs="黑体"/>
          <w:spacing w:val="-12"/>
          <w:kern w:val="2"/>
          <w:sz w:val="32"/>
          <w:szCs w:val="32"/>
          <w:lang w:val="en-US" w:eastAsia="zh-CN" w:bidi="ar"/>
        </w:rPr>
        <w:t>1</w:t>
      </w:r>
    </w:p>
    <w:p>
      <w:pPr>
        <w:keepNext w:val="0"/>
        <w:keepLines w:val="0"/>
        <w:pageBreakBefore w:val="0"/>
        <w:widowControl w:val="0"/>
        <w:kinsoku/>
        <w:wordWrap/>
        <w:overflowPunct/>
        <w:topLinePunct w:val="0"/>
        <w:autoSpaceDE/>
        <w:autoSpaceDN/>
        <w:bidi w:val="0"/>
        <w:adjustRightInd/>
        <w:snapToGrid/>
        <w:spacing w:after="292" w:afterLines="50" w:line="660" w:lineRule="exact"/>
        <w:jc w:val="center"/>
        <w:textAlignment w:val="auto"/>
        <w:rPr>
          <w:rFonts w:hint="eastAsia" w:ascii="方正小标宋简体" w:hAnsi="方正小标宋简体" w:eastAsia="方正小标宋简体" w:cs="方正小标宋简体"/>
          <w:spacing w:val="-12"/>
          <w:kern w:val="2"/>
          <w:sz w:val="44"/>
          <w:szCs w:val="44"/>
          <w:lang w:val="en-US" w:eastAsia="zh-CN" w:bidi="ar"/>
        </w:rPr>
      </w:pPr>
      <w:r>
        <w:rPr>
          <w:rFonts w:hint="eastAsia" w:ascii="方正小标宋简体" w:hAnsi="方正小标宋简体" w:eastAsia="方正小标宋简体" w:cs="方正小标宋简体"/>
          <w:spacing w:val="-12"/>
          <w:kern w:val="2"/>
          <w:sz w:val="44"/>
          <w:szCs w:val="44"/>
          <w:lang w:val="en-US" w:eastAsia="zh-CN" w:bidi="ar"/>
        </w:rPr>
        <w:t>《2024年夏季食品安全专项整治行动工作汇总表》</w:t>
      </w:r>
    </w:p>
    <w:tbl>
      <w:tblPr>
        <w:tblStyle w:val="2"/>
        <w:tblW w:w="15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65"/>
        <w:gridCol w:w="805"/>
        <w:gridCol w:w="688"/>
        <w:gridCol w:w="688"/>
        <w:gridCol w:w="688"/>
        <w:gridCol w:w="791"/>
        <w:gridCol w:w="819"/>
        <w:gridCol w:w="820"/>
        <w:gridCol w:w="988"/>
        <w:gridCol w:w="690"/>
        <w:gridCol w:w="690"/>
        <w:gridCol w:w="690"/>
        <w:gridCol w:w="690"/>
        <w:gridCol w:w="690"/>
        <w:gridCol w:w="804"/>
        <w:gridCol w:w="988"/>
        <w:gridCol w:w="608"/>
        <w:gridCol w:w="608"/>
        <w:gridCol w:w="608"/>
        <w:gridCol w:w="608"/>
        <w:gridCol w:w="6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jc w:val="center"/>
        </w:trPr>
        <w:tc>
          <w:tcPr>
            <w:tcW w:w="643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ascii="仿宋_GB2312" w:hAnsi="等线" w:eastAsia="仿宋_GB2312" w:cs="仿宋_GB2312"/>
                <w:i w:val="0"/>
                <w:iCs w:val="0"/>
                <w:color w:val="000000"/>
                <w:sz w:val="24"/>
                <w:szCs w:val="24"/>
                <w:u w:val="none"/>
              </w:rPr>
            </w:pPr>
            <w:r>
              <w:rPr>
                <w:rFonts w:hint="eastAsia" w:ascii="仿宋_GB2312" w:hAnsi="等线" w:eastAsia="仿宋_GB2312" w:cs="仿宋_GB2312"/>
                <w:i w:val="0"/>
                <w:iCs w:val="0"/>
                <w:color w:val="000000"/>
                <w:kern w:val="0"/>
                <w:sz w:val="24"/>
                <w:szCs w:val="24"/>
                <w:u w:val="none"/>
                <w:lang w:val="en-US" w:eastAsia="zh-CN" w:bidi="ar"/>
              </w:rPr>
              <w:t>填报单位：</w:t>
            </w:r>
          </w:p>
        </w:tc>
        <w:tc>
          <w:tcPr>
            <w:tcW w:w="9405" w:type="dxa"/>
            <w:gridSpan w:val="1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等线" w:eastAsia="仿宋_GB2312" w:cs="仿宋_GB2312"/>
                <w:i w:val="0"/>
                <w:iCs w:val="0"/>
                <w:color w:val="000000"/>
                <w:sz w:val="24"/>
                <w:szCs w:val="24"/>
                <w:u w:val="none"/>
              </w:rPr>
            </w:pPr>
            <w:r>
              <w:rPr>
                <w:rFonts w:hint="eastAsia" w:ascii="仿宋_GB2312" w:hAnsi="等线" w:eastAsia="仿宋_GB2312" w:cs="仿宋_GB2312"/>
                <w:i w:val="0"/>
                <w:iCs w:val="0"/>
                <w:color w:val="000000"/>
                <w:kern w:val="0"/>
                <w:sz w:val="24"/>
                <w:szCs w:val="24"/>
                <w:u w:val="none"/>
                <w:lang w:val="en-US" w:eastAsia="zh-CN" w:bidi="ar"/>
              </w:rPr>
              <w:t>填报时间：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辖区内各领域总户数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开展培训次数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培训人员数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出动执法人数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目前已检查户数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发现问题户数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发现问题条数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主要问题表现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整改完成户数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问题整改完成条数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吊销许可户数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取缔无证经营户数</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责令改正户数</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案件查办（件）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案由</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其中，警告案件数</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货值金额（万元）</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没收食品数（公斤）</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罚没金额（万元）</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生产领域</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流通领域</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餐饮领域</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合计数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bl>
    <w:p>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eastAsia" w:ascii="方正小标宋简体" w:hAnsi="方正小标宋简体" w:eastAsia="方正小标宋简体" w:cs="方正小标宋简体"/>
          <w:spacing w:val="-12"/>
          <w:kern w:val="2"/>
          <w:sz w:val="44"/>
          <w:szCs w:val="44"/>
          <w:lang w:val="en-US" w:eastAsia="zh-CN" w:bidi="ar"/>
        </w:rPr>
      </w:pPr>
    </w:p>
    <w:tbl>
      <w:tblPr>
        <w:tblStyle w:val="2"/>
        <w:tblW w:w="15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92"/>
        <w:gridCol w:w="925"/>
        <w:gridCol w:w="925"/>
        <w:gridCol w:w="1115"/>
        <w:gridCol w:w="858"/>
        <w:gridCol w:w="858"/>
        <w:gridCol w:w="858"/>
        <w:gridCol w:w="858"/>
        <w:gridCol w:w="858"/>
        <w:gridCol w:w="1201"/>
        <w:gridCol w:w="1115"/>
        <w:gridCol w:w="909"/>
        <w:gridCol w:w="909"/>
        <w:gridCol w:w="909"/>
        <w:gridCol w:w="905"/>
        <w:gridCol w:w="6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jc w:val="center"/>
        </w:trPr>
        <w:tc>
          <w:tcPr>
            <w:tcW w:w="15195" w:type="dxa"/>
            <w:gridSpan w:val="15"/>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center"/>
              <w:textAlignment w:val="center"/>
              <w:rPr>
                <w:rFonts w:ascii="仿宋_GB2312" w:hAnsi="等线" w:eastAsia="仿宋_GB2312" w:cs="仿宋_GB2312"/>
                <w:i w:val="0"/>
                <w:iCs w:val="0"/>
                <w:color w:val="000000"/>
                <w:sz w:val="24"/>
                <w:szCs w:val="24"/>
                <w:u w:val="none"/>
              </w:rPr>
            </w:pPr>
            <w:r>
              <w:rPr>
                <w:rFonts w:hint="eastAsia" w:ascii="仿宋_GB2312" w:hAnsi="等线" w:eastAsia="仿宋_GB2312" w:cs="仿宋_GB2312"/>
                <w:i w:val="0"/>
                <w:iCs w:val="0"/>
                <w:color w:val="000000"/>
                <w:kern w:val="0"/>
                <w:sz w:val="24"/>
                <w:szCs w:val="24"/>
                <w:u w:val="none"/>
                <w:lang w:val="en-US" w:eastAsia="zh-CN" w:bidi="ar"/>
              </w:rPr>
              <w:t>按品种分类统计</w:t>
            </w:r>
          </w:p>
        </w:tc>
        <w:tc>
          <w:tcPr>
            <w:tcW w:w="645" w:type="dxa"/>
            <w:tcBorders>
              <w:top w:val="single" w:color="000000" w:sz="4" w:space="0"/>
              <w:left w:val="nil"/>
              <w:bottom w:val="nil"/>
              <w:right w:val="single" w:color="000000" w:sz="4" w:space="0"/>
            </w:tcBorders>
            <w:shd w:val="clear" w:color="auto" w:fill="auto"/>
            <w:noWrap/>
            <w:vAlign w:val="center"/>
          </w:tcPr>
          <w:p>
            <w:pPr>
              <w:jc w:val="center"/>
              <w:rPr>
                <w:rFonts w:hint="eastAsia" w:ascii="黑体" w:hAnsi="宋体" w:eastAsia="黑体" w:cs="黑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jc w:val="center"/>
        </w:trPr>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项目</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发现问题户次</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发现问题条数</w:t>
            </w:r>
          </w:p>
        </w:tc>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主要问题表现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整改完成户数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问题整改完成条数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吊销许可户数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取缔无证经营户数</w:t>
            </w:r>
          </w:p>
        </w:tc>
        <w:tc>
          <w:tcPr>
            <w:tcW w:w="8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责令改正户数</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案件查办（件）</w:t>
            </w:r>
          </w:p>
        </w:tc>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案由</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其中，警告案件数</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货值金额（万元）</w:t>
            </w:r>
          </w:p>
        </w:tc>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没收食品数（公斤）</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罚没金额（万元）</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肉制品</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乳制品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饮料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方便食品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桶装饮用水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9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凉菜（含卤菜）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饮品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裱花蛋糕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其他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合计数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黑体" w:hAnsi="宋体" w:eastAsia="黑体" w:cs="黑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gridSpan w:val="1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仿宋_GB2312" w:hAnsi="等线" w:eastAsia="仿宋_GB2312" w:cs="仿宋_GB2312"/>
                <w:i w:val="0"/>
                <w:iCs w:val="0"/>
                <w:color w:val="000000"/>
                <w:sz w:val="22"/>
                <w:szCs w:val="22"/>
                <w:u w:val="none"/>
              </w:rPr>
            </w:pPr>
            <w:r>
              <w:rPr>
                <w:rFonts w:hint="eastAsia" w:ascii="仿宋_GB2312" w:hAnsi="等线" w:eastAsia="仿宋_GB2312" w:cs="仿宋_GB2312"/>
                <w:i w:val="0"/>
                <w:iCs w:val="0"/>
                <w:color w:val="000000"/>
                <w:kern w:val="0"/>
                <w:sz w:val="22"/>
                <w:szCs w:val="22"/>
                <w:u w:val="none"/>
                <w:lang w:val="en-US" w:eastAsia="zh-CN" w:bidi="ar"/>
              </w:rPr>
              <w:t>备注：数据实行累计。</w:t>
            </w:r>
          </w:p>
        </w:tc>
      </w:tr>
    </w:tbl>
    <w:p>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eastAsia" w:ascii="方正小标宋简体" w:hAnsi="方正小标宋简体" w:eastAsia="方正小标宋简体" w:cs="方正小标宋简体"/>
          <w:spacing w:val="-12"/>
          <w:kern w:val="2"/>
          <w:sz w:val="44"/>
          <w:szCs w:val="44"/>
          <w:lang w:val="en-US" w:eastAsia="zh-CN" w:bidi="ar"/>
        </w:rPr>
        <w:sectPr>
          <w:pgSz w:w="16838" w:h="11906" w:orient="landscape"/>
          <w:pgMar w:top="1800" w:right="1440" w:bottom="1800" w:left="1440" w:header="851" w:footer="1135" w:gutter="0"/>
          <w:cols w:space="425" w:num="1"/>
          <w:docGrid w:type="linesAndChars" w:linePitch="579" w:charSpace="-849"/>
        </w:sectPr>
      </w:pPr>
    </w:p>
    <w:p>
      <w:pPr>
        <w:rPr>
          <w:rFonts w:hint="eastAsia" w:ascii="黑体" w:hAnsi="黑体" w:eastAsia="黑体" w:cs="黑体"/>
          <w:spacing w:val="-12"/>
          <w:kern w:val="2"/>
          <w:sz w:val="32"/>
          <w:szCs w:val="32"/>
          <w:lang w:val="en-US" w:eastAsia="zh-CN" w:bidi="ar"/>
        </w:rPr>
      </w:pPr>
      <w:r>
        <w:rPr>
          <w:rFonts w:hint="eastAsia" w:ascii="黑体" w:hAnsi="黑体" w:eastAsia="黑体" w:cs="黑体"/>
          <w:kern w:val="2"/>
          <w:sz w:val="32"/>
          <w:szCs w:val="32"/>
          <w:lang w:val="en-US" w:eastAsia="zh-CN" w:bidi="ar"/>
        </w:rPr>
        <w:t>附件</w:t>
      </w:r>
      <w:r>
        <w:rPr>
          <w:rFonts w:hint="eastAsia" w:ascii="黑体" w:hAnsi="黑体" w:eastAsia="黑体" w:cs="黑体"/>
          <w:spacing w:val="-12"/>
          <w:kern w:val="2"/>
          <w:sz w:val="32"/>
          <w:szCs w:val="32"/>
          <w:lang w:val="en-US" w:eastAsia="zh-CN" w:bidi="ar"/>
        </w:rPr>
        <w:t>2</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pacing w:val="-20"/>
          <w:kern w:val="2"/>
          <w:sz w:val="44"/>
          <w:szCs w:val="44"/>
          <w:lang w:val="en-US" w:eastAsia="zh-CN" w:bidi="ar"/>
        </w:rPr>
      </w:pPr>
      <w:r>
        <w:rPr>
          <w:rFonts w:hint="eastAsia" w:ascii="方正小标宋简体" w:hAnsi="方正小标宋简体" w:eastAsia="方正小标宋简体" w:cs="方正小标宋简体"/>
          <w:spacing w:val="-20"/>
          <w:kern w:val="2"/>
          <w:sz w:val="44"/>
          <w:szCs w:val="44"/>
          <w:lang w:val="en-US" w:eastAsia="zh-CN" w:bidi="ar"/>
        </w:rPr>
        <w:t>《2024年夏季食品安全专项整治行动工作报表》</w:t>
      </w:r>
    </w:p>
    <w:tbl>
      <w:tblPr>
        <w:tblStyle w:val="2"/>
        <w:tblW w:w="99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96"/>
        <w:gridCol w:w="2160"/>
        <w:gridCol w:w="3840"/>
        <w:gridCol w:w="1278"/>
        <w:gridCol w:w="1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2" w:hRule="atLeast"/>
          <w:jc w:val="center"/>
        </w:trPr>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 xml:space="preserve">填报单位：                       </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填报人：</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联系方式：</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填报时间: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类别</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具体项目</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半月数</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总累计数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摸底情况</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食品生产加工单位数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食品流通经营单位数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餐饮服务提供者家数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其中：学校（含托幼机构）食堂数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隐患排查整改情况</w:t>
            </w: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食品生产加工环节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食品流通环节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餐饮服务环节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学校（含托幼机构）食堂（教育部门填写）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养老机构食堂（民政部门填写）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隐患排查整改情况</w:t>
            </w: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水产品、畜禽养殖及蔬菜种植环节（农业部门填写）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工地食堂（住建部门填写）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排查率（%）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发现风险隐患数（条）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整改完成风险隐患数（条）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21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完成整改家数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行政执法立案查处情况</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吊销行政许可数（户）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取缔无证经营数（户）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责令改正数（户）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立案数（件）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出动执法人员数（人）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行政处罚罚款金额（万元）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行政处罚没收违法生产经营食品数（公斤）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2" w:hRule="atLeast"/>
          <w:jc w:val="center"/>
        </w:trPr>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公安机关查处情况（公安部门填写）</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公安机关立案数（件）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14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培训情况</w:t>
            </w: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开展食品安全培训数（次）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2" w:hRule="atLeast"/>
          <w:jc w:val="center"/>
        </w:trPr>
        <w:tc>
          <w:tcPr>
            <w:tcW w:w="14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rPr>
                <w:rFonts w:hint="eastAsia" w:ascii="仿宋_GB2312" w:hAnsi="宋体" w:eastAsia="仿宋_GB2312" w:cs="仿宋_GB2312"/>
                <w:i w:val="0"/>
                <w:iCs w:val="0"/>
                <w:color w:val="000000"/>
                <w:sz w:val="24"/>
                <w:szCs w:val="24"/>
                <w:u w:val="none"/>
              </w:rPr>
            </w:pPr>
          </w:p>
        </w:tc>
        <w:tc>
          <w:tcPr>
            <w:tcW w:w="60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培训食品安全管理人员和从业人员数（人）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400" w:lineRule="exact"/>
              <w:rPr>
                <w:rFonts w:hint="eastAsia" w:ascii="仿宋_GB2312" w:hAnsi="宋体" w:eastAsia="仿宋_GB2312" w:cs="仿宋_GB2312"/>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15" w:type="dxa"/>
            <w:gridSpan w:val="5"/>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注：“半月数”是指填报时间前半月工作的有关数据。</w:t>
            </w:r>
          </w:p>
        </w:tc>
      </w:tr>
    </w:tbl>
    <w:p>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eastAsia" w:ascii="方正小标宋简体" w:hAnsi="方正小标宋简体" w:eastAsia="方正小标宋简体" w:cs="方正小标宋简体"/>
          <w:spacing w:val="-20"/>
          <w:kern w:val="2"/>
          <w:sz w:val="44"/>
          <w:szCs w:val="44"/>
          <w:lang w:val="en-US" w:eastAsia="zh-CN" w:bidi="ar"/>
        </w:rPr>
      </w:pPr>
    </w:p>
    <w:p/>
    <w:sectPr>
      <w:pgSz w:w="11906" w:h="16838"/>
      <w:pgMar w:top="1440" w:right="1800" w:bottom="1440" w:left="1800" w:header="851" w:footer="1135"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MzFkNmM0NDU0MTBkNjEyM2ZlNDhiOGI1M2NlOTkifQ=="/>
  </w:docVars>
  <w:rsids>
    <w:rsidRoot w:val="776734DD"/>
    <w:rsid w:val="77673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2024-08-05T02:52:00Z</dcterms:created>
  <dc:creator>孙蕾</dc:creator>
  <cp:lastModifiedBy>孙蕾</cp:lastModifiedBy>
  <dcterms:modified xsi:type="dcterms:W3CDTF">2024-08-05T02:52:51Z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6CD68B5D33F7409BBCDFD44625E238C6_11</vt:lpwstr>
  </property>
</Properties>
</file>