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both"/>
        <w:rPr>
          <w:rFonts w:hint="eastAsia" w:ascii="方正小标宋简体" w:hAnsi="华文中宋" w:eastAsia="方正小标宋简体" w:cs="方正小标宋简体"/>
          <w:b/>
          <w:bCs w:val="0"/>
          <w:szCs w:val="32"/>
          <w:lang w:val="en-US"/>
        </w:rPr>
      </w:pPr>
      <w:bookmarkStart w:id="4" w:name="_GoBack"/>
      <w:bookmarkEnd w:id="4"/>
      <w:bookmarkStart w:id="0" w:name="Start"/>
      <w:bookmarkEnd w:id="0"/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宋体" w:eastAsia="方正小标宋简体" w:cs="方正小标宋简体"/>
          <w:spacing w:val="0"/>
          <w:sz w:val="44"/>
          <w:szCs w:val="44"/>
          <w:lang w:val="en-US"/>
        </w:rPr>
      </w:pPr>
      <w:bookmarkStart w:id="1" w:name="正文"/>
      <w:r>
        <w:rPr>
          <w:rFonts w:hint="eastAsia" w:ascii="方正小标宋简体" w:hAnsi="宋体" w:eastAsia="方正小标宋简体" w:cs="方正小标宋简体"/>
          <w:spacing w:val="0"/>
          <w:kern w:val="2"/>
          <w:sz w:val="44"/>
          <w:szCs w:val="44"/>
          <w:lang w:val="en-US" w:eastAsia="zh-CN" w:bidi="ar"/>
        </w:rPr>
        <w:t>关于开展2024年区级产品质量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宋体" w:eastAsia="方正小标宋简体" w:cs="方正小标宋简体"/>
          <w:spacing w:val="0"/>
          <w:sz w:val="44"/>
          <w:szCs w:val="44"/>
          <w:lang w:val="en-US"/>
        </w:rPr>
      </w:pPr>
      <w:r>
        <w:rPr>
          <w:rFonts w:hint="eastAsia" w:ascii="方正小标宋简体" w:hAnsi="宋体" w:eastAsia="方正小标宋简体" w:cs="方正小标宋简体"/>
          <w:spacing w:val="0"/>
          <w:kern w:val="2"/>
          <w:sz w:val="44"/>
          <w:szCs w:val="44"/>
          <w:lang w:val="en-US" w:eastAsia="zh-CN" w:bidi="ar"/>
        </w:rPr>
        <w:t>监督抽查工作的通知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</w:pPr>
      <w:bookmarkStart w:id="2" w:name="发文字号"/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_GB2312" w:hAnsi="华文中宋" w:eastAsia="仿宋_GB2312" w:cs="仿宋_GB2312"/>
          <w:szCs w:val="32"/>
          <w:lang w:val="en-US"/>
        </w:rPr>
      </w:pPr>
      <w:r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  <w:t>贵市管〔2024〕89号</w:t>
      </w:r>
      <w:bookmarkEnd w:id="2"/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41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各市场监管所、有关承检机构：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为持续加强我区产品质量安全监管，发挥产品质量监督抽查作用，促进产品质量提升。根据《中华人民共和国产品质量法》、《中华人民共和国消费者权益保护法》、《产品质量监督抽查管理暂行办法》(市场监管总局令第18号)和省、市局有关产品质量监督抽查工作文件部署要求，结合辖区实际，决定组织开展2024年区级产品质量监督抽查。现将有关工作事项通知如下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黑体" w:hAnsi="宋体" w:eastAsia="黑体" w:cs="黑体"/>
          <w:szCs w:val="32"/>
          <w:lang w:val="en-US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一、监督抽查任务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2024年区级产品质量监督抽查任务及具体计划安排，详见附件1。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黑体" w:hAnsi="宋体" w:eastAsia="黑体" w:cs="黑体"/>
          <w:szCs w:val="32"/>
          <w:lang w:val="en-US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二、监督抽查范围与领域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b/>
          <w:bCs w:val="0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贵池区行政区划内，生产、流通领域全覆盖。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黑体" w:hAnsi="宋体" w:eastAsia="黑体" w:cs="黑体"/>
          <w:szCs w:val="32"/>
          <w:lang w:val="en-US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三、有关工作要求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（一）规范抽样与检验。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样品抽取与检验工作按照《产品质量监督抽查管理暂行办法》（国家市场监督管理总局令第18号）要求执行。抽样人员应有2人以上，需出示有效身份证件和经我局审查、批准的产品质量监督抽查实施方案与细则、监督抽查委托书及抽查计划等有关工作文件。告知企业抽查目的、要求和企业的权利、义务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详细记录抽样信息。抽样文书应当字迹工整、清楚，容易辨认，不得涂改，需要划改的应当采用杠改方式并由承检机构（或执法人员）和受检单位双方签字确认。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各市场监管所要做好抽查对象的调查摸底和配合做好抽样工作，承检机构要严格按照产品质量检验操作规程和要求进行抽样检验，确保检验数据结果客观公正、科学有效。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（二）按时报送检验结果。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承检机构应在规定时间内完成检验任务，并将监督抽查检验报告、汇总表、产品质量分析报告等相关材料及时报送至本局。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（三）做好检验结果处置。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各市场监管所要依法做好监督抽查检验合格报告送达、样品解封和不合格产品后处理工作。严格按照《安徽省产品质量监督抽查后处理整改工作暂行规定》（皖市监办发</w:t>
      </w:r>
      <w:r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  <w:t>〔2021〕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"/>
        </w:rPr>
        <w:t>3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号）组织开展产品质量监督抽查不合格后处理工作，并将后处理结果及整改、复查、现场核查等相关材料按时限要求及时报送至区局产品质量监督科。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（四）强化产品质量安全风险意识。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各市场监管所和承检机构要对监督抽查工作中发现的异常现象、非常规质量问题引起高度重视，及时收集信息上报。要针对近年来监督抽查中发现的不合格产品情况，加强跟踪监督抽查，加大抽查频次，力促辖区内产品质量稳步提升，确保不发生区域性、系统性产品质量安全事件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color w:val="000000"/>
          <w:szCs w:val="32"/>
          <w:lang w:val="en-US"/>
        </w:rPr>
      </w:pPr>
      <w:r>
        <w:rPr>
          <w:rFonts w:hint="eastAsia" w:ascii="仿宋_GB2312" w:hAnsi="宋体" w:eastAsia="仿宋_GB2312" w:cs="仿宋_GB2312"/>
          <w:color w:val="000000"/>
          <w:kern w:val="2"/>
          <w:sz w:val="32"/>
          <w:szCs w:val="32"/>
          <w:lang w:val="en-US" w:eastAsia="zh-CN" w:bidi="ar"/>
        </w:rPr>
        <w:t>联系人：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质量监督科、</w:t>
      </w:r>
      <w:r>
        <w:rPr>
          <w:rFonts w:hint="eastAsia" w:ascii="仿宋_GB2312" w:hAnsi="宋体" w:eastAsia="仿宋_GB2312" w:cs="仿宋_GB2312"/>
          <w:color w:val="000000"/>
          <w:kern w:val="2"/>
          <w:sz w:val="32"/>
          <w:szCs w:val="32"/>
          <w:lang w:val="en-US" w:eastAsia="zh-CN" w:bidi="ar"/>
        </w:rPr>
        <w:t>吴福阳，联系电话：</w:t>
      </w: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0566-2617926。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412" w:firstLineChars="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632" w:firstLineChars="200"/>
        <w:jc w:val="left"/>
        <w:rPr>
          <w:rFonts w:hint="eastAsia" w:ascii="仿宋_GB2312" w:hAnsi="宋体" w:eastAsia="仿宋_GB2312" w:cs="仿宋_GB2312"/>
          <w:spacing w:val="-4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附件：</w:t>
      </w:r>
      <w:r>
        <w:rPr>
          <w:rFonts w:hint="eastAsia" w:ascii="仿宋_GB2312" w:hAnsi="宋体" w:eastAsia="仿宋_GB2312" w:cs="仿宋_GB2312"/>
          <w:spacing w:val="-11"/>
          <w:kern w:val="2"/>
          <w:sz w:val="32"/>
          <w:szCs w:val="32"/>
          <w:lang w:val="en-US" w:eastAsia="zh-CN" w:bidi="ar"/>
        </w:rPr>
        <w:t>1.贵池区市场监管局2024年区级产品质量监督抽查计划；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1580" w:firstLineChars="500"/>
        <w:jc w:val="left"/>
        <w:rPr>
          <w:rFonts w:hint="eastAsia" w:ascii="仿宋_GB2312" w:hAnsi="宋体" w:eastAsia="仿宋_GB2312" w:cs="仿宋_GB2312"/>
          <w:color w:val="000000"/>
          <w:szCs w:val="32"/>
          <w:lang w:val="en-US"/>
        </w:rPr>
      </w:pPr>
      <w:r>
        <w:rPr>
          <w:rFonts w:hint="eastAsia" w:ascii="仿宋_GB2312" w:hAnsi="宋体" w:eastAsia="仿宋_GB2312" w:cs="仿宋_GB2312"/>
          <w:color w:val="000000"/>
          <w:kern w:val="2"/>
          <w:sz w:val="32"/>
          <w:szCs w:val="32"/>
          <w:lang w:val="en-US" w:eastAsia="zh-CN" w:bidi="ar"/>
        </w:rPr>
        <w:t>2.未抽到样品企业情况说明表。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412" w:firstLineChars="200"/>
        <w:jc w:val="left"/>
        <w:rPr>
          <w:rFonts w:hint="eastAsia" w:ascii="仿宋_GB2312" w:hAnsi="宋体" w:eastAsia="仿宋_GB2312" w:cs="仿宋_GB2312"/>
          <w:color w:val="000000"/>
          <w:szCs w:val="32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412" w:firstLineChars="200"/>
        <w:jc w:val="left"/>
        <w:rPr>
          <w:rFonts w:hint="eastAsia" w:ascii="仿宋_GB2312" w:hAnsi="宋体" w:eastAsia="仿宋_GB2312" w:cs="仿宋_GB2312"/>
          <w:color w:val="000000"/>
          <w:szCs w:val="32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3792" w:firstLineChars="12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池州市贵池区市场监督管理局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 w:firstLine="4740" w:firstLineChars="1500"/>
        <w:jc w:val="left"/>
        <w:rPr>
          <w:rFonts w:hint="eastAsia" w:ascii="仿宋_GB2312" w:hAnsi="宋体" w:eastAsia="仿宋_GB2312" w:cs="仿宋_GB2312"/>
          <w:szCs w:val="32"/>
          <w:lang w:val="en-US"/>
        </w:rPr>
      </w:pPr>
      <w:r>
        <w:rPr>
          <w:rFonts w:hint="eastAsia" w:ascii="仿宋_GB2312" w:hAnsi="宋体" w:eastAsia="仿宋_GB2312" w:cs="仿宋_GB2312"/>
          <w:kern w:val="2"/>
          <w:sz w:val="32"/>
          <w:szCs w:val="32"/>
          <w:lang w:val="en-US" w:eastAsia="zh-CN" w:bidi="ar"/>
        </w:rPr>
        <w:t>2024年7月30日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仿宋_GB2312" w:eastAsia="仿宋_GB2312" w:cs="仿宋_GB2312"/>
          <w:lang w:val="en-US"/>
        </w:rPr>
      </w:pPr>
    </w:p>
    <w:bookmarkEnd w:id="1"/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仿宋_GB2312" w:hAnsi="仿宋" w:eastAsia="仿宋_GB2312" w:cs="仿宋_GB2312"/>
          <w:sz w:val="28"/>
          <w:szCs w:val="28"/>
          <w:lang w:val="en-US"/>
        </w:rPr>
      </w:pPr>
      <w:bookmarkStart w:id="3" w:name="End"/>
      <w:bookmarkEnd w:id="3"/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right="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31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Cs w:val="32"/>
          <w:lang w:val="en-US"/>
        </w:rPr>
      </w:pPr>
      <w:r>
        <w:rPr>
          <w:rFonts w:hint="eastAsia" w:ascii="仿宋_GB2312" w:hAnsi="仿宋" w:eastAsia="仿宋_GB2312" w:cs="宋体"/>
          <w:bCs/>
          <w:kern w:val="0"/>
          <w:position w:val="2"/>
          <w:sz w:val="32"/>
          <w:szCs w:val="32"/>
          <w:lang w:val="en-US" w:eastAsia="zh-CN" w:bidi="ar"/>
        </w:rPr>
        <w:t>（此页无正文）</w:t>
      </w: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left="0" w:right="0" w:firstLine="276" w:firstLineChars="100"/>
        <w:jc w:val="both"/>
        <w:rPr>
          <w:rFonts w:hint="eastAsia" w:ascii="仿宋_GB2312" w:hAnsi="仿宋" w:eastAsia="仿宋_GB2312" w:cs="宋体"/>
          <w:bCs/>
          <w:kern w:val="0"/>
          <w:position w:val="2"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tabs>
          <w:tab w:val="left" w:pos="7584"/>
          <w:tab w:val="left" w:pos="7742"/>
        </w:tabs>
        <w:spacing w:before="0" w:beforeAutospacing="0" w:after="0" w:afterAutospacing="0"/>
        <w:ind w:right="0"/>
        <w:jc w:val="both"/>
        <w:rPr>
          <w:rFonts w:hint="eastAsia" w:ascii="仿宋" w:hAnsi="仿宋" w:eastAsia="仿宋" w:cs="宋体"/>
          <w:bCs/>
          <w:kern w:val="0"/>
          <w:position w:val="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4"/>
          <w:lang w:val="en-US" w:eastAsia="zh-CN" w:bidi="a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970915</wp:posOffset>
                </wp:positionV>
                <wp:extent cx="6037580" cy="1133475"/>
                <wp:effectExtent l="4445" t="4445" r="15875" b="5080"/>
                <wp:wrapNone/>
                <wp:docPr id="6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7580" cy="1133475"/>
                          <a:chOff x="1337" y="9218"/>
                          <a:chExt cx="9346" cy="1785"/>
                        </a:xfrm>
                      </wpg:grpSpPr>
                      <wps:wsp>
                        <wps:cNvPr id="2" name="文本框 18"/>
                        <wps:cNvSpPr txBox="1"/>
                        <wps:spPr>
                          <a:xfrm>
                            <a:off x="1337" y="9218"/>
                            <a:ext cx="9346" cy="1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FFFF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widowControl w:val="0"/>
                                <w:suppressLineNumbers w:val="0"/>
                                <w:spacing w:before="0" w:beforeAutospacing="0" w:after="0" w:afterAutospacing="0"/>
                                <w:ind w:left="0" w:right="0"/>
                                <w:jc w:val="left"/>
                                <w:rPr>
                                  <w:rFonts w:hint="eastAsia" w:ascii="仿宋_GB2312" w:eastAsia="仿宋_GB2312" w:cs="仿宋_GB2312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hint="eastAsia" w:ascii="仿宋_GB2312" w:hAnsi="Times New Roman" w:eastAsia="仿宋_GB2312" w:cs="仿宋_GB2312"/>
                                  <w:kern w:val="2"/>
                                  <w:sz w:val="28"/>
                                  <w:szCs w:val="28"/>
                                  <w:lang w:val="en-US" w:eastAsia="zh-CN" w:bidi="ar"/>
                                </w:rPr>
                                <w:t>抄送：市市场监管局。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widowControl w:val="0"/>
                                <w:suppressLineNumbers w:val="0"/>
                                <w:spacing w:before="0" w:beforeAutospacing="0" w:after="0" w:afterAutospacing="0" w:line="600" w:lineRule="exact"/>
                                <w:ind w:left="0" w:right="0"/>
                                <w:jc w:val="left"/>
                                <w:rPr>
                                  <w:rFonts w:hint="eastAsia" w:ascii="仿宋_GB2312" w:hAnsi="宋体" w:eastAsia="仿宋_GB2312" w:cs="仿宋_GB2312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hint="eastAsia" w:ascii="仿宋_GB2312" w:hAnsi="仿宋" w:eastAsia="仿宋_GB2312" w:cs="宋体"/>
                                  <w:bCs/>
                                  <w:kern w:val="0"/>
                                  <w:position w:val="2"/>
                                  <w:sz w:val="28"/>
                                  <w:szCs w:val="28"/>
                                  <w:lang w:val="en-US" w:eastAsia="zh-CN" w:bidi="ar"/>
                                </w:rPr>
                                <w:t>池州市贵池区市场监督管理局　                　　</w:t>
                              </w:r>
                              <w:r>
                                <w:rPr>
                                  <w:rFonts w:hint="eastAsia" w:ascii="仿宋_GB2312" w:hAnsi="宋体" w:eastAsia="仿宋_GB2312" w:cs="仿宋_GB2312"/>
                                  <w:kern w:val="2"/>
                                  <w:sz w:val="28"/>
                                  <w:szCs w:val="28"/>
                                  <w:lang w:val="en-US" w:eastAsia="zh-CN" w:bidi="ar"/>
                                </w:rPr>
                                <w:t>2024年7月30日</w:t>
                              </w:r>
                              <w:r>
                                <w:rPr>
                                  <w:rFonts w:hint="eastAsia" w:ascii="仿宋_GB2312" w:hAnsi="仿宋" w:eastAsia="仿宋_GB2312" w:cs="宋体"/>
                                  <w:bCs/>
                                  <w:kern w:val="0"/>
                                  <w:position w:val="2"/>
                                  <w:sz w:val="28"/>
                                  <w:szCs w:val="28"/>
                                  <w:lang w:val="en-US" w:eastAsia="zh-CN" w:bidi="ar"/>
                                </w:rPr>
                                <w:t>印发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" name="自选图形 19"/>
                        <wps:cNvCnPr/>
                        <wps:spPr>
                          <a:xfrm>
                            <a:off x="1337" y="9315"/>
                            <a:ext cx="9346" cy="0"/>
                          </a:xfrm>
                          <a:prstGeom prst="straightConnector1">
                            <a:avLst/>
                          </a:prstGeom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4" name="自选图形 20"/>
                        <wps:cNvCnPr/>
                        <wps:spPr>
                          <a:xfrm>
                            <a:off x="1337" y="10440"/>
                            <a:ext cx="9346" cy="0"/>
                          </a:xfrm>
                          <a:prstGeom prst="straightConnector1">
                            <a:avLst/>
                          </a:prstGeom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5" name="自选图形 21"/>
                        <wps:cNvCnPr/>
                        <wps:spPr>
                          <a:xfrm>
                            <a:off x="1337" y="9870"/>
                            <a:ext cx="9346" cy="0"/>
                          </a:xfrm>
                          <a:prstGeom prst="straightConnector1">
                            <a:avLst/>
                          </a:prstGeom>
                          <a:ln w="90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7" o:spid="_x0000_s1026" o:spt="203" style="position:absolute;left:0pt;margin-left:-17.05pt;margin-top:76.45pt;height:89.25pt;width:475.4pt;z-index:251659264;mso-width-relative:page;mso-height-relative:page;" coordorigin="1337,9218" coordsize="9346,1785" o:gfxdata="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">
                <o:lock v:ext="edit" aspectratio="f"/>
                <v:shape id="文本框 18" o:spid="_x0000_s1026" o:spt="202" type="#_x0000_t202" style="position:absolute;left:1337;top:9218;height:1785;width:9346;" fillcolor="#FFFFFF" filled="t" stroked="t" coordsize="21600,21600" o:gfxdata="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Wmj9K5AAAA2gAA&#10;AA8AAAAAAAAAAQAgAAAAIgAAAGRycy9kb3ducmV2LnhtbFBLAQIUABQAAAAIAIdO4kAzLwWeOwAA&#10;ADkAAAAQAAAAAAAAAAEAIAAAAAgBAABkcnMvc2hhcGV4bWwueG1sUEsFBgAAAAAGAAYAWwEAALID&#10;AAAAAA==&#10;">
                  <v:fill on="t" focussize="0,0"/>
                  <v:stroke color="#FFFFFF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widowControl w:val="0"/>
                          <w:suppressLineNumbers w:val="0"/>
                          <w:spacing w:before="0" w:beforeAutospacing="0" w:after="0" w:afterAutospacing="0"/>
                          <w:ind w:left="0" w:right="0"/>
                          <w:jc w:val="left"/>
                          <w:rPr>
                            <w:rFonts w:hint="eastAsia" w:ascii="仿宋_GB2312" w:eastAsia="仿宋_GB2312" w:cs="仿宋_GB2312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hint="eastAsia" w:ascii="仿宋_GB2312" w:hAnsi="Times New Roman" w:eastAsia="仿宋_GB2312" w:cs="仿宋_GB2312"/>
                            <w:kern w:val="2"/>
                            <w:sz w:val="28"/>
                            <w:szCs w:val="28"/>
                            <w:lang w:val="en-US" w:eastAsia="zh-CN" w:bidi="ar"/>
                          </w:rPr>
                          <w:t>抄送：市市场监管局。</w:t>
                        </w:r>
                      </w:p>
                      <w:p>
                        <w:pPr>
                          <w:keepNext w:val="0"/>
                          <w:keepLines w:val="0"/>
                          <w:widowControl w:val="0"/>
                          <w:suppressLineNumbers w:val="0"/>
                          <w:spacing w:before="0" w:beforeAutospacing="0" w:after="0" w:afterAutospacing="0" w:line="600" w:lineRule="exact"/>
                          <w:ind w:left="0" w:right="0"/>
                          <w:jc w:val="left"/>
                          <w:rPr>
                            <w:rFonts w:hint="eastAsia" w:ascii="仿宋_GB2312" w:hAnsi="宋体" w:eastAsia="仿宋_GB2312" w:cs="仿宋_GB2312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hint="eastAsia" w:ascii="仿宋_GB2312" w:hAnsi="仿宋" w:eastAsia="仿宋_GB2312" w:cs="宋体"/>
                            <w:bCs/>
                            <w:kern w:val="0"/>
                            <w:position w:val="2"/>
                            <w:sz w:val="28"/>
                            <w:szCs w:val="28"/>
                            <w:lang w:val="en-US" w:eastAsia="zh-CN" w:bidi="ar"/>
                          </w:rPr>
                          <w:t>池州市贵池区市场监督管理局　                　　</w:t>
                        </w:r>
                        <w:r>
                          <w:rPr>
                            <w:rFonts w:hint="eastAsia" w:ascii="仿宋_GB2312" w:hAnsi="宋体" w:eastAsia="仿宋_GB2312" w:cs="仿宋_GB2312"/>
                            <w:kern w:val="2"/>
                            <w:sz w:val="28"/>
                            <w:szCs w:val="28"/>
                            <w:lang w:val="en-US" w:eastAsia="zh-CN" w:bidi="ar"/>
                          </w:rPr>
                          <w:t>2024年7月30日</w:t>
                        </w:r>
                        <w:r>
                          <w:rPr>
                            <w:rFonts w:hint="eastAsia" w:ascii="仿宋_GB2312" w:hAnsi="仿宋" w:eastAsia="仿宋_GB2312" w:cs="宋体"/>
                            <w:bCs/>
                            <w:kern w:val="0"/>
                            <w:position w:val="2"/>
                            <w:sz w:val="28"/>
                            <w:szCs w:val="28"/>
                            <w:lang w:val="en-US" w:eastAsia="zh-CN" w:bidi="ar"/>
                          </w:rPr>
                          <w:t>印发</w:t>
                        </w:r>
                      </w:p>
                    </w:txbxContent>
                  </v:textbox>
                </v:shape>
                <v:shape id="自选图形 19" o:spid="_x0000_s1026" o:spt="32" type="#_x0000_t32" style="position:absolute;left:1337;top:9315;height:0;width:9346;" filled="f" stroked="t" coordsize="21600,21600" o:gfxdata="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6bVCbsAAADa&#10;AAAADwAAAAAAAAABACAAAAAiAAAAZHJzL2Rvd25yZXYueG1sUEsBAhQAFAAAAAgAh07iQDMvBZ47&#10;AAAAOQAAABAAAAAAAAAAAQAgAAAACgEAAGRycy9zaGFwZXhtbC54bWxQSwUGAAAAAAYABgBbAQAA&#10;tAMAAAAA&#10;">
                  <v:fill on="f" focussize="0,0"/>
                  <v:stroke weight="1.5pt" color="#000000" joinstyle="round"/>
                  <v:imagedata o:title=""/>
                  <o:lock v:ext="edit" aspectratio="f"/>
                </v:shape>
                <v:shape id="自选图形 20" o:spid="_x0000_s1026" o:spt="32" type="#_x0000_t32" style="position:absolute;left:1337;top:10440;height:0;width:9346;" filled="f" stroked="t" coordsize="21600,21600" o:gfxdata="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E9NfbsAAADa&#10;AAAADwAAAAAAAAABACAAAAAiAAAAZHJzL2Rvd25yZXYueG1sUEsBAhQAFAAAAAgAh07iQDMvBZ47&#10;AAAAOQAAABAAAAAAAAAAAQAgAAAACgEAAGRycy9zaGFwZXhtbC54bWxQSwUGAAAAAAYABgBbAQAA&#10;tAMAAAAA&#10;">
                  <v:fill on="f" focussize="0,0"/>
                  <v:stroke weight="1.5pt" color="#000000" joinstyle="round"/>
                  <v:imagedata o:title=""/>
                  <o:lock v:ext="edit" aspectratio="f"/>
                </v:shape>
                <v:shape id="自选图形 21" o:spid="_x0000_s1026" o:spt="32" type="#_x0000_t32" style="position:absolute;left:1337;top:9870;height:0;width:9346;" filled="f" stroked="t" coordsize="21600,21600" o:gfxdata="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O/oNL4A&#10;AADaAAAADwAAAAAAAAABACAAAAAiAAAAZHJzL2Rvd25yZXYueG1sUEsBAhQAFAAAAAgAh07iQDMv&#10;BZ47AAAAOQAAABAAAAAAAAAAAQAgAAAADQEAAGRycy9zaGFwZXhtbC54bWxQSwUGAAAAAAYABgBb&#10;AQAAtwMAAAAA&#10;">
                  <v:fill on="f" focussize="0,0"/>
                  <v:stroke weight="0.708661417322835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/>
    <w:p/>
    <w:p>
      <w:pPr>
        <w:sectPr>
          <w:pgSz w:w="11906" w:h="16838"/>
          <w:pgMar w:top="2098" w:right="1474" w:bottom="1985" w:left="1588" w:header="851" w:footer="1135" w:gutter="0"/>
          <w:pgNumType w:fmt="numberInDash"/>
          <w:cols w:space="425" w:num="1"/>
          <w:docGrid w:type="linesAndChars" w:linePitch="579" w:charSpace="-849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贵池区市场监管局2024年区级产品质量监督抽查计划</w:t>
      </w:r>
    </w:p>
    <w:tbl>
      <w:tblPr>
        <w:tblStyle w:val="2"/>
        <w:tblW w:w="145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638"/>
        <w:gridCol w:w="4361"/>
        <w:gridCol w:w="1843"/>
        <w:gridCol w:w="1842"/>
        <w:gridCol w:w="1701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产品名称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计划组数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抽查领域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抽查时间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16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燃气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器具</w:t>
            </w: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燃气灶具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tabs>
                <w:tab w:val="left" w:pos="6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连接软管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调压器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可燃气体探测器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28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6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电动自行车及其配件</w:t>
            </w: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电动自行车整车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28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电动自行车充电器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7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电动自行车电池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8</w:t>
            </w:r>
          </w:p>
        </w:tc>
        <w:tc>
          <w:tcPr>
            <w:tcW w:w="16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危险化学品</w:t>
            </w: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液化石油气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9</w:t>
            </w:r>
          </w:p>
        </w:tc>
        <w:tc>
          <w:tcPr>
            <w:tcW w:w="16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车用汽、柴油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10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消防产品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11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食品相关产品（含塑料制品）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10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含风险监测1组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12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纤维制品（含纺织品服装、校服、棉胎、鞋帽等）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含风险监测1组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产品名称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计划组数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抽查领域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抽查时间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学生用品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14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儿童玩具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含风险监测1组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15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卫生用品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16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农业生产资料（肥料）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10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含风险监测1组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17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建筑钢筋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18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电线电缆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19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人造板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油漆、涂料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生产、流通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21</w:t>
            </w:r>
          </w:p>
        </w:tc>
        <w:tc>
          <w:tcPr>
            <w:tcW w:w="5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开关插座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流通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第三季度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68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合计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108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spacing w:after="156" w:afterLines="50"/>
        <w:ind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注：本抽查计划可根据上级部门、政府重点工作、专项整治及日常监管等工作要求，作适当调整。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制表：质量监督科日期：2024年7月15日</w:t>
      </w:r>
    </w:p>
    <w:p>
      <w:pPr>
        <w:sectPr>
          <w:pgSz w:w="16838" w:h="11906" w:orient="landscape"/>
          <w:pgMar w:top="1247" w:right="1247" w:bottom="1247" w:left="1474" w:header="851" w:footer="992" w:gutter="0"/>
          <w:cols w:space="720" w:num="1"/>
          <w:docGrid w:type="lines" w:linePitch="312" w:charSpace="0"/>
        </w:sectPr>
      </w:pPr>
    </w:p>
    <w:p>
      <w:pPr>
        <w:spacing w:line="560" w:lineRule="exact"/>
        <w:jc w:val="left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未抽到样品企业情况说明表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3009"/>
        <w:gridCol w:w="44"/>
        <w:gridCol w:w="1578"/>
        <w:gridCol w:w="234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任务来源</w:t>
            </w:r>
          </w:p>
        </w:tc>
        <w:tc>
          <w:tcPr>
            <w:tcW w:w="30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任务类别</w:t>
            </w:r>
          </w:p>
        </w:tc>
        <w:tc>
          <w:tcPr>
            <w:tcW w:w="2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抽查产品</w:t>
            </w:r>
          </w:p>
        </w:tc>
        <w:tc>
          <w:tcPr>
            <w:tcW w:w="30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抽样时间</w:t>
            </w:r>
          </w:p>
        </w:tc>
        <w:tc>
          <w:tcPr>
            <w:tcW w:w="2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年月日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企业名称</w:t>
            </w:r>
          </w:p>
        </w:tc>
        <w:tc>
          <w:tcPr>
            <w:tcW w:w="69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企业地址</w:t>
            </w:r>
          </w:p>
        </w:tc>
        <w:tc>
          <w:tcPr>
            <w:tcW w:w="69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企业联系人</w:t>
            </w:r>
          </w:p>
        </w:tc>
        <w:tc>
          <w:tcPr>
            <w:tcW w:w="30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联系电话</w:t>
            </w:r>
          </w:p>
        </w:tc>
        <w:tc>
          <w:tcPr>
            <w:tcW w:w="2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74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未抽到样品原因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  <w:jc w:val="center"/>
        </w:trPr>
        <w:tc>
          <w:tcPr>
            <w:tcW w:w="874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hAnsi="宋体"/>
                <w:sz w:val="24"/>
              </w:rPr>
              <w:t>企业：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倒闭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注销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停产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转产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全部用于出口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非本行政区划内企业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 w:firstLine="840" w:firstLineChars="350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通过前期核查，未走访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产品不在本次抽查范围内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库存、基数不足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 w:firstLine="840" w:firstLineChars="350"/>
              <w:rPr>
                <w:rFonts w:hint="default"/>
                <w:spacing w:val="-10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企业整改中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非生产企业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企业地址不准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 w:hAnsi="宋体"/>
                <w:sz w:val="24"/>
              </w:rPr>
              <w:t>其他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1" w:hRule="atLeast"/>
          <w:jc w:val="center"/>
        </w:trPr>
        <w:tc>
          <w:tcPr>
            <w:tcW w:w="874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（过程简要描述）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抽样人员签字：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5" w:hRule="atLeast"/>
          <w:jc w:val="center"/>
        </w:trPr>
        <w:tc>
          <w:tcPr>
            <w:tcW w:w="482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企业所在地市场监督管理部门意见：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（单位印章）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年</w:t>
            </w:r>
            <w:r>
              <w:rPr>
                <w:rFonts w:hint="eastAsia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hAnsi="宋体"/>
                <w:sz w:val="24"/>
              </w:rPr>
              <w:t>月</w:t>
            </w:r>
            <w:r>
              <w:rPr>
                <w:rFonts w:hint="eastAsia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hAnsi="宋体"/>
                <w:sz w:val="24"/>
              </w:rPr>
              <w:t>日</w:t>
            </w:r>
          </w:p>
        </w:tc>
        <w:tc>
          <w:tcPr>
            <w:tcW w:w="39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企业负责人：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eastAsia" w:hAnsi="宋体" w:eastAsiaTheme="minorEastAsia"/>
                <w:sz w:val="24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（受检单位公章）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12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hAnsi="宋体"/>
                <w:sz w:val="24"/>
              </w:rPr>
              <w:t>年</w:t>
            </w:r>
            <w:r>
              <w:rPr>
                <w:rFonts w:hint="eastAsia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hAnsi="宋体"/>
                <w:sz w:val="24"/>
              </w:rPr>
              <w:t>月</w:t>
            </w:r>
            <w:r>
              <w:rPr>
                <w:rFonts w:hint="eastAsia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hAnsi="宋体"/>
                <w:sz w:val="24"/>
              </w:rPr>
              <w:t>日</w:t>
            </w:r>
          </w:p>
        </w:tc>
      </w:tr>
    </w:tbl>
    <w:p>
      <w:pPr>
        <w:spacing w:line="380" w:lineRule="exact"/>
        <w:ind w:firstLine="482" w:firstLineChars="200"/>
        <w:rPr>
          <w:sz w:val="24"/>
        </w:rPr>
      </w:pPr>
      <w:r>
        <w:rPr>
          <w:rFonts w:hint="eastAsia" w:hAnsi="宋体"/>
          <w:b/>
          <w:sz w:val="24"/>
        </w:rPr>
        <w:t>填表说明：</w:t>
      </w:r>
      <w:r>
        <w:rPr>
          <w:sz w:val="24"/>
        </w:rPr>
        <w:t>1.</w:t>
      </w:r>
      <w:r>
        <w:rPr>
          <w:rFonts w:hint="eastAsia" w:hAnsi="宋体"/>
          <w:sz w:val="24"/>
        </w:rPr>
        <w:t>企业转产、停产、破产等原因导致无样品可以抽取的，填写《未抽到样品企业情况说明表》，应经企业所在地市场监管所确认盖章。</w:t>
      </w:r>
    </w:p>
    <w:p>
      <w:pPr>
        <w:spacing w:line="380" w:lineRule="exact"/>
        <w:ind w:firstLine="480" w:firstLineChars="200"/>
        <w:rPr>
          <w:rFonts w:hint="eastAsia" w:eastAsiaTheme="minorEastAsia"/>
          <w:lang w:val="en-US" w:eastAsia="zh-CN"/>
        </w:rPr>
      </w:pPr>
      <w:r>
        <w:rPr>
          <w:sz w:val="24"/>
        </w:rPr>
        <w:t>2.</w:t>
      </w:r>
      <w:r>
        <w:rPr>
          <w:rFonts w:hint="eastAsia" w:hAnsi="宋体"/>
          <w:sz w:val="24"/>
        </w:rPr>
        <w:t>企业产品不满足抽样要求的（如抽样基数、库存不足，出口产品，阶段性停产等情况），填写《未抽到样品企业情况说明表》，不需要经企业所在地市场监督管理部门确认盖章。</w:t>
      </w:r>
    </w:p>
    <w:p/>
    <w:sectPr>
      <w:pgSz w:w="11907" w:h="16840"/>
      <w:pgMar w:top="2098" w:right="1474" w:bottom="1928" w:left="1588" w:header="851" w:footer="153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4MzFkNmM0NDU0MTBkNjEyM2ZlNDhiOGI1M2NlOTkifQ=="/>
  </w:docVars>
  <w:rsids>
    <w:rsidRoot w:val="4AE975F8"/>
    <w:rsid w:val="4AE9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2024-08-05T02:51:00Z</dcterms:created>
  <dc:creator>孙蕾</dc:creator>
  <cp:lastModifiedBy>孙蕾</cp:lastModifiedBy>
  <dcterms:modified xsi:type="dcterms:W3CDTF">2024-08-05T02:51:39Z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DDC5E378B0D34103A070848397D7BAF2_11</vt:lpwstr>
  </property>
</Properties>
</file>