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0" w:beforeAutospacing="0" w:after="0" w:afterAutospacing="0" w:line="320" w:lineRule="exact"/>
        <w:ind w:left="0" w:right="0"/>
        <w:jc w:val="both"/>
        <w:rPr>
          <w:rFonts w:hint="eastAsia" w:ascii="楷体" w:hAnsi="楷体" w:eastAsia="楷体" w:cs="楷体"/>
          <w:lang w:val="en-US"/>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60" w:lineRule="exact"/>
        <w:ind w:left="0" w:right="0"/>
        <w:jc w:val="both"/>
        <w:textAlignment w:val="auto"/>
        <w:rPr>
          <w:rFonts w:hint="eastAsia" w:ascii="楷体" w:hAnsi="楷体" w:eastAsia="楷体" w:cs="楷体"/>
          <w:lang w:val="en-US"/>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660" w:lineRule="exact"/>
        <w:ind w:left="0" w:right="0"/>
        <w:jc w:val="center"/>
        <w:textAlignment w:val="auto"/>
        <w:rPr>
          <w:rFonts w:hint="eastAsia" w:ascii="方正小标宋简体" w:hAnsi="方正小标宋简体" w:eastAsia="方正小标宋简体" w:cs="方正小标宋简体"/>
          <w:kern w:val="2"/>
          <w:sz w:val="44"/>
          <w:szCs w:val="44"/>
          <w:vertAlign w:val="baseline"/>
          <w:lang w:val="en-US" w:eastAsia="zh-CN" w:bidi="ar"/>
        </w:rPr>
      </w:pPr>
      <w:r>
        <w:rPr>
          <w:rFonts w:hint="eastAsia" w:ascii="方正小标宋简体" w:hAnsi="方正小标宋简体" w:eastAsia="方正小标宋简体" w:cs="方正小标宋简体"/>
          <w:kern w:val="2"/>
          <w:sz w:val="44"/>
          <w:szCs w:val="44"/>
          <w:vertAlign w:val="baseline"/>
          <w:lang w:val="en-US" w:eastAsia="zh-CN" w:bidi="ar"/>
        </w:rPr>
        <w:t>关于印发贵池区2024年药品安全</w:t>
      </w:r>
    </w:p>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660" w:lineRule="exact"/>
        <w:ind w:left="0" w:right="0"/>
        <w:jc w:val="center"/>
        <w:textAlignment w:val="baseline"/>
        <w:rPr>
          <w:rFonts w:hint="eastAsia" w:ascii="方正小标宋简体" w:hAnsi="方正小标宋简体" w:eastAsia="方正小标宋简体" w:cs="方正小标宋简体"/>
          <w:sz w:val="44"/>
          <w:szCs w:val="44"/>
          <w:vertAlign w:val="baseline"/>
          <w:lang w:val="en-US"/>
        </w:rPr>
      </w:pPr>
      <w:r>
        <w:rPr>
          <w:rFonts w:hint="eastAsia" w:ascii="方正小标宋简体" w:hAnsi="方正小标宋简体" w:eastAsia="方正小标宋简体" w:cs="方正小标宋简体"/>
          <w:kern w:val="2"/>
          <w:sz w:val="44"/>
          <w:szCs w:val="44"/>
          <w:vertAlign w:val="baseline"/>
          <w:lang w:val="en-US" w:eastAsia="zh-CN" w:bidi="ar"/>
        </w:rPr>
        <w:t>工作要点的通知</w:t>
      </w:r>
    </w:p>
    <w:p>
      <w:pPr>
        <w:keepNext w:val="0"/>
        <w:keepLines w:val="0"/>
        <w:widowControl w:val="0"/>
        <w:suppressLineNumbers w:val="0"/>
        <w:spacing w:before="0" w:beforeAutospacing="0" w:after="0" w:afterAutospacing="0" w:line="500" w:lineRule="exact"/>
        <w:ind w:left="0" w:right="0"/>
        <w:jc w:val="center"/>
        <w:rPr>
          <w:rFonts w:hint="eastAsia" w:ascii="仿宋_GB2312" w:hAnsi="楷体" w:eastAsia="仿宋_GB2312" w:cs="仿宋_GB2312"/>
          <w:kern w:val="2"/>
          <w:sz w:val="32"/>
          <w:szCs w:val="24"/>
          <w:lang w:val="en-US" w:eastAsia="zh-CN" w:bidi="ar"/>
        </w:rPr>
      </w:pPr>
      <w:bookmarkStart w:id="0" w:name="发文字号"/>
    </w:p>
    <w:p>
      <w:pPr>
        <w:keepNext w:val="0"/>
        <w:keepLines w:val="0"/>
        <w:widowControl w:val="0"/>
        <w:suppressLineNumbers w:val="0"/>
        <w:spacing w:before="0" w:beforeAutospacing="0" w:after="0" w:afterAutospacing="0" w:line="500" w:lineRule="exact"/>
        <w:ind w:left="0" w:right="0"/>
        <w:jc w:val="center"/>
        <w:rPr>
          <w:rFonts w:hint="eastAsia" w:ascii="楷体" w:hAnsi="楷体" w:eastAsia="楷体" w:cs="楷体"/>
          <w:lang w:val="en-US"/>
        </w:rPr>
      </w:pPr>
      <w:r>
        <w:rPr>
          <w:rFonts w:hint="eastAsia" w:ascii="仿宋_GB2312" w:hAnsi="楷体" w:eastAsia="仿宋_GB2312" w:cs="仿宋_GB2312"/>
          <w:kern w:val="2"/>
          <w:sz w:val="32"/>
          <w:szCs w:val="24"/>
          <w:lang w:val="en-US" w:eastAsia="zh-CN" w:bidi="ar"/>
        </w:rPr>
        <w:t>贵药安委办〔2024〕2号</w:t>
      </w:r>
      <w:bookmarkEnd w:id="0"/>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firstLine="640" w:firstLineChars="200"/>
        <w:jc w:val="both"/>
        <w:textAlignment w:val="baseline"/>
        <w:rPr>
          <w:rFonts w:hint="eastAsia" w:ascii="仿宋_GB2312" w:hAnsi="仿宋_GB2312" w:eastAsia="仿宋_GB2312" w:cs="仿宋_GB2312"/>
          <w:sz w:val="32"/>
          <w:szCs w:val="32"/>
          <w:vertAlign w:val="baseline"/>
          <w:lang w:val="en-US"/>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sz w:val="32"/>
          <w:szCs w:val="32"/>
          <w:vertAlign w:val="baseline"/>
          <w:lang w:val="en-US"/>
        </w:rPr>
      </w:pPr>
      <w:r>
        <w:rPr>
          <w:rFonts w:hint="eastAsia" w:ascii="仿宋_GB2312" w:hAnsi="仿宋_GB2312" w:eastAsia="仿宋_GB2312" w:cs="仿宋_GB2312"/>
          <w:kern w:val="2"/>
          <w:sz w:val="32"/>
          <w:szCs w:val="32"/>
          <w:vertAlign w:val="baseline"/>
          <w:lang w:val="en-US" w:eastAsia="zh-CN" w:bidi="ar"/>
        </w:rPr>
        <w:t>区药安委各成员单位：</w:t>
      </w: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firstLine="640" w:firstLineChars="200"/>
        <w:jc w:val="both"/>
        <w:textAlignment w:val="baseline"/>
        <w:rPr>
          <w:rFonts w:hint="eastAsia" w:ascii="仿宋_GB2312" w:hAnsi="仿宋_GB2312" w:eastAsia="仿宋_GB2312" w:cs="仿宋_GB2312"/>
          <w:sz w:val="32"/>
          <w:szCs w:val="32"/>
          <w:vertAlign w:val="baseline"/>
          <w:lang w:val="en-US"/>
        </w:rPr>
      </w:pPr>
      <w:r>
        <w:rPr>
          <w:rFonts w:hint="eastAsia" w:ascii="仿宋_GB2312" w:hAnsi="仿宋_GB2312" w:eastAsia="仿宋_GB2312" w:cs="仿宋_GB2312"/>
          <w:kern w:val="2"/>
          <w:sz w:val="32"/>
          <w:szCs w:val="32"/>
          <w:vertAlign w:val="baseline"/>
          <w:lang w:val="en-US" w:eastAsia="zh-CN" w:bidi="ar"/>
        </w:rPr>
        <w:t>经区政府同意，现将《贵池区2024年药品安全工作要点》印发给你们，请结合本部门职责，认真贯彻执行。</w:t>
      </w: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firstLine="640" w:firstLineChars="200"/>
        <w:jc w:val="both"/>
        <w:textAlignment w:val="baseline"/>
        <w:rPr>
          <w:rFonts w:hint="eastAsia" w:ascii="仿宋_GB2312" w:hAnsi="仿宋_GB2312" w:eastAsia="仿宋_GB2312" w:cs="仿宋_GB2312"/>
          <w:sz w:val="32"/>
          <w:szCs w:val="32"/>
          <w:vertAlign w:val="baseline"/>
          <w:lang w:val="en-US"/>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sz w:val="32"/>
          <w:szCs w:val="32"/>
          <w:vertAlign w:val="baseline"/>
          <w:lang w:val="en-US"/>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firstLine="640" w:firstLineChars="200"/>
        <w:jc w:val="both"/>
        <w:textAlignment w:val="baseline"/>
        <w:rPr>
          <w:rFonts w:hint="eastAsia" w:ascii="仿宋_GB2312" w:hAnsi="仿宋_GB2312" w:eastAsia="仿宋_GB2312" w:cs="仿宋_GB2312"/>
          <w:sz w:val="32"/>
          <w:szCs w:val="32"/>
          <w:vertAlign w:val="baseline"/>
          <w:lang w:val="en-US"/>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firstLine="2880" w:firstLineChars="900"/>
        <w:jc w:val="both"/>
        <w:textAlignment w:val="baseline"/>
        <w:rPr>
          <w:rFonts w:hint="eastAsia" w:ascii="仿宋_GB2312" w:hAnsi="仿宋_GB2312" w:eastAsia="仿宋_GB2312" w:cs="仿宋_GB2312"/>
          <w:sz w:val="32"/>
          <w:szCs w:val="32"/>
          <w:vertAlign w:val="baseline"/>
          <w:lang w:val="en-US"/>
        </w:rPr>
      </w:pPr>
      <w:r>
        <w:rPr>
          <w:rFonts w:hint="eastAsia" w:ascii="仿宋_GB2312" w:hAnsi="仿宋_GB2312" w:eastAsia="仿宋_GB2312" w:cs="仿宋_GB2312"/>
          <w:kern w:val="2"/>
          <w:sz w:val="32"/>
          <w:szCs w:val="32"/>
          <w:vertAlign w:val="baseline"/>
          <w:lang w:val="en-US" w:eastAsia="zh-CN" w:bidi="ar"/>
        </w:rPr>
        <w:t>池州市贵池区药品安全委员会办公室</w:t>
      </w: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firstLine="4480" w:firstLineChars="1400"/>
        <w:jc w:val="both"/>
        <w:textAlignment w:val="baseline"/>
        <w:rPr>
          <w:rFonts w:hint="eastAsia" w:ascii="仿宋_GB2312" w:hAnsi="仿宋_GB2312" w:eastAsia="仿宋_GB2312" w:cs="仿宋_GB2312"/>
          <w:sz w:val="32"/>
          <w:szCs w:val="32"/>
          <w:vertAlign w:val="baseline"/>
          <w:lang w:val="en-US"/>
        </w:rPr>
      </w:pPr>
      <w:r>
        <w:rPr>
          <w:rFonts w:hint="eastAsia" w:ascii="仿宋_GB2312" w:hAnsi="仿宋_GB2312" w:eastAsia="仿宋_GB2312" w:cs="仿宋_GB2312"/>
          <w:kern w:val="2"/>
          <w:sz w:val="32"/>
          <w:szCs w:val="32"/>
          <w:vertAlign w:val="baseline"/>
          <w:lang w:val="en-US" w:eastAsia="zh-CN" w:bidi="ar"/>
        </w:rPr>
        <w:t>2024年5月23日</w:t>
      </w: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firstLine="640" w:firstLineChars="200"/>
        <w:jc w:val="both"/>
        <w:textAlignment w:val="baseline"/>
        <w:rPr>
          <w:rFonts w:hint="eastAsia" w:ascii="仿宋_GB2312" w:hAnsi="仿宋_GB2312" w:eastAsia="仿宋_GB2312" w:cs="仿宋_GB2312"/>
          <w:sz w:val="32"/>
          <w:szCs w:val="32"/>
          <w:vertAlign w:val="baseline"/>
          <w:lang w:val="en-US"/>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sz w:val="32"/>
          <w:szCs w:val="32"/>
          <w:vertAlign w:val="baseline"/>
          <w:lang w:val="en-US"/>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sz w:val="32"/>
          <w:szCs w:val="32"/>
          <w:vertAlign w:val="baseline"/>
          <w:lang w:val="en-US"/>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600" w:lineRule="exact"/>
        <w:ind w:left="0" w:right="0" w:firstLine="640" w:firstLineChars="200"/>
        <w:jc w:val="left"/>
        <w:textAlignment w:val="baseline"/>
        <w:rPr>
          <w:rFonts w:hint="eastAsia" w:ascii="仿宋_GB2312" w:hAnsi="仿宋_GB2312" w:eastAsia="仿宋_GB2312" w:cs="仿宋_GB2312"/>
          <w:kern w:val="2"/>
          <w:sz w:val="32"/>
          <w:szCs w:val="32"/>
          <w:vertAlign w:val="baseline"/>
          <w:lang w:val="en-US" w:eastAsia="zh-CN" w:bidi="ar"/>
        </w:rPr>
      </w:pPr>
      <w:r>
        <w:rPr>
          <w:rFonts w:hint="eastAsia" w:ascii="仿宋_GB2312" w:hAnsi="仿宋_GB2312" w:eastAsia="仿宋_GB2312" w:cs="仿宋_GB2312"/>
          <w:kern w:val="2"/>
          <w:sz w:val="32"/>
          <w:szCs w:val="32"/>
          <w:vertAlign w:val="baseline"/>
          <w:lang w:val="en-US" w:eastAsia="zh-CN" w:bidi="ar"/>
        </w:rPr>
        <w:t>（此页无正文）</w:t>
      </w: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bookmarkStart w:id="1" w:name="_GoBack"/>
      <w:bookmarkEnd w:id="1"/>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keepNext w:val="0"/>
        <w:keepLines w:val="0"/>
        <w:widowControl/>
        <w:suppressLineNumbers w:val="0"/>
        <w:kinsoku w:val="0"/>
        <w:autoSpaceDE w:val="0"/>
        <w:autoSpaceDN w:val="0"/>
        <w:adjustRightInd w:val="0"/>
        <w:snapToGrid w:val="0"/>
        <w:spacing w:before="0" w:beforeAutospacing="0" w:after="0" w:afterAutospacing="0" w:line="600" w:lineRule="exact"/>
        <w:ind w:left="0" w:right="0"/>
        <w:jc w:val="both"/>
        <w:textAlignment w:val="baseline"/>
        <w:rPr>
          <w:rFonts w:hint="eastAsia" w:ascii="仿宋_GB2312" w:hAnsi="仿宋_GB2312" w:eastAsia="仿宋_GB2312" w:cs="仿宋_GB2312"/>
          <w:kern w:val="2"/>
          <w:sz w:val="32"/>
          <w:szCs w:val="32"/>
          <w:vertAlign w:val="baseline"/>
          <w:lang w:val="en-US" w:eastAsia="zh-CN" w:bidi="ar"/>
        </w:rPr>
      </w:pPr>
    </w:p>
    <w:p>
      <w:pPr>
        <w:spacing w:line="600" w:lineRule="exact"/>
        <w:jc w:val="left"/>
        <w:rPr>
          <w:rFonts w:hint="eastAsia" w:ascii="仿宋_GB2312" w:hAnsi="仿宋_GB2312" w:eastAsia="仿宋_GB2312" w:cs="仿宋_GB2312"/>
          <w:spacing w:val="0"/>
          <w:w w:val="100"/>
          <w:position w:val="0"/>
          <w:sz w:val="28"/>
          <w:szCs w:val="28"/>
        </w:rPr>
      </w:pPr>
    </w:p>
    <w:p>
      <w:pPr>
        <w:spacing w:line="600" w:lineRule="exact"/>
        <w:jc w:val="left"/>
        <w:rPr>
          <w:rFonts w:hint="eastAsia" w:ascii="仿宋_GB2312" w:hAnsi="仿宋_GB2312" w:eastAsia="仿宋_GB2312" w:cs="仿宋_GB2312"/>
          <w:spacing w:val="0"/>
          <w:w w:val="100"/>
          <w:kern w:val="2"/>
          <w:position w:val="0"/>
          <w:sz w:val="28"/>
          <w:szCs w:val="28"/>
          <w:vertAlign w:val="baseline"/>
          <w:lang w:val="en-US" w:eastAsia="zh-CN" w:bidi="ar"/>
        </w:rPr>
      </w:pPr>
      <w:r>
        <w:rPr>
          <w:rFonts w:hint="eastAsia" w:ascii="仿宋_GB2312" w:hAnsi="仿宋_GB2312" w:eastAsia="仿宋_GB2312" w:cs="仿宋_GB2312"/>
          <w:spacing w:val="0"/>
          <w:w w:val="100"/>
          <w:position w:val="0"/>
          <w:sz w:val="28"/>
          <w:szCs w:val="28"/>
        </w:rPr>
        <mc:AlternateContent>
          <mc:Choice Requires="wps">
            <w:drawing>
              <wp:anchor distT="0" distB="0" distL="114300" distR="114300" simplePos="0" relativeHeight="251660288" behindDoc="0" locked="0" layoutInCell="1" allowOverlap="1">
                <wp:simplePos x="0" y="0"/>
                <wp:positionH relativeFrom="column">
                  <wp:posOffset>-47625</wp:posOffset>
                </wp:positionH>
                <wp:positionV relativeFrom="paragraph">
                  <wp:posOffset>6350</wp:posOffset>
                </wp:positionV>
                <wp:extent cx="5400040" cy="0"/>
                <wp:effectExtent l="0" t="9525" r="10160" b="9525"/>
                <wp:wrapNone/>
                <wp:docPr id="3" name="直接连接符 3"/>
                <wp:cNvGraphicFramePr/>
                <a:graphic xmlns:a="http://schemas.openxmlformats.org/drawingml/2006/main">
                  <a:graphicData uri="http://schemas.microsoft.com/office/word/2010/wordprocessingShape">
                    <wps:wsp>
                      <wps:cNvCnPr/>
                      <wps:spPr>
                        <a:xfrm>
                          <a:off x="0" y="0"/>
                          <a:ext cx="540004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75pt;margin-top:0.5pt;height:0pt;width:425.2pt;z-index:251660288;mso-width-relative:page;mso-height-relative:page;" filled="f" stroked="t" coordsize="21600,21600" o:gfxdata="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GBYGkdMAAAAGAQAADwAAAAAAAAABACAAAAAiAAAAZHJzL2Rvd25yZXYueG1sUEsBAhQAFAAA&#10;AAgAh07iQBLWAtT0AQAA5QMAAA4AAAAAAAAAAQAgAAAAIgEAAGRycy9lMm9Eb2MueG1sUEsFBgAA&#10;AAAGAAYAWQEAAIgFAAAAAA==&#10;">
                <v:fill on="f" focussize="0,0"/>
                <v:stroke weight="1.5pt" color="#000000" joinstyle="round"/>
                <v:imagedata o:title=""/>
                <o:lock v:ext="edit" aspectratio="f"/>
              </v:line>
            </w:pict>
          </mc:Fallback>
        </mc:AlternateContent>
      </w:r>
      <w:r>
        <w:rPr>
          <w:rFonts w:hint="eastAsia" w:ascii="仿宋_GB2312" w:hAnsi="仿宋_GB2312" w:eastAsia="仿宋_GB2312" w:cs="仿宋_GB2312"/>
          <w:spacing w:val="0"/>
          <w:w w:val="100"/>
          <w:position w:val="0"/>
          <w:sz w:val="28"/>
          <w:szCs w:val="28"/>
        </w:rPr>
        <w:t>抄送：</w:t>
      </w:r>
      <w:r>
        <w:rPr>
          <w:rFonts w:hint="eastAsia" w:ascii="仿宋_GB2312" w:hAnsi="仿宋_GB2312" w:eastAsia="仿宋_GB2312" w:cs="仿宋_GB2312"/>
          <w:spacing w:val="0"/>
          <w:w w:val="100"/>
          <w:position w:val="0"/>
          <w:sz w:val="28"/>
          <w:szCs w:val="28"/>
          <w:lang w:val="en-US" w:eastAsia="zh-CN"/>
        </w:rPr>
        <w:t>池州</w:t>
      </w:r>
      <w:r>
        <w:rPr>
          <w:rFonts w:hint="eastAsia" w:ascii="仿宋_GB2312" w:hAnsi="仿宋_GB2312" w:eastAsia="仿宋_GB2312" w:cs="仿宋_GB2312"/>
          <w:spacing w:val="0"/>
          <w:w w:val="100"/>
          <w:kern w:val="2"/>
          <w:position w:val="0"/>
          <w:sz w:val="28"/>
          <w:szCs w:val="28"/>
          <w:vertAlign w:val="baseline"/>
          <w:lang w:val="en-US" w:eastAsia="zh-CN" w:bidi="ar"/>
        </w:rPr>
        <w:t>市药品安全委员会办公室</w:t>
      </w:r>
    </w:p>
    <w:p>
      <w:pPr>
        <w:widowControl/>
        <w:tabs>
          <w:tab w:val="left" w:pos="7584"/>
          <w:tab w:val="left" w:pos="7742"/>
        </w:tabs>
        <w:spacing w:line="600" w:lineRule="exact"/>
        <w:jc w:val="left"/>
        <w:rPr>
          <w:rFonts w:hint="eastAsia" w:ascii="仿宋_GB2312" w:hAnsi="仿宋_GB2312" w:eastAsia="仿宋_GB2312" w:cs="仿宋_GB2312"/>
          <w:bCs/>
          <w:spacing w:val="0"/>
          <w:w w:val="100"/>
          <w:kern w:val="0"/>
          <w:position w:val="0"/>
          <w:sz w:val="28"/>
          <w:szCs w:val="28"/>
        </w:rPr>
      </w:pPr>
      <w:r>
        <w:rPr>
          <w:rFonts w:hint="eastAsia" w:ascii="仿宋_GB2312" w:hAnsi="仿宋_GB2312" w:eastAsia="仿宋_GB2312" w:cs="仿宋_GB2312"/>
          <w:spacing w:val="0"/>
          <w:w w:val="100"/>
          <w:position w:val="0"/>
          <w:sz w:val="28"/>
          <w:szCs w:val="28"/>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390525</wp:posOffset>
                </wp:positionV>
                <wp:extent cx="5400040" cy="0"/>
                <wp:effectExtent l="0" t="9525" r="10160" b="9525"/>
                <wp:wrapNone/>
                <wp:docPr id="2" name="直接连接符 2"/>
                <wp:cNvGraphicFramePr/>
                <a:graphic xmlns:a="http://schemas.openxmlformats.org/drawingml/2006/main">
                  <a:graphicData uri="http://schemas.microsoft.com/office/word/2010/wordprocessingShape">
                    <wps:wsp>
                      <wps:cNvCnPr/>
                      <wps:spPr>
                        <a:xfrm>
                          <a:off x="0" y="0"/>
                          <a:ext cx="540004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2.25pt;margin-top:30.75pt;height:0pt;width:425.2pt;z-index:251659264;mso-width-relative:page;mso-height-relative:page;" filled="f" stroked="t" coordsize="21600,21600" o:gfxdata="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mjiuK1QAAAAgBAAAPAAAAAAAAAAEAIAAAACIAAABkcnMvZG93bnJldi54bWxQSwECFAAU&#10;AAAACACHTuJAi5LfvvQBAADlAwAADgAAAAAAAAABACAAAAAkAQAAZHJzL2Uyb0RvYy54bWxQSwUG&#10;AAAAAAYABgBZAQAAigUAAAAA&#10;">
                <v:fill on="f" focussize="0,0"/>
                <v:stroke weight="1.5pt" color="#000000" joinstyle="round"/>
                <v:imagedata o:title=""/>
                <o:lock v:ext="edit" aspectratio="f"/>
              </v:line>
            </w:pict>
          </mc:Fallback>
        </mc:AlternateContent>
      </w:r>
      <w:r>
        <w:rPr>
          <w:rFonts w:hint="eastAsia" w:ascii="仿宋_GB2312" w:hAnsi="仿宋_GB2312" w:eastAsia="仿宋_GB2312" w:cs="仿宋_GB2312"/>
          <w:spacing w:val="0"/>
          <w:w w:val="100"/>
          <w:position w:val="0"/>
          <w:sz w:val="28"/>
          <w:szCs w:val="28"/>
        </w:rPr>
        <mc:AlternateContent>
          <mc:Choice Requires="wps">
            <w:drawing>
              <wp:anchor distT="0" distB="0" distL="114300" distR="114300" simplePos="0" relativeHeight="251661312" behindDoc="0" locked="0" layoutInCell="1" allowOverlap="1">
                <wp:simplePos x="0" y="0"/>
                <wp:positionH relativeFrom="column">
                  <wp:posOffset>-47625</wp:posOffset>
                </wp:positionH>
                <wp:positionV relativeFrom="paragraph">
                  <wp:posOffset>48895</wp:posOffset>
                </wp:positionV>
                <wp:extent cx="5400040" cy="0"/>
                <wp:effectExtent l="0" t="4445" r="0" b="5080"/>
                <wp:wrapNone/>
                <wp:docPr id="18" name="直接连接符 18"/>
                <wp:cNvGraphicFramePr/>
                <a:graphic xmlns:a="http://schemas.openxmlformats.org/drawingml/2006/main">
                  <a:graphicData uri="http://schemas.microsoft.com/office/word/2010/wordprocessingShape">
                    <wps:wsp>
                      <wps:cNvCnPr>
                        <a:cxnSpLocks noChangeShapeType="1"/>
                      </wps:cNvCnPr>
                      <wps:spPr bwMode="auto">
                        <a:xfrm>
                          <a:off x="0" y="0"/>
                          <a:ext cx="5400040" cy="0"/>
                        </a:xfrm>
                        <a:prstGeom prst="line">
                          <a:avLst/>
                        </a:prstGeom>
                        <a:noFill/>
                        <a:ln w="9525">
                          <a:solidFill>
                            <a:srgbClr val="000000"/>
                          </a:solidFill>
                          <a:round/>
                        </a:ln>
                        <a:effectLst/>
                      </wps:spPr>
                      <wps:bodyPr/>
                    </wps:wsp>
                  </a:graphicData>
                </a:graphic>
              </wp:anchor>
            </w:drawing>
          </mc:Choice>
          <mc:Fallback>
            <w:pict>
              <v:line id="_x0000_s1026" o:spid="_x0000_s1026" o:spt="20" style="position:absolute;left:0pt;margin-left:-3.75pt;margin-top:3.85pt;height:0pt;width:425.2pt;z-index:251661312;mso-width-relative:page;mso-height-relative:page;" filled="f" stroked="t" coordsize="21600,21600" o:gfxdata="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omZJPdUA&#10;AAAGAQAADwAAAAAAAAABACAAAAAiAAAAZHJzL2Rvd25yZXYueG1sUEsBAhQAFAAAAAgAh07iQKEO&#10;eLzpAQAAugMAAA4AAAAAAAAAAQAgAAAAJAEAAGRycy9lMm9Eb2MueG1sUEsFBgAAAAAGAAYAWQEA&#10;AH8FAAAAAA==&#10;">
                <v:fill on="f" focussize="0,0"/>
                <v:stroke color="#000000" joinstyle="round"/>
                <v:imagedata o:title=""/>
                <o:lock v:ext="edit" aspectratio="f"/>
              </v:line>
            </w:pict>
          </mc:Fallback>
        </mc:AlternateContent>
      </w:r>
      <w:r>
        <w:rPr>
          <w:rFonts w:hint="eastAsia" w:ascii="仿宋_GB2312" w:hAnsi="仿宋_GB2312" w:eastAsia="仿宋_GB2312" w:cs="仿宋_GB2312"/>
          <w:spacing w:val="0"/>
          <w:w w:val="100"/>
          <w:kern w:val="2"/>
          <w:position w:val="0"/>
          <w:sz w:val="28"/>
          <w:szCs w:val="28"/>
          <w:vertAlign w:val="baseline"/>
          <w:lang w:val="en-US" w:eastAsia="zh-CN" w:bidi="ar"/>
        </w:rPr>
        <w:t xml:space="preserve">池州市贵池区药品安全委员会办公室       </w:t>
      </w:r>
      <w:r>
        <w:rPr>
          <w:rFonts w:hint="eastAsia" w:ascii="仿宋_GB2312" w:hAnsi="仿宋_GB2312" w:eastAsia="仿宋_GB2312" w:cs="仿宋_GB2312"/>
          <w:spacing w:val="0"/>
          <w:w w:val="100"/>
          <w:position w:val="0"/>
          <w:sz w:val="28"/>
          <w:szCs w:val="28"/>
        </w:rPr>
        <w:t xml:space="preserve"> </w:t>
      </w:r>
      <w:r>
        <w:rPr>
          <w:rFonts w:hint="eastAsia" w:ascii="仿宋_GB2312" w:hAnsi="仿宋_GB2312" w:eastAsia="仿宋_GB2312" w:cs="仿宋_GB2312"/>
          <w:spacing w:val="0"/>
          <w:w w:val="100"/>
          <w:position w:val="0"/>
          <w:sz w:val="28"/>
          <w:szCs w:val="28"/>
          <w:lang w:eastAsia="zh-CN"/>
        </w:rPr>
        <w:t>202</w:t>
      </w:r>
      <w:r>
        <w:rPr>
          <w:rFonts w:hint="eastAsia" w:ascii="仿宋_GB2312" w:hAnsi="仿宋_GB2312" w:eastAsia="仿宋_GB2312" w:cs="仿宋_GB2312"/>
          <w:spacing w:val="0"/>
          <w:w w:val="100"/>
          <w:position w:val="0"/>
          <w:sz w:val="28"/>
          <w:szCs w:val="28"/>
          <w:lang w:val="en-US" w:eastAsia="zh-CN"/>
        </w:rPr>
        <w:t>4</w:t>
      </w:r>
      <w:r>
        <w:rPr>
          <w:rFonts w:hint="eastAsia" w:ascii="仿宋_GB2312" w:hAnsi="仿宋_GB2312" w:eastAsia="仿宋_GB2312" w:cs="仿宋_GB2312"/>
          <w:spacing w:val="0"/>
          <w:w w:val="100"/>
          <w:position w:val="0"/>
          <w:sz w:val="28"/>
          <w:szCs w:val="28"/>
        </w:rPr>
        <w:t>年</w:t>
      </w:r>
      <w:r>
        <w:rPr>
          <w:rFonts w:hint="eastAsia" w:ascii="仿宋_GB2312" w:hAnsi="仿宋_GB2312" w:eastAsia="仿宋_GB2312" w:cs="仿宋_GB2312"/>
          <w:spacing w:val="0"/>
          <w:w w:val="100"/>
          <w:position w:val="0"/>
          <w:sz w:val="28"/>
          <w:szCs w:val="28"/>
          <w:lang w:val="en-US" w:eastAsia="zh-CN"/>
        </w:rPr>
        <w:t>5</w:t>
      </w:r>
      <w:r>
        <w:rPr>
          <w:rFonts w:hint="eastAsia" w:ascii="仿宋_GB2312" w:hAnsi="仿宋_GB2312" w:eastAsia="仿宋_GB2312" w:cs="仿宋_GB2312"/>
          <w:spacing w:val="0"/>
          <w:w w:val="100"/>
          <w:position w:val="0"/>
          <w:sz w:val="28"/>
          <w:szCs w:val="28"/>
        </w:rPr>
        <w:t>月2</w:t>
      </w:r>
      <w:r>
        <w:rPr>
          <w:rFonts w:hint="eastAsia" w:ascii="仿宋_GB2312" w:hAnsi="仿宋_GB2312" w:eastAsia="仿宋_GB2312" w:cs="仿宋_GB2312"/>
          <w:spacing w:val="0"/>
          <w:w w:val="100"/>
          <w:position w:val="0"/>
          <w:sz w:val="28"/>
          <w:szCs w:val="28"/>
          <w:lang w:val="en-US" w:eastAsia="zh-CN"/>
        </w:rPr>
        <w:t>3</w:t>
      </w:r>
      <w:r>
        <w:rPr>
          <w:rFonts w:hint="eastAsia" w:ascii="仿宋_GB2312" w:hAnsi="仿宋_GB2312" w:eastAsia="仿宋_GB2312" w:cs="仿宋_GB2312"/>
          <w:spacing w:val="0"/>
          <w:w w:val="100"/>
          <w:position w:val="0"/>
          <w:sz w:val="28"/>
          <w:szCs w:val="28"/>
        </w:rPr>
        <w:t>日印发</w:t>
      </w:r>
    </w:p>
    <w:p>
      <w:pPr>
        <w:keepNext w:val="0"/>
        <w:keepLines w:val="0"/>
        <w:widowControl/>
        <w:suppressLineNumbers w:val="0"/>
        <w:spacing w:before="0" w:beforeAutospacing="0" w:after="312" w:afterLines="100" w:afterAutospacing="0"/>
        <w:ind w:left="0" w:right="0"/>
        <w:jc w:val="center"/>
        <w:rPr>
          <w:rFonts w:hint="eastAsia" w:ascii="方正小标宋简体" w:hAnsi="方正小标宋_GBK" w:eastAsia="方正小标宋简体" w:cs="宋体"/>
          <w:color w:val="000000"/>
          <w:kern w:val="0"/>
          <w:sz w:val="44"/>
          <w:szCs w:val="44"/>
          <w:lang w:val="en-US"/>
        </w:rPr>
      </w:pPr>
      <w:r>
        <w:rPr>
          <w:rFonts w:hint="eastAsia" w:ascii="方正小标宋简体" w:hAnsi="方正小标宋_GBK" w:eastAsia="方正小标宋简体" w:cs="宋体"/>
          <w:color w:val="000000"/>
          <w:kern w:val="0"/>
          <w:sz w:val="44"/>
          <w:szCs w:val="44"/>
          <w:lang w:val="en-US" w:eastAsia="zh-CN" w:bidi="ar"/>
        </w:rPr>
        <w:t>贵池区2024年药品安全工作要点</w:t>
      </w:r>
    </w:p>
    <w:p>
      <w:pPr>
        <w:keepNext w:val="0"/>
        <w:keepLines w:val="0"/>
        <w:widowControl/>
        <w:suppressLineNumbers w:val="0"/>
        <w:spacing w:before="0" w:beforeAutospacing="0" w:after="0" w:afterAutospacing="0"/>
        <w:ind w:left="0" w:right="0" w:firstLine="640"/>
        <w:jc w:val="left"/>
        <w:rPr>
          <w:rFonts w:hint="eastAsia" w:ascii="宋体" w:hAnsi="宋体" w:eastAsia="宋体" w:cs="宋体"/>
          <w:kern w:val="0"/>
          <w:sz w:val="24"/>
          <w:szCs w:val="24"/>
          <w:lang w:val="en-US"/>
        </w:rPr>
      </w:pPr>
      <w:r>
        <w:rPr>
          <w:rFonts w:hint="eastAsia" w:ascii="仿宋_GB2312" w:hAnsi="宋体" w:eastAsia="仿宋_GB2312" w:cs="宋体"/>
          <w:color w:val="000000"/>
          <w:kern w:val="0"/>
          <w:sz w:val="32"/>
          <w:szCs w:val="32"/>
          <w:lang w:val="en-US" w:eastAsia="zh-CN" w:bidi="ar"/>
        </w:rPr>
        <w:t>坚持以习近平新时代中国特色社会主义思想为指导，严格遵循“四个最严”要求，全面贯彻党的二十大和二十届二中全会精神，认真落实党中央、国务院关于药品安全决策部署及区委、区政府有关工作安排，深化拓展药品安全巩固提升行动，抓实药品安全风险防控，严厉打击危害药品安全违法犯罪，加强药品安全社会共治，提升药品安全治理水平，促进医药经济高质量发展，切实保障人民群众用药安全有效，为建设“五新贵池”创造良好的药品安全环境。</w:t>
      </w:r>
    </w:p>
    <w:p>
      <w:pPr>
        <w:keepNext w:val="0"/>
        <w:keepLines w:val="0"/>
        <w:widowControl/>
        <w:suppressLineNumbers w:val="0"/>
        <w:spacing w:before="0" w:beforeAutospacing="0" w:after="0" w:afterAutospacing="0"/>
        <w:ind w:left="0" w:right="0" w:firstLine="640"/>
        <w:jc w:val="left"/>
        <w:rPr>
          <w:rFonts w:hint="eastAsia" w:ascii="宋体" w:hAnsi="宋体" w:eastAsia="宋体" w:cs="宋体"/>
          <w:kern w:val="0"/>
          <w:sz w:val="24"/>
          <w:szCs w:val="24"/>
          <w:lang w:val="en-US"/>
        </w:rPr>
      </w:pPr>
      <w:r>
        <w:rPr>
          <w:rFonts w:hint="eastAsia" w:ascii="黑体" w:hAnsi="宋体" w:eastAsia="黑体" w:cs="宋体"/>
          <w:color w:val="000000"/>
          <w:kern w:val="0"/>
          <w:sz w:val="32"/>
          <w:szCs w:val="32"/>
          <w:lang w:val="en-US" w:eastAsia="zh-CN" w:bidi="ar"/>
        </w:rPr>
        <w:t>一、筑牢药品安全防线</w:t>
      </w:r>
    </w:p>
    <w:p>
      <w:pPr>
        <w:keepNext w:val="0"/>
        <w:keepLines w:val="0"/>
        <w:widowControl/>
        <w:suppressLineNumbers w:val="0"/>
        <w:spacing w:before="0" w:beforeAutospacing="0" w:after="0" w:afterAutospacing="0"/>
        <w:ind w:left="0" w:right="0"/>
        <w:jc w:val="left"/>
        <w:rPr>
          <w:rFonts w:hint="eastAsia" w:ascii="宋体" w:hAnsi="宋体" w:eastAsia="宋体" w:cs="宋体"/>
          <w:kern w:val="0"/>
          <w:sz w:val="24"/>
          <w:szCs w:val="24"/>
          <w:lang w:val="en-US"/>
        </w:rPr>
      </w:pPr>
      <w:r>
        <w:rPr>
          <w:rFonts w:hint="eastAsia" w:ascii="楷体_GB2312" w:hAnsi="宋体" w:eastAsia="楷体_GB2312" w:cs="宋体"/>
          <w:color w:val="000000"/>
          <w:kern w:val="0"/>
          <w:sz w:val="32"/>
          <w:szCs w:val="32"/>
          <w:lang w:val="en-US" w:eastAsia="zh-CN" w:bidi="ar"/>
        </w:rPr>
        <w:t xml:space="preserve">    1.强化风险防控。</w:t>
      </w:r>
      <w:r>
        <w:rPr>
          <w:rFonts w:hint="eastAsia" w:ascii="仿宋_GB2312" w:hAnsi="宋体" w:eastAsia="仿宋_GB2312" w:cs="宋体"/>
          <w:color w:val="000000"/>
          <w:kern w:val="0"/>
          <w:sz w:val="32"/>
          <w:szCs w:val="32"/>
          <w:lang w:val="en-US" w:eastAsia="zh-CN" w:bidi="ar"/>
        </w:rPr>
        <w:t>落实全区药品安全风险会商机制，严格风险清单化、闭环式管理。加强药品医疗器械流通风险会商，进一步提升风险会商质量。</w:t>
      </w:r>
      <w:r>
        <w:rPr>
          <w:rFonts w:hint="eastAsia" w:ascii="楷体_GB2312" w:hAnsi="宋体" w:eastAsia="楷体_GB2312" w:cs="宋体"/>
          <w:color w:val="000000"/>
          <w:kern w:val="0"/>
          <w:sz w:val="32"/>
          <w:szCs w:val="32"/>
          <w:lang w:val="en-US" w:eastAsia="zh-CN" w:bidi="ar"/>
        </w:rPr>
        <w:t>（区市场监管局牵头，区药安委相关成员单位配合）</w:t>
      </w:r>
      <w:r>
        <w:rPr>
          <w:rFonts w:hint="eastAsia" w:ascii="仿宋_GB2312" w:hAnsi="宋体" w:eastAsia="仿宋_GB2312" w:cs="宋体"/>
          <w:color w:val="000000"/>
          <w:kern w:val="0"/>
          <w:sz w:val="32"/>
          <w:szCs w:val="32"/>
          <w:lang w:val="en-US" w:eastAsia="zh-CN" w:bidi="ar"/>
        </w:rPr>
        <w:t>坚持全覆盖抽检与重点抽检相结合，提高监督抽检靶向性。充分发挥药物警戒、医疗器械不良事件监测作用，围绕重点品种，创新监督检查方式，提升监测报告质量和风险信号分析、处置能力。</w:t>
      </w:r>
      <w:r>
        <w:rPr>
          <w:rFonts w:hint="eastAsia" w:ascii="楷体_GB2312" w:hAnsi="宋体" w:eastAsia="楷体_GB2312" w:cs="宋体"/>
          <w:color w:val="000000"/>
          <w:kern w:val="0"/>
          <w:sz w:val="32"/>
          <w:szCs w:val="32"/>
          <w:lang w:val="en-US" w:eastAsia="zh-CN" w:bidi="ar"/>
        </w:rPr>
        <w:t>（区市场监管局牵头，区卫生健康委配合）</w:t>
      </w:r>
      <w:r>
        <w:rPr>
          <w:rFonts w:hint="eastAsia" w:ascii="仿宋_GB2312" w:hAnsi="宋体" w:eastAsia="仿宋_GB2312" w:cs="宋体"/>
          <w:color w:val="000000"/>
          <w:kern w:val="0"/>
          <w:sz w:val="32"/>
          <w:szCs w:val="32"/>
          <w:lang w:val="en-US" w:eastAsia="zh-CN" w:bidi="ar"/>
        </w:rPr>
        <w:t>强化药品安全突发事件应急管理，加强制度建设，增强演练实效。</w:t>
      </w:r>
      <w:r>
        <w:rPr>
          <w:rFonts w:hint="eastAsia" w:ascii="楷体_GB2312" w:hAnsi="宋体" w:eastAsia="楷体_GB2312" w:cs="宋体"/>
          <w:color w:val="000000"/>
          <w:kern w:val="0"/>
          <w:sz w:val="32"/>
          <w:szCs w:val="32"/>
          <w:lang w:val="en-US" w:eastAsia="zh-CN" w:bidi="ar"/>
        </w:rPr>
        <w:t>（区市场监管局牵头，区药安委相关成员单位配合）</w:t>
      </w:r>
      <w:r>
        <w:rPr>
          <w:rFonts w:hint="eastAsia" w:ascii="仿宋_GB2312" w:hAnsi="宋体" w:eastAsia="仿宋_GB2312" w:cs="宋体"/>
          <w:color w:val="000000"/>
          <w:kern w:val="0"/>
          <w:sz w:val="32"/>
          <w:szCs w:val="32"/>
          <w:lang w:val="en-US" w:eastAsia="zh-CN" w:bidi="ar"/>
        </w:rPr>
        <w:t>做好药品安全正面舆论引导，密切关注舆情动态，加强对舆情应对和信息发布的指导，强化对网上舆情的监测和研判，确保及时稳妥处置突发敏感舆情。</w:t>
      </w:r>
      <w:r>
        <w:rPr>
          <w:rFonts w:hint="eastAsia" w:ascii="楷体_GB2312" w:hAnsi="宋体" w:eastAsia="楷体_GB2312" w:cs="宋体"/>
          <w:color w:val="000000"/>
          <w:kern w:val="0"/>
          <w:sz w:val="32"/>
          <w:szCs w:val="32"/>
          <w:lang w:val="en-US" w:eastAsia="zh-CN" w:bidi="ar"/>
        </w:rPr>
        <w:t>（区委网信办牵头，区药安委相关成员单位配合）</w:t>
      </w:r>
    </w:p>
    <w:p>
      <w:pPr>
        <w:keepNext w:val="0"/>
        <w:keepLines w:val="0"/>
        <w:widowControl/>
        <w:suppressLineNumbers w:val="0"/>
        <w:spacing w:before="0" w:beforeAutospacing="0" w:after="0" w:afterAutospacing="0"/>
        <w:ind w:left="0" w:right="0" w:firstLine="640"/>
        <w:jc w:val="left"/>
        <w:rPr>
          <w:rFonts w:hint="eastAsia" w:ascii="宋体" w:hAnsi="宋体" w:eastAsia="宋体" w:cs="宋体"/>
          <w:kern w:val="0"/>
          <w:sz w:val="24"/>
          <w:szCs w:val="24"/>
          <w:lang w:val="en-US"/>
        </w:rPr>
      </w:pPr>
      <w:r>
        <w:rPr>
          <w:rFonts w:hint="eastAsia" w:ascii="楷体_GB2312" w:hAnsi="宋体" w:eastAsia="楷体_GB2312" w:cs="宋体"/>
          <w:color w:val="000000"/>
          <w:kern w:val="0"/>
          <w:sz w:val="32"/>
          <w:szCs w:val="32"/>
          <w:lang w:val="en-US" w:eastAsia="zh-CN" w:bidi="ar"/>
        </w:rPr>
        <w:t>2.紧抓重点监管。</w:t>
      </w:r>
      <w:r>
        <w:rPr>
          <w:rFonts w:hint="eastAsia" w:ascii="仿宋_GB2312" w:hAnsi="宋体" w:eastAsia="仿宋_GB2312" w:cs="宋体"/>
          <w:color w:val="000000"/>
          <w:kern w:val="0"/>
          <w:sz w:val="32"/>
          <w:szCs w:val="32"/>
          <w:lang w:val="en-US" w:eastAsia="zh-CN" w:bidi="ar"/>
        </w:rPr>
        <w:t>加大对特殊管理药品、防疫药品医疗器械、第三类医疗器械、无菌和植入性医疗器械、医疗美容用药品医疗器械、儿童化妆品、特殊化妆品等重点产品的监督检查力度。</w:t>
      </w:r>
      <w:r>
        <w:rPr>
          <w:rFonts w:hint="eastAsia" w:ascii="楷体_GB2312" w:hAnsi="宋体" w:eastAsia="楷体_GB2312" w:cs="宋体"/>
          <w:color w:val="000000"/>
          <w:kern w:val="0"/>
          <w:sz w:val="32"/>
          <w:szCs w:val="32"/>
          <w:lang w:val="en-US" w:eastAsia="zh-CN" w:bidi="ar"/>
        </w:rPr>
        <w:t>（区市场监管局牵头，区药安委相关成员单位配合）</w:t>
      </w:r>
      <w:r>
        <w:rPr>
          <w:rFonts w:hint="eastAsia" w:ascii="仿宋_GB2312" w:hAnsi="宋体" w:eastAsia="仿宋_GB2312" w:cs="宋体"/>
          <w:color w:val="000000"/>
          <w:kern w:val="0"/>
          <w:sz w:val="32"/>
          <w:szCs w:val="32"/>
          <w:lang w:val="en-US" w:eastAsia="zh-CN" w:bidi="ar"/>
        </w:rPr>
        <w:t>突出加强麻醉药品、精神药品管理，开展麻精药品专项检查，严防流弊。</w:t>
      </w:r>
      <w:r>
        <w:rPr>
          <w:rFonts w:hint="eastAsia" w:ascii="楷体_GB2312" w:hAnsi="宋体" w:eastAsia="楷体_GB2312" w:cs="宋体"/>
          <w:color w:val="000000"/>
          <w:kern w:val="0"/>
          <w:sz w:val="32"/>
          <w:szCs w:val="32"/>
          <w:lang w:val="en-US" w:eastAsia="zh-CN" w:bidi="ar"/>
        </w:rPr>
        <w:t>（区市场监管局、区卫生健康委、区公安分局按职责分工负责）</w:t>
      </w:r>
      <w:r>
        <w:rPr>
          <w:rFonts w:hint="eastAsia" w:ascii="仿宋_GB2312" w:hAnsi="宋体" w:eastAsia="仿宋_GB2312" w:cs="宋体"/>
          <w:color w:val="000000"/>
          <w:kern w:val="0"/>
          <w:sz w:val="32"/>
          <w:szCs w:val="32"/>
          <w:lang w:val="en-US" w:eastAsia="zh-CN" w:bidi="ar"/>
        </w:rPr>
        <w:t>实施药品医疗器械网络销售集中治理，开展化妆品网络经营监测，加快实现网络销售安全风险的及时监测、准确研判、科学预警和有效处置。</w:t>
      </w:r>
      <w:r>
        <w:rPr>
          <w:rFonts w:hint="eastAsia" w:ascii="楷体_GB2312" w:hAnsi="宋体" w:eastAsia="楷体_GB2312" w:cs="宋体"/>
          <w:color w:val="000000"/>
          <w:kern w:val="0"/>
          <w:sz w:val="32"/>
          <w:szCs w:val="32"/>
          <w:lang w:val="en-US" w:eastAsia="zh-CN" w:bidi="ar"/>
        </w:rPr>
        <w:t>（区市场监管局牵头，区药安委相关成员单位配合）</w:t>
      </w:r>
      <w:r>
        <w:rPr>
          <w:rFonts w:hint="eastAsia" w:ascii="仿宋_GB2312" w:hAnsi="宋体" w:eastAsia="仿宋_GB2312" w:cs="宋体"/>
          <w:color w:val="000000"/>
          <w:kern w:val="0"/>
          <w:sz w:val="32"/>
          <w:szCs w:val="32"/>
          <w:lang w:val="en-US" w:eastAsia="zh-CN" w:bidi="ar"/>
        </w:rPr>
        <w:t>加强单采血浆站监管，加大对非法采供血浆行为信息监测和处罚力度。</w:t>
      </w:r>
      <w:r>
        <w:rPr>
          <w:rFonts w:hint="eastAsia" w:ascii="楷体_GB2312" w:hAnsi="宋体" w:eastAsia="楷体_GB2312" w:cs="宋体"/>
          <w:color w:val="000000"/>
          <w:kern w:val="0"/>
          <w:sz w:val="32"/>
          <w:szCs w:val="32"/>
          <w:lang w:val="en-US" w:eastAsia="zh-CN" w:bidi="ar"/>
        </w:rPr>
        <w:t>（区卫生健康委负责）</w:t>
      </w:r>
      <w:r>
        <w:rPr>
          <w:rFonts w:hint="eastAsia" w:ascii="仿宋_GB2312" w:hAnsi="宋体" w:eastAsia="仿宋_GB2312" w:cs="宋体"/>
          <w:color w:val="000000"/>
          <w:kern w:val="0"/>
          <w:sz w:val="32"/>
          <w:szCs w:val="32"/>
          <w:lang w:val="en-US" w:eastAsia="zh-CN" w:bidi="ar"/>
        </w:rPr>
        <w:t>开展放射性药品使用环节的辐射安全与防护的监督检查。</w:t>
      </w:r>
      <w:r>
        <w:rPr>
          <w:rFonts w:hint="eastAsia" w:ascii="楷体_GB2312" w:hAnsi="宋体" w:eastAsia="楷体_GB2312" w:cs="宋体"/>
          <w:color w:val="000000"/>
          <w:kern w:val="0"/>
          <w:sz w:val="32"/>
          <w:szCs w:val="32"/>
          <w:lang w:val="en-US" w:eastAsia="zh-CN" w:bidi="ar"/>
        </w:rPr>
        <w:t>（区生态环境分局负责）</w:t>
      </w:r>
      <w:r>
        <w:rPr>
          <w:rFonts w:hint="eastAsia" w:ascii="仿宋_GB2312" w:hAnsi="宋体" w:eastAsia="仿宋_GB2312" w:cs="宋体"/>
          <w:color w:val="000000"/>
          <w:kern w:val="0"/>
          <w:sz w:val="32"/>
          <w:szCs w:val="32"/>
          <w:lang w:val="en-US" w:eastAsia="zh-CN" w:bidi="ar"/>
        </w:rPr>
        <w:t>持续提升医疗废物处置能力，加强医疗废物处置单位监督管理。</w:t>
      </w:r>
      <w:r>
        <w:rPr>
          <w:rFonts w:hint="eastAsia" w:ascii="楷体_GB2312" w:hAnsi="宋体" w:eastAsia="楷体_GB2312" w:cs="宋体"/>
          <w:color w:val="000000"/>
          <w:kern w:val="0"/>
          <w:sz w:val="32"/>
          <w:szCs w:val="32"/>
          <w:lang w:val="en-US" w:eastAsia="zh-CN" w:bidi="ar"/>
        </w:rPr>
        <w:t>（区卫生健康委、区生态环境分局按职责分工负责）</w:t>
      </w:r>
      <w:r>
        <w:rPr>
          <w:rFonts w:hint="eastAsia" w:ascii="仿宋_GB2312" w:hAnsi="宋体" w:eastAsia="仿宋_GB2312" w:cs="宋体"/>
          <w:color w:val="000000"/>
          <w:kern w:val="0"/>
          <w:sz w:val="32"/>
          <w:szCs w:val="32"/>
          <w:lang w:val="en-US" w:eastAsia="zh-CN" w:bidi="ar"/>
        </w:rPr>
        <w:t>加强广告审查监管，依法查处药品医疗器械违法广告。</w:t>
      </w:r>
      <w:r>
        <w:rPr>
          <w:rFonts w:hint="eastAsia" w:ascii="楷体_GB2312" w:hAnsi="宋体" w:eastAsia="楷体_GB2312" w:cs="宋体"/>
          <w:color w:val="000000"/>
          <w:kern w:val="0"/>
          <w:sz w:val="32"/>
          <w:szCs w:val="32"/>
          <w:lang w:val="en-US" w:eastAsia="zh-CN" w:bidi="ar"/>
        </w:rPr>
        <w:t>（区市场监管局负责）</w:t>
      </w:r>
    </w:p>
    <w:p>
      <w:pPr>
        <w:keepNext w:val="0"/>
        <w:keepLines w:val="0"/>
        <w:widowControl/>
        <w:suppressLineNumbers w:val="0"/>
        <w:spacing w:before="0" w:beforeAutospacing="0" w:after="0" w:afterAutospacing="0"/>
        <w:ind w:left="0" w:right="0"/>
        <w:jc w:val="both"/>
        <w:rPr>
          <w:rFonts w:hint="eastAsia" w:ascii="楷体_GB2312" w:hAnsi="宋体" w:eastAsia="楷体_GB2312" w:cs="宋体"/>
          <w:color w:val="000000"/>
          <w:kern w:val="0"/>
          <w:sz w:val="32"/>
          <w:szCs w:val="32"/>
          <w:lang w:val="en-US"/>
        </w:rPr>
      </w:pPr>
      <w:r>
        <w:rPr>
          <w:rFonts w:hint="eastAsia" w:ascii="楷体_GB2312" w:hAnsi="宋体" w:eastAsia="楷体_GB2312" w:cs="宋体"/>
          <w:color w:val="000000"/>
          <w:kern w:val="0"/>
          <w:sz w:val="32"/>
          <w:szCs w:val="32"/>
          <w:lang w:val="en-US" w:eastAsia="zh-CN" w:bidi="ar"/>
        </w:rPr>
        <w:t xml:space="preserve">    3.加强中药监管。</w:t>
      </w:r>
      <w:r>
        <w:rPr>
          <w:rFonts w:hint="eastAsia" w:ascii="仿宋_GB2312" w:hAnsi="宋体" w:eastAsia="仿宋_GB2312" w:cs="宋体"/>
          <w:color w:val="000000"/>
          <w:kern w:val="0"/>
          <w:sz w:val="32"/>
          <w:szCs w:val="32"/>
          <w:lang w:val="en-US" w:eastAsia="zh-CN" w:bidi="ar"/>
        </w:rPr>
        <w:t>严格中药材生产质量管控，加强种质资源保护，推进中药材标准化、规范化种植和农药安全使用。加强中药材追溯体系建设，支持全区各类中药材生产主体参与产品质量安全追溯工作。</w:t>
      </w:r>
      <w:r>
        <w:rPr>
          <w:rFonts w:hint="eastAsia" w:ascii="楷体_GB2312" w:hAnsi="宋体" w:eastAsia="楷体_GB2312" w:cs="宋体"/>
          <w:color w:val="000000"/>
          <w:kern w:val="0"/>
          <w:sz w:val="32"/>
          <w:szCs w:val="32"/>
          <w:lang w:val="en-US" w:eastAsia="zh-CN" w:bidi="ar"/>
        </w:rPr>
        <w:t>（区农业农村局负责）</w:t>
      </w:r>
      <w:r>
        <w:rPr>
          <w:rFonts w:hint="eastAsia" w:ascii="仿宋_GB2312" w:hAnsi="宋体" w:eastAsia="仿宋_GB2312" w:cs="宋体"/>
          <w:color w:val="000000"/>
          <w:kern w:val="0"/>
          <w:sz w:val="32"/>
          <w:szCs w:val="32"/>
          <w:lang w:val="en-US" w:eastAsia="zh-CN" w:bidi="ar"/>
        </w:rPr>
        <w:t>加强对林草（中药材）种苗和产品监管。</w:t>
      </w:r>
      <w:r>
        <w:rPr>
          <w:rFonts w:hint="eastAsia" w:ascii="楷体_GB2312" w:hAnsi="宋体" w:eastAsia="楷体_GB2312" w:cs="宋体"/>
          <w:color w:val="000000"/>
          <w:kern w:val="0"/>
          <w:sz w:val="32"/>
          <w:szCs w:val="32"/>
          <w:lang w:val="en-US" w:eastAsia="zh-CN" w:bidi="ar"/>
        </w:rPr>
        <w:t>（区林业局负责）</w:t>
      </w:r>
      <w:r>
        <w:rPr>
          <w:rFonts w:hint="eastAsia" w:ascii="仿宋_GB2312" w:hAnsi="宋体" w:eastAsia="仿宋_GB2312" w:cs="宋体"/>
          <w:color w:val="000000"/>
          <w:kern w:val="0"/>
          <w:sz w:val="32"/>
          <w:szCs w:val="32"/>
          <w:lang w:val="en-US" w:eastAsia="zh-CN" w:bidi="ar"/>
        </w:rPr>
        <w:t>加强中药源头质量风险管控。</w:t>
      </w:r>
      <w:r>
        <w:rPr>
          <w:rFonts w:hint="eastAsia" w:ascii="楷体_GB2312" w:hAnsi="宋体" w:eastAsia="楷体_GB2312" w:cs="宋体"/>
          <w:color w:val="000000"/>
          <w:kern w:val="0"/>
          <w:sz w:val="32"/>
          <w:szCs w:val="32"/>
          <w:lang w:val="en-US" w:eastAsia="zh-CN" w:bidi="ar"/>
        </w:rPr>
        <w:t>（区农业农村局、区林业局按职责分工负责）</w:t>
      </w:r>
      <w:r>
        <w:rPr>
          <w:rFonts w:hint="eastAsia" w:ascii="仿宋_GB2312" w:hAnsi="宋体" w:eastAsia="仿宋_GB2312" w:cs="宋体"/>
          <w:color w:val="000000"/>
          <w:kern w:val="0"/>
          <w:sz w:val="32"/>
          <w:szCs w:val="32"/>
          <w:lang w:val="en-US" w:eastAsia="zh-CN" w:bidi="ar"/>
        </w:rPr>
        <w:t>加强中药制剂质量监管，强化中药注射剂风险监测。</w:t>
      </w:r>
      <w:r>
        <w:rPr>
          <w:rFonts w:hint="eastAsia" w:ascii="楷体_GB2312" w:hAnsi="宋体" w:eastAsia="楷体_GB2312" w:cs="宋体"/>
          <w:color w:val="000000"/>
          <w:kern w:val="0"/>
          <w:sz w:val="32"/>
          <w:szCs w:val="32"/>
          <w:lang w:val="en-US" w:eastAsia="zh-CN" w:bidi="ar"/>
        </w:rPr>
        <w:t>（区市场监管局负责）</w:t>
      </w:r>
      <w:r>
        <w:rPr>
          <w:rFonts w:hint="eastAsia" w:ascii="仿宋_GB2312" w:hAnsi="宋体" w:eastAsia="仿宋_GB2312" w:cs="宋体"/>
          <w:color w:val="000000"/>
          <w:kern w:val="0"/>
          <w:sz w:val="32"/>
          <w:szCs w:val="32"/>
          <w:lang w:val="en-US" w:eastAsia="zh-CN" w:bidi="ar"/>
        </w:rPr>
        <w:t>进一步加强医疗机构中药制剂调剂使用管理。</w:t>
      </w:r>
      <w:r>
        <w:rPr>
          <w:rFonts w:hint="eastAsia" w:ascii="楷体_GB2312" w:hAnsi="宋体" w:eastAsia="楷体_GB2312" w:cs="宋体"/>
          <w:color w:val="000000"/>
          <w:kern w:val="0"/>
          <w:sz w:val="32"/>
          <w:szCs w:val="32"/>
          <w:lang w:val="en-US" w:eastAsia="zh-CN" w:bidi="ar"/>
        </w:rPr>
        <w:t>（区市场监管局、区卫生健康委按职责分工负责）</w:t>
      </w:r>
      <w:r>
        <w:rPr>
          <w:rFonts w:hint="eastAsia" w:ascii="仿宋_GB2312" w:hAnsi="宋体" w:eastAsia="仿宋_GB2312" w:cs="宋体"/>
          <w:color w:val="000000"/>
          <w:kern w:val="0"/>
          <w:sz w:val="32"/>
          <w:szCs w:val="32"/>
          <w:lang w:val="en-US" w:eastAsia="zh-CN" w:bidi="ar"/>
        </w:rPr>
        <w:t>加强对中药材固定销售门店、网络平台以及其他中药材交易场所销售中药材行为的管理，规范中药材市场秩序。</w:t>
      </w:r>
      <w:r>
        <w:rPr>
          <w:rFonts w:hint="eastAsia" w:ascii="楷体_GB2312" w:hAnsi="宋体" w:eastAsia="楷体_GB2312" w:cs="宋体"/>
          <w:color w:val="000000"/>
          <w:kern w:val="0"/>
          <w:sz w:val="32"/>
          <w:szCs w:val="32"/>
          <w:lang w:val="en-US" w:eastAsia="zh-CN" w:bidi="ar"/>
        </w:rPr>
        <w:t>（区市场监管局牵头，区药安委相关成员单位配合）。</w:t>
      </w:r>
    </w:p>
    <w:p>
      <w:pPr>
        <w:keepNext w:val="0"/>
        <w:keepLines w:val="0"/>
        <w:widowControl/>
        <w:suppressLineNumbers w:val="0"/>
        <w:spacing w:before="0" w:beforeAutospacing="0" w:after="0" w:afterAutospacing="0"/>
        <w:ind w:left="0" w:right="0" w:firstLine="640" w:firstLineChars="200"/>
        <w:jc w:val="both"/>
        <w:rPr>
          <w:rFonts w:hint="eastAsia" w:ascii="宋体" w:hAnsi="宋体" w:eastAsia="宋体" w:cs="宋体"/>
          <w:kern w:val="0"/>
          <w:sz w:val="24"/>
          <w:szCs w:val="24"/>
          <w:lang w:val="en-US"/>
        </w:rPr>
      </w:pPr>
      <w:r>
        <w:rPr>
          <w:rFonts w:hint="eastAsia" w:ascii="楷体_GB2312" w:hAnsi="宋体" w:eastAsia="楷体_GB2312" w:cs="宋体"/>
          <w:color w:val="000000"/>
          <w:kern w:val="0"/>
          <w:sz w:val="32"/>
          <w:szCs w:val="32"/>
          <w:lang w:val="en-US" w:eastAsia="zh-CN" w:bidi="ar"/>
        </w:rPr>
        <w:t>4.打击违法犯罪。</w:t>
      </w:r>
      <w:r>
        <w:rPr>
          <w:rFonts w:hint="eastAsia" w:ascii="仿宋_GB2312" w:hAnsi="宋体" w:eastAsia="仿宋_GB2312" w:cs="宋体"/>
          <w:color w:val="000000"/>
          <w:kern w:val="0"/>
          <w:sz w:val="32"/>
          <w:szCs w:val="32"/>
          <w:lang w:val="en-US" w:eastAsia="zh-CN" w:bidi="ar"/>
        </w:rPr>
        <w:t>深化行管结合、行刑衔接、府检联动，进一步加强药品安全领域行政执法与刑事司法双向衔接，有效落实案件移送、证据转换、检验认定、信息共享、案情通报、联合督办、行刑衔接等协作机制，着力构建全区横向协作、纵向联动、高效协同的执法办案模式。</w:t>
      </w:r>
      <w:r>
        <w:rPr>
          <w:rFonts w:hint="eastAsia" w:ascii="楷体_GB2312" w:hAnsi="宋体" w:eastAsia="楷体_GB2312" w:cs="宋体"/>
          <w:color w:val="000000"/>
          <w:kern w:val="0"/>
          <w:sz w:val="32"/>
          <w:szCs w:val="32"/>
          <w:lang w:val="en-US" w:eastAsia="zh-CN" w:bidi="ar"/>
        </w:rPr>
        <w:t>（区市场监管局、区公安分局、区检察院、区法院按职责分工负责）</w:t>
      </w:r>
      <w:r>
        <w:rPr>
          <w:rFonts w:hint="eastAsia" w:ascii="仿宋_GB2312" w:hAnsi="宋体" w:eastAsia="仿宋_GB2312" w:cs="宋体"/>
          <w:color w:val="000000"/>
          <w:kern w:val="0"/>
          <w:sz w:val="32"/>
          <w:szCs w:val="32"/>
          <w:lang w:val="en-US" w:eastAsia="zh-CN" w:bidi="ar"/>
        </w:rPr>
        <w:t>加大执法力度，深入实施“药安乡村2024”专项稽查行动，抓好“昆仑2024”行动，紧盯治疗呼吸道疾病、危重症疾病及常见慢性疾病用药用械安全，提高医疗美容领域犯罪打击质效。</w:t>
      </w:r>
      <w:r>
        <w:rPr>
          <w:rFonts w:hint="eastAsia" w:ascii="楷体_GB2312" w:hAnsi="宋体" w:eastAsia="楷体_GB2312" w:cs="宋体"/>
          <w:color w:val="000000"/>
          <w:kern w:val="0"/>
          <w:sz w:val="32"/>
          <w:szCs w:val="32"/>
          <w:lang w:val="en-US" w:eastAsia="zh-CN" w:bidi="ar"/>
        </w:rPr>
        <w:t>（区市场监管局、区公安分局、区卫生健康委按职责分工负责）</w:t>
      </w:r>
      <w:r>
        <w:rPr>
          <w:rFonts w:hint="eastAsia" w:ascii="仿宋_GB2312" w:hAnsi="宋体" w:eastAsia="仿宋_GB2312" w:cs="宋体"/>
          <w:color w:val="000000"/>
          <w:kern w:val="0"/>
          <w:sz w:val="32"/>
          <w:szCs w:val="32"/>
          <w:lang w:val="en-US" w:eastAsia="zh-CN" w:bidi="ar"/>
        </w:rPr>
        <w:t>联合防范药品安全领域恶意举报和恶意索赔，依法严厉打击敲诈勒索等违法行为。</w:t>
      </w:r>
      <w:r>
        <w:rPr>
          <w:rFonts w:hint="eastAsia" w:ascii="楷体_GB2312" w:hAnsi="宋体" w:eastAsia="楷体_GB2312" w:cs="宋体"/>
          <w:color w:val="000000"/>
          <w:kern w:val="0"/>
          <w:sz w:val="32"/>
          <w:szCs w:val="32"/>
          <w:lang w:val="en-US" w:eastAsia="zh-CN" w:bidi="ar"/>
        </w:rPr>
        <w:t>（区市场监管局牵头，区公安分局、区法院配合）</w:t>
      </w:r>
      <w:r>
        <w:rPr>
          <w:rFonts w:hint="eastAsia" w:ascii="仿宋_GB2312" w:hAnsi="宋体" w:eastAsia="仿宋_GB2312" w:cs="宋体"/>
          <w:color w:val="000000"/>
          <w:kern w:val="0"/>
          <w:sz w:val="32"/>
          <w:szCs w:val="32"/>
          <w:lang w:val="en-US" w:eastAsia="zh-CN" w:bidi="ar"/>
        </w:rPr>
        <w:t>强化对重大、疑难、复杂案件的督导，加大公益诉讼监督办案力度，进一步提升惩治药品安全领域违法犯罪行为的精准性。</w:t>
      </w:r>
      <w:r>
        <w:rPr>
          <w:rFonts w:hint="eastAsia" w:ascii="楷体_GB2312" w:hAnsi="宋体" w:eastAsia="楷体_GB2312" w:cs="宋体"/>
          <w:color w:val="000000"/>
          <w:kern w:val="0"/>
          <w:sz w:val="32"/>
          <w:szCs w:val="32"/>
          <w:lang w:val="en-US" w:eastAsia="zh-CN" w:bidi="ar"/>
        </w:rPr>
        <w:t>（区检察院牵头，区市场监管局、区公安分局、区法院配合）</w:t>
      </w:r>
      <w:r>
        <w:rPr>
          <w:rFonts w:hint="eastAsia" w:ascii="仿宋_GB2312" w:hAnsi="宋体" w:eastAsia="仿宋_GB2312" w:cs="宋体"/>
          <w:color w:val="000000"/>
          <w:kern w:val="0"/>
          <w:sz w:val="32"/>
          <w:szCs w:val="32"/>
          <w:lang w:val="en-US" w:eastAsia="zh-CN" w:bidi="ar"/>
        </w:rPr>
        <w:t>加强对药品安全领域违法犯罪案件审理工作的指导，严把事实关、证据关、程序关和法律适用关，依法严惩养老等重点领域的涉药犯罪。</w:t>
      </w:r>
      <w:r>
        <w:rPr>
          <w:rFonts w:hint="eastAsia" w:ascii="楷体_GB2312" w:hAnsi="宋体" w:eastAsia="楷体_GB2312" w:cs="宋体"/>
          <w:color w:val="000000"/>
          <w:kern w:val="0"/>
          <w:sz w:val="32"/>
          <w:szCs w:val="32"/>
          <w:lang w:val="en-US" w:eastAsia="zh-CN" w:bidi="ar"/>
        </w:rPr>
        <w:t>（区法院负责）</w:t>
      </w:r>
      <w:r>
        <w:rPr>
          <w:rFonts w:hint="eastAsia" w:ascii="仿宋_GB2312" w:hAnsi="宋体" w:eastAsia="仿宋_GB2312" w:cs="宋体"/>
          <w:color w:val="000000"/>
          <w:kern w:val="0"/>
          <w:sz w:val="32"/>
          <w:szCs w:val="32"/>
          <w:lang w:val="en-US" w:eastAsia="zh-CN" w:bidi="ar"/>
        </w:rPr>
        <w:t>突出大要案查办，深挖细查案件线索，力争查办一批在全国具有标志性的大案要案。</w:t>
      </w:r>
      <w:r>
        <w:rPr>
          <w:rFonts w:hint="eastAsia" w:ascii="楷体_GB2312" w:hAnsi="宋体" w:eastAsia="楷体_GB2312" w:cs="宋体"/>
          <w:color w:val="000000"/>
          <w:kern w:val="0"/>
          <w:sz w:val="32"/>
          <w:szCs w:val="32"/>
          <w:lang w:val="en-US" w:eastAsia="zh-CN" w:bidi="ar"/>
        </w:rPr>
        <w:t>（区市场监管局、区公安分局、区检察院、区法院按职责分工负责）</w:t>
      </w:r>
    </w:p>
    <w:p>
      <w:pPr>
        <w:keepNext w:val="0"/>
        <w:keepLines w:val="0"/>
        <w:widowControl/>
        <w:suppressLineNumbers w:val="0"/>
        <w:spacing w:before="0" w:beforeAutospacing="0" w:after="0" w:afterAutospacing="0"/>
        <w:ind w:left="0" w:right="0" w:firstLine="640" w:firstLineChars="200"/>
        <w:jc w:val="left"/>
        <w:rPr>
          <w:rFonts w:hint="eastAsia" w:ascii="宋体" w:hAnsi="宋体" w:eastAsia="宋体" w:cs="宋体"/>
          <w:kern w:val="0"/>
          <w:sz w:val="24"/>
          <w:szCs w:val="24"/>
          <w:lang w:val="en-US"/>
        </w:rPr>
      </w:pPr>
      <w:r>
        <w:rPr>
          <w:rFonts w:hint="eastAsia" w:ascii="楷体_GB2312" w:hAnsi="宋体" w:eastAsia="楷体_GB2312" w:cs="宋体"/>
          <w:color w:val="000000"/>
          <w:kern w:val="0"/>
          <w:sz w:val="32"/>
          <w:szCs w:val="32"/>
          <w:lang w:val="en-US" w:eastAsia="zh-CN" w:bidi="ar"/>
        </w:rPr>
        <w:t>5.促进“三医”协同。</w:t>
      </w:r>
      <w:r>
        <w:rPr>
          <w:rFonts w:hint="eastAsia" w:ascii="仿宋_GB2312" w:hAnsi="宋体" w:eastAsia="仿宋_GB2312" w:cs="宋体"/>
          <w:color w:val="000000"/>
          <w:kern w:val="0"/>
          <w:sz w:val="32"/>
          <w:szCs w:val="32"/>
          <w:lang w:val="en-US" w:eastAsia="zh-CN" w:bidi="ar"/>
        </w:rPr>
        <w:t>加强对医疗机构用药安全管理的业务指导、质控和监督，促进临床合理用药，推动医疗机构“规范药房（库）”建设，保障患者用药安全。</w:t>
      </w:r>
      <w:r>
        <w:rPr>
          <w:rFonts w:hint="eastAsia" w:ascii="楷体_GB2312" w:hAnsi="宋体" w:eastAsia="楷体_GB2312" w:cs="宋体"/>
          <w:color w:val="000000"/>
          <w:kern w:val="0"/>
          <w:sz w:val="32"/>
          <w:szCs w:val="32"/>
          <w:lang w:val="en-US" w:eastAsia="zh-CN" w:bidi="ar"/>
        </w:rPr>
        <w:t>（区卫生健康委、区市场监管局、区医疗保障局按职责分工负责）</w:t>
      </w:r>
      <w:r>
        <w:rPr>
          <w:rFonts w:hint="eastAsia" w:ascii="仿宋_GB2312" w:hAnsi="宋体" w:eastAsia="仿宋_GB2312" w:cs="宋体"/>
          <w:color w:val="000000"/>
          <w:kern w:val="0"/>
          <w:sz w:val="32"/>
          <w:szCs w:val="32"/>
          <w:lang w:val="en-US" w:eastAsia="zh-CN" w:bidi="ar"/>
        </w:rPr>
        <w:t>严格疫苗质量安全监管，开展疫苗流通使用专项检查，对疾控机构、疫苗接种单位开展疫苗采购、储存、运输、接种全过程宣贯培训，督促做好疫苗流通使用信息、预防接种档案数据上传工作。</w:t>
      </w:r>
      <w:r>
        <w:rPr>
          <w:rFonts w:hint="eastAsia" w:ascii="楷体_GB2312" w:hAnsi="宋体" w:eastAsia="楷体_GB2312" w:cs="宋体"/>
          <w:color w:val="000000"/>
          <w:kern w:val="0"/>
          <w:sz w:val="32"/>
          <w:szCs w:val="32"/>
          <w:lang w:val="en-US" w:eastAsia="zh-CN" w:bidi="ar"/>
        </w:rPr>
        <w:t>（区市场监管局、区卫生健康委按职责分工负责）</w:t>
      </w:r>
      <w:r>
        <w:rPr>
          <w:rFonts w:hint="eastAsia" w:ascii="仿宋_GB2312" w:hAnsi="宋体" w:eastAsia="仿宋_GB2312" w:cs="宋体"/>
          <w:color w:val="000000"/>
          <w:kern w:val="0"/>
          <w:sz w:val="32"/>
          <w:szCs w:val="32"/>
          <w:lang w:val="en-US" w:eastAsia="zh-CN" w:bidi="ar"/>
        </w:rPr>
        <w:t>做好疫苗疑似预防接种异常反应监测与处置工作。</w:t>
      </w:r>
      <w:r>
        <w:rPr>
          <w:rFonts w:hint="eastAsia" w:ascii="楷体_GB2312" w:hAnsi="宋体" w:eastAsia="楷体_GB2312" w:cs="宋体"/>
          <w:color w:val="000000"/>
          <w:kern w:val="0"/>
          <w:sz w:val="32"/>
          <w:szCs w:val="32"/>
          <w:lang w:val="en-US" w:eastAsia="zh-CN" w:bidi="ar"/>
        </w:rPr>
        <w:t>（区卫生健康委负责）</w:t>
      </w:r>
      <w:r>
        <w:rPr>
          <w:rFonts w:hint="eastAsia" w:ascii="仿宋_GB2312" w:hAnsi="宋体" w:eastAsia="仿宋_GB2312" w:cs="宋体"/>
          <w:color w:val="000000"/>
          <w:kern w:val="0"/>
          <w:sz w:val="32"/>
          <w:szCs w:val="32"/>
          <w:lang w:val="en-US" w:eastAsia="zh-CN" w:bidi="ar"/>
        </w:rPr>
        <w:t>扩大药品集采品种范围，加强对集采中选结果落地执行情况的监测监督，加强集采中选产品质量监管，让更多“放心药”、“平价药”惠及人民群众。</w:t>
      </w:r>
      <w:r>
        <w:rPr>
          <w:rFonts w:hint="eastAsia" w:ascii="楷体_GB2312" w:hAnsi="宋体" w:eastAsia="楷体_GB2312" w:cs="宋体"/>
          <w:color w:val="000000"/>
          <w:kern w:val="0"/>
          <w:sz w:val="32"/>
          <w:szCs w:val="32"/>
          <w:lang w:val="en-US" w:eastAsia="zh-CN" w:bidi="ar"/>
        </w:rPr>
        <w:t>（区医疗保障局、区卫生健康委、区市场监管局按职责分工负责）</w:t>
      </w:r>
      <w:r>
        <w:rPr>
          <w:rFonts w:hint="eastAsia" w:ascii="仿宋_GB2312" w:hAnsi="宋体" w:eastAsia="仿宋_GB2312" w:cs="宋体"/>
          <w:color w:val="000000"/>
          <w:kern w:val="0"/>
          <w:sz w:val="32"/>
          <w:szCs w:val="32"/>
          <w:lang w:val="en-US" w:eastAsia="zh-CN" w:bidi="ar"/>
        </w:rPr>
        <w:t>试点实施中药饮片信息化追溯，提升中医药健康服务水平。</w:t>
      </w:r>
      <w:r>
        <w:rPr>
          <w:rFonts w:hint="eastAsia" w:ascii="楷体_GB2312" w:hAnsi="宋体" w:eastAsia="楷体_GB2312" w:cs="宋体"/>
          <w:color w:val="000000"/>
          <w:kern w:val="0"/>
          <w:sz w:val="32"/>
          <w:szCs w:val="32"/>
          <w:lang w:val="en-US" w:eastAsia="zh-CN" w:bidi="ar"/>
        </w:rPr>
        <w:t>（区市场监管局、区卫生健康委、区医疗保障局按职责分工负责）</w:t>
      </w:r>
    </w:p>
    <w:p>
      <w:pPr>
        <w:keepNext w:val="0"/>
        <w:keepLines w:val="0"/>
        <w:widowControl/>
        <w:suppressLineNumbers w:val="0"/>
        <w:spacing w:before="0" w:beforeAutospacing="0" w:after="0" w:afterAutospacing="0"/>
        <w:ind w:left="0" w:right="0" w:firstLine="640" w:firstLineChars="200"/>
        <w:jc w:val="left"/>
        <w:rPr>
          <w:rFonts w:hint="eastAsia" w:ascii="宋体" w:hAnsi="宋体" w:eastAsia="宋体" w:cs="宋体"/>
          <w:kern w:val="0"/>
          <w:sz w:val="24"/>
          <w:szCs w:val="24"/>
          <w:lang w:val="en-US"/>
        </w:rPr>
      </w:pPr>
      <w:r>
        <w:rPr>
          <w:rFonts w:hint="eastAsia" w:ascii="楷体_GB2312" w:hAnsi="宋体" w:eastAsia="楷体_GB2312" w:cs="宋体"/>
          <w:color w:val="000000"/>
          <w:kern w:val="0"/>
          <w:sz w:val="32"/>
          <w:szCs w:val="32"/>
          <w:lang w:val="en-US" w:eastAsia="zh-CN" w:bidi="ar"/>
        </w:rPr>
        <w:t>6.做好供应保障。</w:t>
      </w:r>
      <w:r>
        <w:rPr>
          <w:rFonts w:hint="eastAsia" w:ascii="仿宋_GB2312" w:hAnsi="宋体" w:eastAsia="仿宋_GB2312" w:cs="宋体"/>
          <w:color w:val="000000"/>
          <w:kern w:val="0"/>
          <w:sz w:val="32"/>
          <w:szCs w:val="32"/>
          <w:lang w:val="en-US" w:eastAsia="zh-CN" w:bidi="ar"/>
        </w:rPr>
        <w:t>依托“安徽省疫情防控重要物资保障调度平台”，持续调度平台内企业产能产量情况。</w:t>
      </w:r>
      <w:r>
        <w:rPr>
          <w:rFonts w:hint="eastAsia" w:ascii="楷体_GB2312" w:hAnsi="宋体" w:eastAsia="楷体_GB2312" w:cs="宋体"/>
          <w:color w:val="000000"/>
          <w:kern w:val="0"/>
          <w:sz w:val="32"/>
          <w:szCs w:val="32"/>
          <w:lang w:val="en-US" w:eastAsia="zh-CN" w:bidi="ar"/>
        </w:rPr>
        <w:t>（区经济和信息化局负责）</w:t>
      </w:r>
      <w:r>
        <w:rPr>
          <w:rFonts w:hint="eastAsia" w:ascii="仿宋_GB2312" w:hAnsi="宋体" w:eastAsia="仿宋_GB2312" w:cs="宋体"/>
          <w:color w:val="000000"/>
          <w:kern w:val="0"/>
          <w:sz w:val="32"/>
          <w:szCs w:val="32"/>
          <w:lang w:val="en-US" w:eastAsia="zh-CN" w:bidi="ar"/>
        </w:rPr>
        <w:t>推进短缺药品保供稳价，加强信息协同共享，健全监测预警和应对机制，持续做好短缺药品清单管理，完善分级应对、分类处置机制，及时应对临时性短缺风险，提高药品供应保障能力。</w:t>
      </w:r>
      <w:r>
        <w:rPr>
          <w:rFonts w:hint="eastAsia" w:ascii="楷体_GB2312" w:hAnsi="宋体" w:eastAsia="楷体_GB2312" w:cs="宋体"/>
          <w:color w:val="000000"/>
          <w:kern w:val="0"/>
          <w:sz w:val="32"/>
          <w:szCs w:val="32"/>
          <w:lang w:val="en-US" w:eastAsia="zh-CN" w:bidi="ar"/>
        </w:rPr>
        <w:t>（区卫生健康委牵头，区发展改革委、区经济和信息化局、区财政局、区市场监管局、区医疗保障局配合）</w:t>
      </w:r>
      <w:r>
        <w:rPr>
          <w:rFonts w:hint="eastAsia" w:ascii="仿宋_GB2312" w:hAnsi="宋体" w:eastAsia="仿宋_GB2312" w:cs="宋体"/>
          <w:color w:val="000000"/>
          <w:kern w:val="0"/>
          <w:sz w:val="32"/>
          <w:szCs w:val="32"/>
          <w:lang w:val="en-US" w:eastAsia="zh-CN" w:bidi="ar"/>
        </w:rPr>
        <w:t>加强药品市场价格巡查检查，重点查处医疗机构、药房等不明码标价、不执行政府指导价政府定价、价格欺诈、哄抬价格等价格违法行为。</w:t>
      </w:r>
      <w:r>
        <w:rPr>
          <w:rFonts w:hint="eastAsia" w:ascii="楷体_GB2312" w:hAnsi="宋体" w:eastAsia="楷体_GB2312" w:cs="宋体"/>
          <w:color w:val="000000"/>
          <w:kern w:val="0"/>
          <w:sz w:val="32"/>
          <w:szCs w:val="32"/>
          <w:lang w:val="en-US" w:eastAsia="zh-CN" w:bidi="ar"/>
        </w:rPr>
        <w:t>（区市场监管局负责）</w:t>
      </w:r>
    </w:p>
    <w:p>
      <w:pPr>
        <w:keepNext w:val="0"/>
        <w:keepLines w:val="0"/>
        <w:widowControl/>
        <w:suppressLineNumbers w:val="0"/>
        <w:spacing w:before="0" w:beforeAutospacing="0" w:after="0" w:afterAutospacing="0"/>
        <w:ind w:left="0" w:right="0" w:firstLine="640"/>
        <w:jc w:val="left"/>
        <w:rPr>
          <w:rFonts w:hint="eastAsia" w:ascii="宋体" w:hAnsi="宋体" w:eastAsia="宋体" w:cs="宋体"/>
          <w:kern w:val="0"/>
          <w:sz w:val="24"/>
          <w:szCs w:val="24"/>
          <w:lang w:val="en-US"/>
        </w:rPr>
      </w:pPr>
      <w:r>
        <w:rPr>
          <w:rFonts w:hint="eastAsia" w:ascii="黑体" w:hAnsi="宋体" w:eastAsia="黑体" w:cs="宋体"/>
          <w:color w:val="000000"/>
          <w:kern w:val="0"/>
          <w:sz w:val="32"/>
          <w:szCs w:val="32"/>
          <w:lang w:val="en-US" w:eastAsia="zh-CN" w:bidi="ar"/>
        </w:rPr>
        <w:t>二、加强药品安全社会共治</w:t>
      </w:r>
    </w:p>
    <w:p>
      <w:pPr>
        <w:keepNext w:val="0"/>
        <w:keepLines w:val="0"/>
        <w:widowControl w:val="0"/>
        <w:suppressLineNumbers w:val="0"/>
        <w:spacing w:before="0" w:beforeAutospacing="0" w:after="0" w:afterAutospacing="0"/>
        <w:ind w:left="0" w:right="0" w:firstLine="640" w:firstLineChars="200"/>
        <w:jc w:val="both"/>
        <w:rPr>
          <w:rFonts w:hint="eastAsia" w:ascii="楷体_GB2312" w:hAnsi="宋体" w:eastAsia="楷体_GB2312" w:cs="宋体"/>
          <w:color w:val="000000"/>
          <w:kern w:val="0"/>
          <w:sz w:val="32"/>
          <w:szCs w:val="32"/>
          <w:lang w:val="en-US"/>
        </w:rPr>
      </w:pPr>
      <w:r>
        <w:rPr>
          <w:rFonts w:hint="eastAsia" w:ascii="楷体_GB2312" w:hAnsi="宋体" w:eastAsia="楷体_GB2312" w:cs="宋体"/>
          <w:color w:val="000000"/>
          <w:kern w:val="0"/>
          <w:sz w:val="32"/>
          <w:szCs w:val="32"/>
          <w:lang w:val="en-US" w:eastAsia="zh-CN" w:bidi="ar"/>
        </w:rPr>
        <w:t>7.健全共治责任体系。</w:t>
      </w:r>
      <w:r>
        <w:rPr>
          <w:rFonts w:hint="eastAsia" w:ascii="仿宋_GB2312" w:hAnsi="宋体" w:eastAsia="仿宋_GB2312" w:cs="宋体"/>
          <w:color w:val="000000"/>
          <w:kern w:val="0"/>
          <w:sz w:val="32"/>
          <w:szCs w:val="32"/>
          <w:lang w:val="en-US" w:eastAsia="zh-CN" w:bidi="ar"/>
        </w:rPr>
        <w:t>出台《关于进一步加强食品药品安全社会共治的若干措施》，并做好贯彻落实，</w:t>
      </w:r>
      <w:r>
        <w:rPr>
          <w:rFonts w:hint="eastAsia" w:ascii="仿宋_GB2312" w:hAnsi="Calibri" w:eastAsia="仿宋_GB2312" w:cs="仿宋_GB2312"/>
          <w:kern w:val="2"/>
          <w:sz w:val="32"/>
          <w:szCs w:val="32"/>
          <w:lang w:val="en-US" w:eastAsia="zh-CN" w:bidi="ar"/>
        </w:rPr>
        <w:t>推进药品安全“两个责任”落地落实</w:t>
      </w:r>
      <w:r>
        <w:rPr>
          <w:rFonts w:hint="eastAsia" w:ascii="仿宋_GB2312" w:hAnsi="宋体" w:eastAsia="仿宋_GB2312" w:cs="宋体"/>
          <w:color w:val="000000"/>
          <w:kern w:val="0"/>
          <w:sz w:val="32"/>
          <w:szCs w:val="32"/>
          <w:lang w:val="en-US" w:eastAsia="zh-CN" w:bidi="ar"/>
        </w:rPr>
        <w:t>。</w:t>
      </w:r>
      <w:r>
        <w:rPr>
          <w:rFonts w:hint="eastAsia" w:ascii="楷体_GB2312" w:hAnsi="宋体" w:eastAsia="楷体_GB2312" w:cs="宋体"/>
          <w:color w:val="000000"/>
          <w:kern w:val="0"/>
          <w:sz w:val="32"/>
          <w:szCs w:val="32"/>
          <w:lang w:val="en-US" w:eastAsia="zh-CN" w:bidi="ar"/>
        </w:rPr>
        <w:t>（区市场监管局牵头，区药安委相关成员单位配合）</w:t>
      </w:r>
      <w:r>
        <w:rPr>
          <w:rFonts w:hint="eastAsia" w:ascii="仿宋_GB2312" w:hAnsi="宋体" w:eastAsia="仿宋_GB2312" w:cs="宋体"/>
          <w:color w:val="000000"/>
          <w:kern w:val="0"/>
          <w:sz w:val="32"/>
          <w:szCs w:val="32"/>
          <w:lang w:val="en-US" w:eastAsia="zh-CN" w:bidi="ar"/>
        </w:rPr>
        <w:t>健全药品安全工作责任体系，完善统筹协调机制，调动各方资源，有效发挥药品安全职能部门在药品安全社会共治中的主导作用，精准防控药品安全风险。</w:t>
      </w:r>
      <w:r>
        <w:rPr>
          <w:rFonts w:hint="eastAsia" w:ascii="楷体_GB2312" w:hAnsi="宋体" w:eastAsia="楷体_GB2312" w:cs="宋体"/>
          <w:color w:val="000000"/>
          <w:kern w:val="0"/>
          <w:sz w:val="32"/>
          <w:szCs w:val="32"/>
          <w:lang w:val="en-US" w:eastAsia="zh-CN" w:bidi="ar"/>
        </w:rPr>
        <w:t>（区市场监管局牵头，区药安委相关成员单位配合）</w:t>
      </w:r>
    </w:p>
    <w:p>
      <w:pPr>
        <w:keepNext w:val="0"/>
        <w:keepLines w:val="0"/>
        <w:widowControl/>
        <w:suppressLineNumbers w:val="0"/>
        <w:spacing w:before="0" w:beforeAutospacing="0" w:after="0" w:afterAutospacing="0"/>
        <w:ind w:left="0" w:right="0"/>
        <w:jc w:val="left"/>
        <w:rPr>
          <w:rFonts w:hint="eastAsia" w:ascii="楷体_GB2312" w:hAnsi="宋体" w:eastAsia="楷体_GB2312" w:cs="宋体"/>
          <w:color w:val="000000"/>
          <w:kern w:val="0"/>
          <w:sz w:val="32"/>
          <w:szCs w:val="32"/>
          <w:lang w:val="en-US"/>
        </w:rPr>
      </w:pPr>
      <w:r>
        <w:rPr>
          <w:rFonts w:hint="eastAsia" w:ascii="楷体_GB2312" w:hAnsi="宋体" w:eastAsia="楷体_GB2312" w:cs="宋体"/>
          <w:color w:val="000000"/>
          <w:kern w:val="0"/>
          <w:sz w:val="32"/>
          <w:szCs w:val="32"/>
          <w:lang w:val="en-US" w:eastAsia="zh-CN" w:bidi="ar"/>
        </w:rPr>
        <w:t xml:space="preserve">    8.落实属地管理责任。</w:t>
      </w:r>
      <w:r>
        <w:rPr>
          <w:rFonts w:hint="eastAsia" w:ascii="仿宋_GB2312" w:hAnsi="宋体" w:eastAsia="仿宋_GB2312" w:cs="宋体"/>
          <w:color w:val="000000"/>
          <w:kern w:val="0"/>
          <w:sz w:val="32"/>
          <w:szCs w:val="32"/>
          <w:lang w:val="en-US" w:eastAsia="zh-CN" w:bidi="ar"/>
        </w:rPr>
        <w:t>充实基层市场监管人员力量，在制定用编用人计划时优先保障任务重的市场监管所，确保有足够资源履行药品监管职责。</w:t>
      </w:r>
      <w:r>
        <w:rPr>
          <w:rFonts w:hint="eastAsia" w:ascii="楷体_GB2312" w:hAnsi="宋体" w:eastAsia="楷体_GB2312" w:cs="宋体"/>
          <w:color w:val="000000"/>
          <w:kern w:val="0"/>
          <w:sz w:val="32"/>
          <w:szCs w:val="32"/>
          <w:lang w:val="en-US" w:eastAsia="zh-CN" w:bidi="ar"/>
        </w:rPr>
        <w:t>（区市场监管局牵头，区药安委相关成员单位配合）</w:t>
      </w:r>
      <w:r>
        <w:rPr>
          <w:rFonts w:hint="eastAsia" w:ascii="仿宋_GB2312" w:hAnsi="宋体" w:eastAsia="仿宋_GB2312" w:cs="宋体"/>
          <w:color w:val="000000"/>
          <w:kern w:val="0"/>
          <w:sz w:val="32"/>
          <w:szCs w:val="32"/>
          <w:lang w:val="en-US" w:eastAsia="zh-CN" w:bidi="ar"/>
        </w:rPr>
        <w:t>落实省药品安全“四员”队伍建设指导意见，加快推进药品监管能力标准化建设，大力发展“四员”队伍，加大培训力度，充分发挥作用。将药品安全纳入基层网格化治理体系，确保药品安全问题早发现、早报告、早解决。</w:t>
      </w:r>
      <w:r>
        <w:rPr>
          <w:rFonts w:hint="eastAsia" w:ascii="楷体_GB2312" w:hAnsi="宋体" w:eastAsia="楷体_GB2312" w:cs="宋体"/>
          <w:color w:val="000000"/>
          <w:kern w:val="0"/>
          <w:sz w:val="32"/>
          <w:szCs w:val="32"/>
          <w:lang w:val="en-US" w:eastAsia="zh-CN" w:bidi="ar"/>
        </w:rPr>
        <w:t>（区市场监管局牵头，区药安委相关成员单位配合）</w:t>
      </w:r>
      <w:r>
        <w:rPr>
          <w:rFonts w:hint="eastAsia" w:ascii="仿宋_GB2312" w:hAnsi="宋体" w:eastAsia="仿宋_GB2312" w:cs="宋体"/>
          <w:color w:val="000000"/>
          <w:kern w:val="0"/>
          <w:sz w:val="32"/>
          <w:szCs w:val="32"/>
          <w:lang w:val="en-US" w:eastAsia="zh-CN" w:bidi="ar"/>
        </w:rPr>
        <w:t>发挥考核导向作用，把药品安全工作开展情况纳入地方政府目标管理绩效考核以及地方领导班子和领导干部考核内容。</w:t>
      </w:r>
      <w:r>
        <w:rPr>
          <w:rFonts w:hint="eastAsia" w:ascii="楷体_GB2312" w:hAnsi="宋体" w:eastAsia="楷体_GB2312" w:cs="宋体"/>
          <w:color w:val="000000"/>
          <w:kern w:val="0"/>
          <w:sz w:val="32"/>
          <w:szCs w:val="32"/>
          <w:lang w:val="en-US" w:eastAsia="zh-CN" w:bidi="ar"/>
        </w:rPr>
        <w:t>（区委组织部、区政府办公室（督查室）牵头，区药安委相关成员单位配合）</w:t>
      </w:r>
    </w:p>
    <w:p>
      <w:pPr>
        <w:keepNext w:val="0"/>
        <w:keepLines w:val="0"/>
        <w:widowControl/>
        <w:suppressLineNumbers w:val="0"/>
        <w:spacing w:before="0" w:beforeAutospacing="0" w:after="0" w:afterAutospacing="0"/>
        <w:ind w:left="0" w:right="0" w:firstLine="640"/>
        <w:jc w:val="left"/>
        <w:rPr>
          <w:rFonts w:hint="eastAsia" w:ascii="宋体" w:hAnsi="宋体" w:eastAsia="宋体" w:cs="宋体"/>
          <w:kern w:val="0"/>
          <w:sz w:val="24"/>
          <w:szCs w:val="24"/>
          <w:lang w:val="en-US"/>
        </w:rPr>
      </w:pPr>
      <w:r>
        <w:rPr>
          <w:rFonts w:hint="eastAsia" w:ascii="楷体_GB2312" w:hAnsi="宋体" w:eastAsia="楷体_GB2312" w:cs="宋体"/>
          <w:color w:val="000000"/>
          <w:kern w:val="0"/>
          <w:sz w:val="32"/>
          <w:szCs w:val="32"/>
          <w:lang w:val="en-US" w:eastAsia="zh-CN" w:bidi="ar"/>
        </w:rPr>
        <w:t>9.压实企业主体责任。</w:t>
      </w:r>
      <w:r>
        <w:rPr>
          <w:rFonts w:hint="eastAsia" w:ascii="仿宋_GB2312" w:hAnsi="宋体" w:eastAsia="仿宋_GB2312" w:cs="宋体"/>
          <w:color w:val="000000"/>
          <w:kern w:val="0"/>
          <w:sz w:val="32"/>
          <w:szCs w:val="32"/>
          <w:lang w:val="en-US" w:eastAsia="zh-CN" w:bidi="ar"/>
        </w:rPr>
        <w:t>强化面向企业的政策宣传和警示教育，推动医疗器械备案人关键岗位人员和管理者代表能力提升，督促企业落实关键事项报告、年度报告职责，切实履行“两品一械”（药品、化妆品、医疗器械）质量安全主体责任监督管理规定。</w:t>
      </w:r>
      <w:r>
        <w:rPr>
          <w:rFonts w:hint="eastAsia" w:ascii="楷体_GB2312" w:hAnsi="宋体" w:eastAsia="楷体_GB2312" w:cs="宋体"/>
          <w:color w:val="000000"/>
          <w:kern w:val="0"/>
          <w:sz w:val="32"/>
          <w:szCs w:val="32"/>
          <w:lang w:val="en-US" w:eastAsia="zh-CN" w:bidi="ar"/>
        </w:rPr>
        <w:t>（区市场监管局负责）</w:t>
      </w:r>
      <w:r>
        <w:rPr>
          <w:rFonts w:hint="eastAsia" w:ascii="仿宋_GB2312" w:hAnsi="宋体" w:eastAsia="仿宋_GB2312" w:cs="宋体"/>
          <w:color w:val="000000"/>
          <w:kern w:val="0"/>
          <w:sz w:val="32"/>
          <w:szCs w:val="32"/>
          <w:lang w:val="en-US" w:eastAsia="zh-CN" w:bidi="ar"/>
        </w:rPr>
        <w:t>实施药品安全信用风险分类管理，推动信用监管与风险分级监管深度融合。及时归集药品经营企业行政处罚、抽查检查结果等信息，并通过“信用安徽”网站、国家企业信用信息公示系统公示。</w:t>
      </w:r>
      <w:r>
        <w:rPr>
          <w:rFonts w:hint="eastAsia" w:ascii="楷体_GB2312" w:hAnsi="宋体" w:eastAsia="楷体_GB2312" w:cs="宋体"/>
          <w:color w:val="000000"/>
          <w:kern w:val="0"/>
          <w:sz w:val="32"/>
          <w:szCs w:val="32"/>
          <w:lang w:val="en-US" w:eastAsia="zh-CN" w:bidi="ar"/>
        </w:rPr>
        <w:t>（区市场监管局、区发展改革委按职责分工负责）</w:t>
      </w:r>
    </w:p>
    <w:p>
      <w:pPr>
        <w:keepNext w:val="0"/>
        <w:keepLines w:val="0"/>
        <w:widowControl/>
        <w:suppressLineNumbers w:val="0"/>
        <w:spacing w:before="0" w:beforeAutospacing="0" w:after="0" w:afterAutospacing="0"/>
        <w:ind w:left="0" w:right="0" w:firstLine="640" w:firstLineChars="200"/>
        <w:jc w:val="left"/>
        <w:rPr>
          <w:rFonts w:hint="eastAsia" w:ascii="宋体" w:hAnsi="宋体" w:eastAsia="宋体" w:cs="宋体"/>
          <w:kern w:val="0"/>
          <w:sz w:val="24"/>
          <w:szCs w:val="24"/>
          <w:lang w:val="en-US"/>
        </w:rPr>
      </w:pPr>
      <w:r>
        <w:rPr>
          <w:rFonts w:hint="eastAsia" w:ascii="楷体_GB2312" w:hAnsi="宋体" w:eastAsia="楷体_GB2312" w:cs="宋体"/>
          <w:color w:val="000000"/>
          <w:kern w:val="0"/>
          <w:sz w:val="32"/>
          <w:szCs w:val="32"/>
          <w:lang w:val="en-US" w:eastAsia="zh-CN" w:bidi="ar"/>
        </w:rPr>
        <w:t>10.发挥社会组织作用。</w:t>
      </w:r>
      <w:r>
        <w:rPr>
          <w:rFonts w:hint="eastAsia" w:ascii="仿宋_GB2312" w:hAnsi="宋体" w:eastAsia="仿宋_GB2312" w:cs="宋体"/>
          <w:color w:val="000000"/>
          <w:kern w:val="0"/>
          <w:sz w:val="32"/>
          <w:szCs w:val="32"/>
          <w:lang w:val="en-US" w:eastAsia="zh-CN" w:bidi="ar"/>
        </w:rPr>
        <w:t>鼓励支持医药行业协会制定行规行约，充分发挥行业协会自我教育、自我管理、自我服务、自我约束功能，督促引导药品生产经营者依法依规、诚信自律。</w:t>
      </w:r>
      <w:r>
        <w:rPr>
          <w:rFonts w:hint="eastAsia" w:ascii="楷体_GB2312" w:hAnsi="宋体" w:eastAsia="楷体_GB2312" w:cs="宋体"/>
          <w:color w:val="000000"/>
          <w:kern w:val="0"/>
          <w:sz w:val="32"/>
          <w:szCs w:val="32"/>
          <w:lang w:val="en-US" w:eastAsia="zh-CN" w:bidi="ar"/>
        </w:rPr>
        <w:t>（各行业管理部门牵头，区民政局配合）</w:t>
      </w:r>
      <w:r>
        <w:rPr>
          <w:rFonts w:hint="eastAsia" w:ascii="仿宋_GB2312" w:hAnsi="宋体" w:eastAsia="仿宋_GB2312" w:cs="宋体"/>
          <w:color w:val="000000"/>
          <w:kern w:val="0"/>
          <w:sz w:val="32"/>
          <w:szCs w:val="32"/>
          <w:lang w:val="en-US" w:eastAsia="zh-CN" w:bidi="ar"/>
        </w:rPr>
        <w:t>鼓励支持高校、科研院所、专家智库、信用评定机构、检验检测机构、具有相关科研实力的大型企业、行业协会等各类组织在药品安全政策制订、突发事件应对、舆情处置、信用评价、宣传教育、风险交流、评估预警等方面发挥作用。</w:t>
      </w:r>
      <w:r>
        <w:rPr>
          <w:rFonts w:hint="eastAsia" w:ascii="楷体_GB2312" w:hAnsi="宋体" w:eastAsia="楷体_GB2312" w:cs="宋体"/>
          <w:color w:val="000000"/>
          <w:kern w:val="0"/>
          <w:sz w:val="32"/>
          <w:szCs w:val="32"/>
          <w:lang w:val="en-US" w:eastAsia="zh-CN" w:bidi="ar"/>
        </w:rPr>
        <w:t>（区药安委各成员单位按职责分工负责）</w:t>
      </w:r>
    </w:p>
    <w:p>
      <w:pPr>
        <w:keepNext w:val="0"/>
        <w:keepLines w:val="0"/>
        <w:widowControl/>
        <w:suppressLineNumbers w:val="0"/>
        <w:spacing w:before="0" w:beforeAutospacing="0" w:after="0" w:afterAutospacing="0"/>
        <w:ind w:left="0" w:right="0" w:firstLine="640"/>
        <w:jc w:val="left"/>
        <w:rPr>
          <w:rFonts w:hint="eastAsia" w:ascii="宋体" w:hAnsi="宋体" w:eastAsia="宋体" w:cs="宋体"/>
          <w:kern w:val="0"/>
          <w:sz w:val="24"/>
          <w:szCs w:val="24"/>
          <w:lang w:val="en-US"/>
        </w:rPr>
      </w:pPr>
      <w:r>
        <w:rPr>
          <w:rFonts w:hint="eastAsia" w:ascii="楷体_GB2312" w:hAnsi="宋体" w:eastAsia="楷体_GB2312" w:cs="宋体"/>
          <w:color w:val="000000"/>
          <w:kern w:val="0"/>
          <w:sz w:val="32"/>
          <w:szCs w:val="32"/>
          <w:lang w:val="en-US" w:eastAsia="zh-CN" w:bidi="ar"/>
        </w:rPr>
        <w:t>11.营造共治共享氛围。</w:t>
      </w:r>
      <w:r>
        <w:rPr>
          <w:rFonts w:hint="eastAsia" w:ascii="仿宋_GB2312" w:hAnsi="宋体" w:eastAsia="仿宋_GB2312" w:cs="宋体"/>
          <w:color w:val="000000"/>
          <w:kern w:val="0"/>
          <w:sz w:val="32"/>
          <w:szCs w:val="32"/>
          <w:lang w:val="en-US" w:eastAsia="zh-CN" w:bidi="ar"/>
        </w:rPr>
        <w:t>畅通各类投诉举报渠道，依法规范处理各类药品投诉举报，落实药品安全“吹哨人”制度、违法行为举报奖励制度，推动组建药品安全社会监督员、志愿者等公益性服务队伍。</w:t>
      </w:r>
      <w:r>
        <w:rPr>
          <w:rFonts w:hint="eastAsia" w:ascii="楷体_GB2312" w:hAnsi="宋体" w:eastAsia="楷体_GB2312" w:cs="宋体"/>
          <w:color w:val="000000"/>
          <w:kern w:val="0"/>
          <w:sz w:val="32"/>
          <w:szCs w:val="32"/>
          <w:lang w:val="en-US" w:eastAsia="zh-CN" w:bidi="ar"/>
        </w:rPr>
        <w:t>（区市场监管局牵头，区药安委相关成员单位配合）</w:t>
      </w:r>
      <w:r>
        <w:rPr>
          <w:rFonts w:hint="eastAsia" w:ascii="仿宋_GB2312" w:hAnsi="宋体" w:eastAsia="仿宋_GB2312" w:cs="宋体"/>
          <w:color w:val="000000"/>
          <w:kern w:val="0"/>
          <w:sz w:val="32"/>
          <w:szCs w:val="32"/>
          <w:lang w:val="en-US" w:eastAsia="zh-CN" w:bidi="ar"/>
        </w:rPr>
        <w:t>组织开展“药品安全宣传月”等主题宣传活动。</w:t>
      </w:r>
      <w:r>
        <w:rPr>
          <w:rFonts w:hint="eastAsia" w:ascii="楷体_GB2312" w:hAnsi="宋体" w:eastAsia="楷体_GB2312" w:cs="宋体"/>
          <w:color w:val="000000"/>
          <w:kern w:val="0"/>
          <w:sz w:val="32"/>
          <w:szCs w:val="32"/>
          <w:lang w:val="en-US" w:eastAsia="zh-CN" w:bidi="ar"/>
        </w:rPr>
        <w:t>（区市场监管局牵头，区药安委相关成员单位配合）</w:t>
      </w:r>
      <w:r>
        <w:rPr>
          <w:rFonts w:hint="eastAsia" w:ascii="仿宋_GB2312" w:hAnsi="宋体" w:eastAsia="仿宋_GB2312" w:cs="宋体"/>
          <w:color w:val="000000"/>
          <w:kern w:val="0"/>
          <w:sz w:val="32"/>
          <w:szCs w:val="32"/>
          <w:lang w:val="en-US" w:eastAsia="zh-CN" w:bidi="ar"/>
        </w:rPr>
        <w:t>引导各类媒体加大药品安全工作宣传力度，促进融合传播，扩大宣传覆盖面，推进国家、省级药品法治宣传教育基地和省级安全用药科普基地（宣传站）建设，营造药品安全齐抓共管的良好氛围。</w:t>
      </w:r>
      <w:r>
        <w:rPr>
          <w:rFonts w:hint="eastAsia" w:ascii="楷体_GB2312" w:hAnsi="宋体" w:eastAsia="楷体_GB2312" w:cs="宋体"/>
          <w:color w:val="000000"/>
          <w:kern w:val="0"/>
          <w:sz w:val="32"/>
          <w:szCs w:val="32"/>
          <w:lang w:val="en-US" w:eastAsia="zh-CN" w:bidi="ar"/>
        </w:rPr>
        <w:t>（区委宣传部、区市场监管局按职责分工负责）</w:t>
      </w:r>
    </w:p>
    <w:p>
      <w:pPr>
        <w:keepNext w:val="0"/>
        <w:keepLines w:val="0"/>
        <w:widowControl/>
        <w:suppressLineNumbers w:val="0"/>
        <w:spacing w:before="0" w:beforeAutospacing="0" w:after="0" w:afterAutospacing="0"/>
        <w:ind w:left="0" w:right="0" w:firstLine="640"/>
        <w:jc w:val="left"/>
        <w:rPr>
          <w:rFonts w:hint="eastAsia" w:ascii="宋体" w:hAnsi="宋体" w:eastAsia="宋体" w:cs="宋体"/>
          <w:kern w:val="0"/>
          <w:sz w:val="24"/>
          <w:szCs w:val="24"/>
          <w:lang w:val="en-US"/>
        </w:rPr>
      </w:pPr>
      <w:r>
        <w:rPr>
          <w:rFonts w:hint="eastAsia" w:ascii="黑体" w:hAnsi="宋体" w:eastAsia="黑体" w:cs="宋体"/>
          <w:color w:val="000000"/>
          <w:kern w:val="0"/>
          <w:sz w:val="32"/>
          <w:szCs w:val="32"/>
          <w:lang w:val="en-US" w:eastAsia="zh-CN" w:bidi="ar"/>
        </w:rPr>
        <w:t>三、提升药品安全治理能力</w:t>
      </w:r>
    </w:p>
    <w:p>
      <w:pPr>
        <w:keepNext w:val="0"/>
        <w:keepLines w:val="0"/>
        <w:widowControl/>
        <w:suppressLineNumbers w:val="0"/>
        <w:spacing w:before="0" w:beforeAutospacing="0" w:after="0" w:afterAutospacing="0"/>
        <w:ind w:left="0" w:right="0" w:firstLine="640"/>
        <w:jc w:val="both"/>
        <w:rPr>
          <w:rFonts w:hint="eastAsia" w:ascii="宋体" w:hAnsi="宋体" w:eastAsia="宋体" w:cs="宋体"/>
          <w:kern w:val="0"/>
          <w:sz w:val="24"/>
          <w:szCs w:val="24"/>
          <w:lang w:val="en-US"/>
        </w:rPr>
      </w:pPr>
      <w:r>
        <w:rPr>
          <w:rFonts w:hint="eastAsia" w:ascii="楷体_GB2312" w:hAnsi="宋体" w:eastAsia="楷体_GB2312" w:cs="宋体"/>
          <w:color w:val="000000"/>
          <w:kern w:val="0"/>
          <w:sz w:val="32"/>
          <w:szCs w:val="32"/>
          <w:lang w:val="en-US" w:eastAsia="zh-CN" w:bidi="ar"/>
        </w:rPr>
        <w:t>12.健全制度标准体系。</w:t>
      </w:r>
      <w:r>
        <w:rPr>
          <w:rFonts w:hint="eastAsia" w:ascii="仿宋_GB2312" w:hAnsi="宋体" w:eastAsia="仿宋_GB2312" w:cs="宋体"/>
          <w:color w:val="000000"/>
          <w:kern w:val="0"/>
          <w:sz w:val="32"/>
          <w:szCs w:val="32"/>
          <w:lang w:val="en-US" w:eastAsia="zh-CN" w:bidi="ar"/>
        </w:rPr>
        <w:t>执行省级修订的药品医疗器械化妆品行政处罚裁量基准、药品经营和使用质量监督管理办法实施细则、药品监管领域轻微违法行为免予处罚清单等制度规定，持续推进严格规范公正文明执法。</w:t>
      </w:r>
      <w:r>
        <w:rPr>
          <w:rFonts w:hint="eastAsia" w:ascii="楷体_GB2312" w:hAnsi="宋体" w:eastAsia="楷体_GB2312" w:cs="宋体"/>
          <w:color w:val="000000"/>
          <w:kern w:val="0"/>
          <w:sz w:val="32"/>
          <w:szCs w:val="32"/>
          <w:lang w:val="en-US" w:eastAsia="zh-CN" w:bidi="ar"/>
        </w:rPr>
        <w:t>（区市场监管局、区司法局按职责分工负责）</w:t>
      </w:r>
      <w:r>
        <w:rPr>
          <w:rFonts w:hint="eastAsia" w:ascii="仿宋_GB2312" w:hAnsi="宋体" w:eastAsia="仿宋_GB2312" w:cs="宋体"/>
          <w:color w:val="000000"/>
          <w:kern w:val="0"/>
          <w:sz w:val="32"/>
          <w:szCs w:val="32"/>
          <w:lang w:val="en-US" w:eastAsia="zh-CN" w:bidi="ar"/>
        </w:rPr>
        <w:t>以药品监管质量管理体系认证为新起点，推动体系规范有效运行。</w:t>
      </w:r>
      <w:r>
        <w:rPr>
          <w:rFonts w:hint="eastAsia" w:ascii="楷体_GB2312" w:hAnsi="宋体" w:eastAsia="楷体_GB2312" w:cs="宋体"/>
          <w:color w:val="000000"/>
          <w:kern w:val="0"/>
          <w:sz w:val="32"/>
          <w:szCs w:val="32"/>
          <w:lang w:val="en-US" w:eastAsia="zh-CN" w:bidi="ar"/>
        </w:rPr>
        <w:t>（区市场监管局负责）</w:t>
      </w:r>
    </w:p>
    <w:p>
      <w:pPr>
        <w:keepNext w:val="0"/>
        <w:keepLines w:val="0"/>
        <w:widowControl/>
        <w:suppressLineNumbers w:val="0"/>
        <w:spacing w:before="0" w:beforeAutospacing="0" w:after="0" w:afterAutospacing="0"/>
        <w:ind w:left="0" w:right="0" w:firstLine="640" w:firstLineChars="200"/>
        <w:jc w:val="both"/>
        <w:rPr>
          <w:rFonts w:hint="eastAsia" w:ascii="宋体" w:hAnsi="宋体" w:eastAsia="宋体" w:cs="宋体"/>
          <w:kern w:val="0"/>
          <w:sz w:val="24"/>
          <w:szCs w:val="24"/>
          <w:lang w:val="en-US"/>
        </w:rPr>
      </w:pPr>
      <w:r>
        <w:rPr>
          <w:rFonts w:hint="eastAsia" w:ascii="楷体_GB2312" w:hAnsi="宋体" w:eastAsia="楷体_GB2312" w:cs="宋体"/>
          <w:color w:val="000000"/>
          <w:kern w:val="0"/>
          <w:sz w:val="32"/>
          <w:szCs w:val="32"/>
          <w:lang w:val="en-US" w:eastAsia="zh-CN" w:bidi="ar"/>
        </w:rPr>
        <w:t>13.加强人才队伍建设。</w:t>
      </w:r>
      <w:r>
        <w:rPr>
          <w:rFonts w:hint="eastAsia" w:ascii="仿宋_GB2312" w:hAnsi="宋体" w:eastAsia="仿宋_GB2312" w:cs="宋体"/>
          <w:color w:val="000000"/>
          <w:kern w:val="0"/>
          <w:sz w:val="32"/>
          <w:szCs w:val="32"/>
          <w:lang w:val="en-US" w:eastAsia="zh-CN" w:bidi="ar"/>
        </w:rPr>
        <w:t>深入推进“药监英才计划”，着力打造一支高层次、专业化监管人才队伍。执行新修订省药学专业中初级职称考试标准，逐步建立健全初、中、高级全链条一体化药品检查员职称评审体系。</w:t>
      </w:r>
      <w:r>
        <w:rPr>
          <w:rFonts w:hint="eastAsia" w:ascii="楷体_GB2312" w:hAnsi="宋体" w:eastAsia="楷体_GB2312" w:cs="宋体"/>
          <w:color w:val="000000"/>
          <w:kern w:val="0"/>
          <w:sz w:val="32"/>
          <w:szCs w:val="32"/>
          <w:lang w:val="en-US" w:eastAsia="zh-CN" w:bidi="ar"/>
        </w:rPr>
        <w:t>（区市场监管局牵头，区人力资源社会保障局配合）</w:t>
      </w:r>
      <w:r>
        <w:rPr>
          <w:rFonts w:hint="eastAsia" w:ascii="仿宋_GB2312" w:hAnsi="宋体" w:eastAsia="仿宋_GB2312" w:cs="宋体"/>
          <w:color w:val="000000"/>
          <w:kern w:val="0"/>
          <w:sz w:val="32"/>
          <w:szCs w:val="32"/>
          <w:lang w:val="en-US" w:eastAsia="zh-CN" w:bidi="ar"/>
        </w:rPr>
        <w:t>以行政执法体制改革为契机，加大检查员选拔培养力度，充实药品监管力量，优化监管队伍结构。</w:t>
      </w:r>
      <w:r>
        <w:rPr>
          <w:rFonts w:hint="eastAsia" w:ascii="楷体_GB2312" w:hAnsi="宋体" w:eastAsia="楷体_GB2312" w:cs="宋体"/>
          <w:color w:val="000000"/>
          <w:kern w:val="0"/>
          <w:sz w:val="32"/>
          <w:szCs w:val="32"/>
          <w:lang w:val="en-US" w:eastAsia="zh-CN" w:bidi="ar"/>
        </w:rPr>
        <w:t>（区市场监管局牵头，区委编办配合）</w:t>
      </w:r>
      <w:r>
        <w:rPr>
          <w:rFonts w:hint="eastAsia" w:ascii="仿宋_GB2312" w:hAnsi="宋体" w:eastAsia="仿宋_GB2312" w:cs="宋体"/>
          <w:color w:val="000000"/>
          <w:kern w:val="0"/>
          <w:sz w:val="32"/>
          <w:szCs w:val="32"/>
          <w:lang w:val="en-US" w:eastAsia="zh-CN" w:bidi="ar"/>
        </w:rPr>
        <w:t>加强药品安全行政执法、刑事侦查、司法等各类人员培训指导，提升药品安全执法能力。</w:t>
      </w:r>
      <w:r>
        <w:rPr>
          <w:rFonts w:hint="eastAsia" w:ascii="楷体_GB2312" w:hAnsi="宋体" w:eastAsia="楷体_GB2312" w:cs="宋体"/>
          <w:color w:val="000000"/>
          <w:kern w:val="0"/>
          <w:sz w:val="32"/>
          <w:szCs w:val="32"/>
          <w:lang w:val="en-US" w:eastAsia="zh-CN" w:bidi="ar"/>
        </w:rPr>
        <w:t>（区市场监管局、区公安分局、区检察院、区法院、区司法局按职责分工负责）</w:t>
      </w:r>
      <w:r>
        <w:rPr>
          <w:rFonts w:hint="eastAsia" w:ascii="仿宋_GB2312" w:hAnsi="宋体" w:eastAsia="仿宋_GB2312" w:cs="宋体"/>
          <w:color w:val="000000"/>
          <w:kern w:val="0"/>
          <w:sz w:val="32"/>
          <w:szCs w:val="32"/>
          <w:lang w:val="en-US" w:eastAsia="zh-CN" w:bidi="ar"/>
        </w:rPr>
        <w:t>加快推进药品监管能力标准化建设，提升基层监管能力。</w:t>
      </w:r>
      <w:r>
        <w:rPr>
          <w:rFonts w:hint="eastAsia" w:ascii="楷体_GB2312" w:hAnsi="宋体" w:eastAsia="楷体_GB2312" w:cs="宋体"/>
          <w:color w:val="000000"/>
          <w:kern w:val="0"/>
          <w:sz w:val="32"/>
          <w:szCs w:val="32"/>
          <w:lang w:val="en-US" w:eastAsia="zh-CN" w:bidi="ar"/>
        </w:rPr>
        <w:t>（区市场监管局负责）</w:t>
      </w:r>
    </w:p>
    <w:p>
      <w:pPr>
        <w:keepNext w:val="0"/>
        <w:keepLines w:val="0"/>
        <w:widowControl/>
        <w:suppressLineNumbers w:val="0"/>
        <w:spacing w:before="0" w:beforeAutospacing="0" w:after="0" w:afterAutospacing="0"/>
        <w:ind w:left="0" w:right="0" w:firstLine="640"/>
        <w:jc w:val="left"/>
        <w:rPr>
          <w:rFonts w:hint="eastAsia" w:ascii="宋体" w:hAnsi="宋体" w:eastAsia="宋体" w:cs="宋体"/>
          <w:kern w:val="0"/>
          <w:sz w:val="24"/>
          <w:szCs w:val="24"/>
          <w:lang w:val="en-US"/>
        </w:rPr>
      </w:pPr>
      <w:r>
        <w:rPr>
          <w:rFonts w:hint="eastAsia" w:ascii="楷体_GB2312" w:hAnsi="宋体" w:eastAsia="楷体_GB2312" w:cs="宋体"/>
          <w:color w:val="000000"/>
          <w:kern w:val="0"/>
          <w:sz w:val="32"/>
          <w:szCs w:val="32"/>
          <w:lang w:val="en-US" w:eastAsia="zh-CN" w:bidi="ar"/>
        </w:rPr>
        <w:t>14.提升智慧监管水平。</w:t>
      </w:r>
      <w:r>
        <w:rPr>
          <w:rFonts w:hint="eastAsia" w:ascii="仿宋_GB2312" w:hAnsi="宋体" w:eastAsia="仿宋_GB2312" w:cs="宋体"/>
          <w:color w:val="000000"/>
          <w:kern w:val="0"/>
          <w:sz w:val="32"/>
          <w:szCs w:val="32"/>
          <w:lang w:val="en-US" w:eastAsia="zh-CN" w:bidi="ar"/>
        </w:rPr>
        <w:t>实施“药品执法一体化”项目，使用全省药品医疗器械化妆品统一执法监管系统。推进中药饮片追溯管理示范项目建设，探索中药饮片传统监管方式数字化转型，提升监管效能。深化药品安全信用档案、医疗器械备案人信用档案和化妆品注册人备案人信息档案建设，建立信用档案数据资源管理应用场景。</w:t>
      </w:r>
      <w:r>
        <w:rPr>
          <w:rFonts w:hint="eastAsia" w:ascii="楷体_GB2312" w:hAnsi="宋体" w:eastAsia="楷体_GB2312" w:cs="宋体"/>
          <w:color w:val="000000"/>
          <w:kern w:val="0"/>
          <w:sz w:val="32"/>
          <w:szCs w:val="32"/>
          <w:lang w:val="en-US" w:eastAsia="zh-CN" w:bidi="ar"/>
        </w:rPr>
        <w:t>（区市场监管局牵头，区数据资源局、区财政局配合）</w:t>
      </w:r>
      <w:r>
        <w:rPr>
          <w:rFonts w:hint="eastAsia" w:ascii="仿宋_GB2312" w:hAnsi="宋体" w:eastAsia="仿宋_GB2312" w:cs="宋体"/>
          <w:color w:val="000000"/>
          <w:kern w:val="0"/>
          <w:sz w:val="32"/>
          <w:szCs w:val="32"/>
          <w:lang w:val="en-US" w:eastAsia="zh-CN" w:bidi="ar"/>
        </w:rPr>
        <w:t>立足信息化、智能化警务建设，全面收集我区药品领域重要数据，强化数据关联复用，积极利用大数据智能化手段建设犯罪线索预警模型，不断提升情报研判、打击犯罪的能力水平。</w:t>
      </w:r>
      <w:r>
        <w:rPr>
          <w:rFonts w:hint="eastAsia" w:ascii="楷体_GB2312" w:hAnsi="宋体" w:eastAsia="楷体_GB2312" w:cs="宋体"/>
          <w:color w:val="000000"/>
          <w:kern w:val="0"/>
          <w:sz w:val="32"/>
          <w:szCs w:val="32"/>
          <w:lang w:val="en-US" w:eastAsia="zh-CN" w:bidi="ar"/>
        </w:rPr>
        <w:t>（区公安分局牵头，区市场监管局配合）</w:t>
      </w:r>
      <w:r>
        <w:rPr>
          <w:rFonts w:hint="eastAsia" w:ascii="仿宋_GB2312" w:hAnsi="宋体" w:eastAsia="仿宋_GB2312" w:cs="宋体"/>
          <w:color w:val="000000"/>
          <w:kern w:val="0"/>
          <w:sz w:val="32"/>
          <w:szCs w:val="32"/>
          <w:lang w:val="en-US" w:eastAsia="zh-CN" w:bidi="ar"/>
        </w:rPr>
        <w:t>按省药监局统一要求，建设“安徽阳光药店”数字化服务平台，推动我省药品零售监管方式创新。</w:t>
      </w:r>
      <w:r>
        <w:rPr>
          <w:rFonts w:hint="eastAsia" w:ascii="楷体_GB2312" w:hAnsi="宋体" w:eastAsia="楷体_GB2312" w:cs="宋体"/>
          <w:color w:val="000000"/>
          <w:kern w:val="0"/>
          <w:sz w:val="32"/>
          <w:szCs w:val="32"/>
          <w:lang w:val="en-US" w:eastAsia="zh-CN" w:bidi="ar"/>
        </w:rPr>
        <w:t>（区市场监管局牵头，区数据资源局、区医疗保障局配合）</w:t>
      </w:r>
    </w:p>
    <w:p>
      <w:pPr>
        <w:keepNext w:val="0"/>
        <w:keepLines w:val="0"/>
        <w:widowControl/>
        <w:suppressLineNumbers w:val="0"/>
        <w:spacing w:before="0" w:beforeAutospacing="0" w:after="0" w:afterAutospacing="0"/>
        <w:ind w:left="0" w:right="0" w:firstLine="640"/>
        <w:jc w:val="left"/>
        <w:rPr>
          <w:rFonts w:hint="eastAsia" w:ascii="宋体" w:hAnsi="宋体" w:eastAsia="宋体" w:cs="宋体"/>
          <w:kern w:val="0"/>
          <w:sz w:val="24"/>
          <w:szCs w:val="24"/>
          <w:lang w:val="en-US"/>
        </w:rPr>
      </w:pPr>
      <w:r>
        <w:rPr>
          <w:rFonts w:hint="eastAsia" w:ascii="黑体" w:hAnsi="宋体" w:eastAsia="黑体" w:cs="宋体"/>
          <w:color w:val="000000"/>
          <w:kern w:val="0"/>
          <w:sz w:val="32"/>
          <w:szCs w:val="32"/>
          <w:lang w:val="en-US" w:eastAsia="zh-CN" w:bidi="ar"/>
        </w:rPr>
        <w:t>四、促进医药经济高质量发展</w:t>
      </w:r>
    </w:p>
    <w:p>
      <w:pPr>
        <w:keepNext w:val="0"/>
        <w:keepLines w:val="0"/>
        <w:widowControl/>
        <w:suppressLineNumbers w:val="0"/>
        <w:spacing w:before="0" w:beforeAutospacing="0" w:after="0" w:afterAutospacing="0"/>
        <w:ind w:left="0" w:right="0" w:firstLine="640"/>
        <w:jc w:val="left"/>
        <w:rPr>
          <w:rFonts w:hint="eastAsia" w:ascii="宋体" w:hAnsi="宋体" w:eastAsia="宋体" w:cs="宋体"/>
          <w:kern w:val="0"/>
          <w:sz w:val="24"/>
          <w:szCs w:val="24"/>
          <w:lang w:val="en-US"/>
        </w:rPr>
      </w:pPr>
      <w:r>
        <w:rPr>
          <w:rFonts w:hint="eastAsia" w:ascii="楷体_GB2312" w:hAnsi="宋体" w:eastAsia="楷体_GB2312" w:cs="宋体"/>
          <w:color w:val="000000"/>
          <w:kern w:val="0"/>
          <w:sz w:val="32"/>
          <w:szCs w:val="32"/>
          <w:lang w:val="en-US" w:eastAsia="zh-CN" w:bidi="ar"/>
        </w:rPr>
        <w:t>15.深化审评审批制度改革。</w:t>
      </w:r>
      <w:r>
        <w:rPr>
          <w:rFonts w:hint="eastAsia" w:ascii="仿宋_GB2312" w:hAnsi="宋体" w:eastAsia="仿宋_GB2312" w:cs="宋体"/>
          <w:color w:val="000000"/>
          <w:kern w:val="0"/>
          <w:sz w:val="32"/>
          <w:szCs w:val="32"/>
          <w:lang w:val="en-US" w:eastAsia="zh-CN" w:bidi="ar"/>
        </w:rPr>
        <w:t>进一步优化审评审批流程，做好药品零售企业许可办证。</w:t>
      </w:r>
      <w:r>
        <w:rPr>
          <w:rFonts w:hint="eastAsia" w:ascii="楷体_GB2312" w:hAnsi="宋体" w:eastAsia="楷体_GB2312" w:cs="宋体"/>
          <w:color w:val="000000"/>
          <w:kern w:val="0"/>
          <w:sz w:val="32"/>
          <w:szCs w:val="32"/>
          <w:lang w:val="en-US" w:eastAsia="zh-CN" w:bidi="ar"/>
        </w:rPr>
        <w:t>（区市场监管局负责）</w:t>
      </w:r>
    </w:p>
    <w:p>
      <w:pPr>
        <w:keepNext w:val="0"/>
        <w:keepLines w:val="0"/>
        <w:widowControl/>
        <w:suppressLineNumbers w:val="0"/>
        <w:spacing w:before="0" w:beforeAutospacing="0" w:after="0" w:afterAutospacing="0"/>
        <w:ind w:left="0" w:right="0" w:firstLine="640"/>
        <w:jc w:val="left"/>
        <w:rPr>
          <w:rFonts w:hint="eastAsia" w:ascii="宋体" w:hAnsi="宋体" w:eastAsia="宋体" w:cs="宋体"/>
          <w:kern w:val="0"/>
          <w:sz w:val="24"/>
          <w:szCs w:val="24"/>
          <w:lang w:val="en-US"/>
        </w:rPr>
      </w:pPr>
      <w:r>
        <w:rPr>
          <w:rFonts w:hint="eastAsia" w:ascii="楷体_GB2312" w:hAnsi="宋体" w:eastAsia="楷体_GB2312" w:cs="宋体"/>
          <w:color w:val="000000"/>
          <w:kern w:val="0"/>
          <w:sz w:val="32"/>
          <w:szCs w:val="32"/>
          <w:lang w:val="en-US" w:eastAsia="zh-CN" w:bidi="ar"/>
        </w:rPr>
        <w:t>16.大力支持医药研发创新。</w:t>
      </w:r>
      <w:r>
        <w:rPr>
          <w:rFonts w:hint="eastAsia" w:ascii="仿宋_GB2312" w:hAnsi="宋体" w:eastAsia="仿宋_GB2312" w:cs="宋体"/>
          <w:color w:val="000000"/>
          <w:kern w:val="0"/>
          <w:sz w:val="32"/>
          <w:szCs w:val="32"/>
          <w:lang w:val="en-US" w:eastAsia="zh-CN" w:bidi="ar"/>
        </w:rPr>
        <w:t>引导支持本地高校院所、医药企业加大研发投入，鼓励本地医药企业申报省科技计划项目，吸引社会资本深度参与药品安全科研攻关，积极推进药品技术研发和成果转化。</w:t>
      </w:r>
      <w:r>
        <w:rPr>
          <w:rFonts w:hint="eastAsia" w:ascii="楷体_GB2312" w:hAnsi="宋体" w:eastAsia="楷体_GB2312" w:cs="宋体"/>
          <w:color w:val="000000"/>
          <w:kern w:val="0"/>
          <w:sz w:val="32"/>
          <w:szCs w:val="32"/>
          <w:lang w:val="en-US" w:eastAsia="zh-CN" w:bidi="ar"/>
        </w:rPr>
        <w:t>（区科技局牵头，区药安委相关成员单位配合）</w:t>
      </w:r>
    </w:p>
    <w:p>
      <w:pPr>
        <w:keepNext w:val="0"/>
        <w:keepLines w:val="0"/>
        <w:widowControl/>
        <w:suppressLineNumbers w:val="0"/>
        <w:spacing w:before="0" w:beforeAutospacing="0" w:after="0" w:afterAutospacing="0"/>
        <w:ind w:left="0" w:right="0" w:firstLine="640"/>
        <w:jc w:val="left"/>
        <w:rPr>
          <w:rFonts w:hint="eastAsia" w:ascii="宋体" w:hAnsi="宋体" w:eastAsia="宋体" w:cs="宋体"/>
          <w:kern w:val="0"/>
          <w:sz w:val="24"/>
          <w:szCs w:val="24"/>
          <w:lang w:val="en-US"/>
        </w:rPr>
      </w:pPr>
      <w:r>
        <w:rPr>
          <w:rFonts w:hint="eastAsia" w:ascii="楷体_GB2312" w:hAnsi="宋体" w:eastAsia="楷体_GB2312" w:cs="宋体"/>
          <w:color w:val="000000"/>
          <w:kern w:val="0"/>
          <w:sz w:val="32"/>
          <w:szCs w:val="32"/>
          <w:lang w:val="en-US" w:eastAsia="zh-CN" w:bidi="ar"/>
        </w:rPr>
        <w:t>17.推进医药产业转型升级。</w:t>
      </w:r>
      <w:r>
        <w:rPr>
          <w:rFonts w:hint="eastAsia" w:ascii="仿宋_GB2312" w:hAnsi="宋体" w:eastAsia="仿宋_GB2312" w:cs="宋体"/>
          <w:color w:val="000000"/>
          <w:kern w:val="0"/>
          <w:sz w:val="32"/>
          <w:szCs w:val="32"/>
          <w:lang w:val="en-US" w:eastAsia="zh-CN" w:bidi="ar"/>
        </w:rPr>
        <w:t>落实《安徽省生命健康产业“双招双引”工作实施方案》，大力推动药品医疗器械“双招双引”。</w:t>
      </w:r>
      <w:r>
        <w:rPr>
          <w:rFonts w:hint="eastAsia" w:ascii="楷体_GB2312" w:hAnsi="宋体" w:eastAsia="楷体_GB2312" w:cs="宋体"/>
          <w:color w:val="000000"/>
          <w:kern w:val="0"/>
          <w:sz w:val="32"/>
          <w:szCs w:val="32"/>
          <w:lang w:val="en-US" w:eastAsia="zh-CN" w:bidi="ar"/>
        </w:rPr>
        <w:t>（区卫生健康委牵头，区市场监管局配合）</w:t>
      </w:r>
      <w:r>
        <w:rPr>
          <w:rFonts w:hint="eastAsia" w:ascii="仿宋_GB2312" w:hAnsi="宋体" w:eastAsia="仿宋_GB2312" w:cs="宋体"/>
          <w:color w:val="000000"/>
          <w:kern w:val="0"/>
          <w:sz w:val="32"/>
          <w:szCs w:val="32"/>
          <w:lang w:val="en-US" w:eastAsia="zh-CN" w:bidi="ar"/>
        </w:rPr>
        <w:t>推进实施“促进医药工业高质量发展行动方案”，聚力推动医药制造业高端化智能化绿色化发展。</w:t>
      </w:r>
      <w:r>
        <w:rPr>
          <w:rFonts w:hint="eastAsia" w:ascii="楷体_GB2312" w:hAnsi="宋体" w:eastAsia="楷体_GB2312" w:cs="宋体"/>
          <w:color w:val="000000"/>
          <w:kern w:val="0"/>
          <w:sz w:val="32"/>
          <w:szCs w:val="32"/>
          <w:lang w:val="en-US" w:eastAsia="zh-CN" w:bidi="ar"/>
        </w:rPr>
        <w:t>（区经济和信息化局牵头，区药安委相关成员单位配合）</w:t>
      </w:r>
      <w:r>
        <w:rPr>
          <w:rFonts w:hint="eastAsia" w:ascii="仿宋_GB2312" w:hAnsi="宋体" w:eastAsia="仿宋_GB2312" w:cs="宋体"/>
          <w:color w:val="000000"/>
          <w:kern w:val="0"/>
          <w:sz w:val="32"/>
          <w:szCs w:val="32"/>
          <w:lang w:val="en-US" w:eastAsia="zh-CN" w:bidi="ar"/>
        </w:rPr>
        <w:t>搭建医药领域论坛会议等平台，促进产业要素融合交流。</w:t>
      </w:r>
      <w:r>
        <w:rPr>
          <w:rFonts w:hint="eastAsia" w:ascii="楷体_GB2312" w:hAnsi="宋体" w:eastAsia="楷体_GB2312" w:cs="宋体"/>
          <w:color w:val="000000"/>
          <w:kern w:val="0"/>
          <w:sz w:val="32"/>
          <w:szCs w:val="32"/>
          <w:lang w:val="en-US" w:eastAsia="zh-CN" w:bidi="ar"/>
        </w:rPr>
        <w:t>（区市场监管局牵头，区药安委相关成员单位配合）</w:t>
      </w:r>
    </w:p>
    <w:p>
      <w:pPr>
        <w:keepNext w:val="0"/>
        <w:keepLines w:val="0"/>
        <w:widowControl/>
        <w:suppressLineNumbers w:val="0"/>
        <w:spacing w:before="0" w:beforeAutospacing="0" w:after="0" w:afterAutospacing="0"/>
        <w:ind w:left="0" w:right="0" w:firstLine="640"/>
        <w:jc w:val="left"/>
        <w:rPr>
          <w:rFonts w:hint="eastAsia" w:ascii="宋体" w:hAnsi="宋体" w:eastAsia="宋体" w:cs="宋体"/>
          <w:kern w:val="0"/>
          <w:sz w:val="24"/>
          <w:szCs w:val="24"/>
          <w:lang w:val="en-US"/>
        </w:rPr>
      </w:pPr>
      <w:r>
        <w:rPr>
          <w:rFonts w:hint="eastAsia" w:ascii="楷体_GB2312" w:hAnsi="宋体" w:eastAsia="楷体_GB2312" w:cs="宋体"/>
          <w:color w:val="000000"/>
          <w:kern w:val="0"/>
          <w:sz w:val="32"/>
          <w:szCs w:val="32"/>
          <w:lang w:val="en-US" w:eastAsia="zh-CN" w:bidi="ar"/>
        </w:rPr>
        <w:t>18.促进中药传承创新发展。</w:t>
      </w:r>
      <w:r>
        <w:rPr>
          <w:rFonts w:hint="eastAsia" w:ascii="仿宋_GB2312" w:hAnsi="宋体" w:eastAsia="仿宋_GB2312" w:cs="宋体"/>
          <w:color w:val="000000"/>
          <w:kern w:val="0"/>
          <w:sz w:val="32"/>
          <w:szCs w:val="32"/>
          <w:lang w:val="en-US" w:eastAsia="zh-CN" w:bidi="ar"/>
        </w:rPr>
        <w:t>推进“十大皖药”产业示范基地、道地中药材良种繁育基地建设，加大中药材“三品一标”培育力度，积极申报争取一批林下中药材种植项目纳入省财政林下经济示范项目建设，培育认定一批以发展中药材为主的国家林下经济示范基地、省级农民林业专业合作社示范社和示范家庭林场，建设一批省级特色林业高质量发展</w:t>
      </w:r>
    </w:p>
    <w:p>
      <w:pPr>
        <w:keepNext w:val="0"/>
        <w:keepLines w:val="0"/>
        <w:widowControl/>
        <w:suppressLineNumbers w:val="0"/>
        <w:spacing w:before="0" w:beforeAutospacing="0" w:after="0" w:afterAutospacing="0"/>
        <w:ind w:left="0" w:right="0"/>
        <w:jc w:val="center"/>
        <w:rPr>
          <w:rFonts w:hint="eastAsia" w:ascii="宋体" w:hAnsi="宋体" w:eastAsia="宋体" w:cs="宋体"/>
          <w:kern w:val="0"/>
          <w:sz w:val="24"/>
          <w:szCs w:val="24"/>
          <w:lang w:val="en-US"/>
        </w:rPr>
      </w:pPr>
      <w:r>
        <w:rPr>
          <w:rFonts w:hint="eastAsia" w:ascii="仿宋_GB2312" w:hAnsi="宋体" w:eastAsia="仿宋_GB2312" w:cs="宋体"/>
          <w:color w:val="000000"/>
          <w:kern w:val="0"/>
          <w:sz w:val="32"/>
          <w:szCs w:val="32"/>
          <w:lang w:val="en-US" w:eastAsia="zh-CN" w:bidi="ar"/>
        </w:rPr>
        <w:t>示范园。支持规模以上企业开展中药材产地趁鲜加工，推动</w:t>
      </w:r>
    </w:p>
    <w:p>
      <w:pPr>
        <w:keepNext w:val="0"/>
        <w:keepLines w:val="0"/>
        <w:widowControl/>
        <w:suppressLineNumbers w:val="0"/>
        <w:spacing w:before="0" w:beforeAutospacing="0" w:after="0" w:afterAutospacing="0"/>
        <w:ind w:left="0" w:right="0"/>
        <w:jc w:val="left"/>
        <w:rPr>
          <w:lang w:val="en-US"/>
        </w:rPr>
      </w:pPr>
      <w:r>
        <w:rPr>
          <w:rFonts w:hint="eastAsia" w:ascii="仿宋_GB2312" w:hAnsi="宋体" w:eastAsia="仿宋_GB2312" w:cs="宋体"/>
          <w:color w:val="000000"/>
          <w:kern w:val="0"/>
          <w:sz w:val="32"/>
          <w:szCs w:val="32"/>
          <w:lang w:val="en-US" w:eastAsia="zh-CN" w:bidi="ar"/>
        </w:rPr>
        <w:t>中药材产地加工与饮片炮制技术传承创新。</w:t>
      </w:r>
      <w:r>
        <w:rPr>
          <w:rFonts w:hint="eastAsia" w:ascii="楷体_GB2312" w:hAnsi="宋体" w:eastAsia="楷体_GB2312" w:cs="宋体"/>
          <w:color w:val="000000"/>
          <w:kern w:val="0"/>
          <w:sz w:val="32"/>
          <w:szCs w:val="32"/>
          <w:lang w:val="en-US" w:eastAsia="zh-CN" w:bidi="ar"/>
        </w:rPr>
        <w:t>（区市场监管局、区农业农村局、区林业局按职责分工负责）</w:t>
      </w:r>
      <w:r>
        <w:rPr>
          <w:rFonts w:hint="eastAsia" w:ascii="仿宋_GB2312" w:hAnsi="宋体" w:eastAsia="仿宋_GB2312" w:cs="宋体"/>
          <w:color w:val="000000"/>
          <w:kern w:val="0"/>
          <w:sz w:val="32"/>
          <w:szCs w:val="32"/>
          <w:lang w:val="en-US" w:eastAsia="zh-CN" w:bidi="ar"/>
        </w:rPr>
        <w:t>持续推进中医药科技攻关，推动中医药现代化和跨学科研究。</w:t>
      </w:r>
      <w:r>
        <w:rPr>
          <w:rFonts w:hint="eastAsia" w:ascii="楷体_GB2312" w:hAnsi="宋体" w:eastAsia="楷体_GB2312" w:cs="宋体"/>
          <w:color w:val="000000"/>
          <w:kern w:val="0"/>
          <w:sz w:val="32"/>
          <w:szCs w:val="32"/>
          <w:lang w:val="en-US" w:eastAsia="zh-CN" w:bidi="ar"/>
        </w:rPr>
        <w:t>（区科技局牵头，区药安委相关成员单位配合）</w:t>
      </w:r>
      <w:r>
        <w:rPr>
          <w:rFonts w:hint="eastAsia" w:ascii="仿宋_GB2312" w:hAnsi="宋体" w:eastAsia="仿宋_GB2312" w:cs="宋体"/>
          <w:color w:val="000000"/>
          <w:kern w:val="0"/>
          <w:sz w:val="32"/>
          <w:szCs w:val="32"/>
          <w:lang w:val="en-US" w:eastAsia="zh-CN" w:bidi="ar"/>
        </w:rPr>
        <w:t>探索推进医疗机构中药制剂研发转化和推广应用，推动构建“经验方－院内制剂－中药新药”的转化模式。</w:t>
      </w:r>
      <w:r>
        <w:rPr>
          <w:rFonts w:hint="eastAsia" w:ascii="楷体_GB2312" w:hAnsi="宋体" w:eastAsia="楷体_GB2312" w:cs="宋体"/>
          <w:color w:val="000000"/>
          <w:kern w:val="0"/>
          <w:sz w:val="32"/>
          <w:szCs w:val="32"/>
          <w:lang w:val="en-US" w:eastAsia="zh-CN" w:bidi="ar"/>
        </w:rPr>
        <w:t>（区市场监管局牵头，区卫生健康委等配合）</w:t>
      </w:r>
    </w:p>
    <w:p/>
    <w:p/>
    <w:p/>
    <w:p/>
    <w:p/>
    <w:p/>
    <w:p/>
    <w:p/>
    <w:p/>
    <w:p/>
    <w:p/>
    <w:p/>
    <w:p/>
    <w:p/>
    <w:p/>
    <w:p/>
    <w:p/>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方正小标宋_GBK">
    <w:altName w:val="微软雅黑"/>
    <w:panose1 w:val="00000000000000000000"/>
    <w:charset w:val="00"/>
    <w:family w:val="auto"/>
    <w:pitch w:val="default"/>
    <w:sig w:usb0="00000000" w:usb1="00000000" w:usb2="00000000"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4MzFkNmM0NDU0MTBkNjEyM2ZlNDhiOGI1M2NlOTkifQ=="/>
  </w:docVars>
  <w:rsids>
    <w:rsidRoot w:val="231474C0"/>
    <w:rsid w:val="0DCF4867"/>
    <w:rsid w:val="231474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5279</Words>
  <Characters>5332</Characters>
  <Lines>0</Lines>
  <Paragraphs>0</Paragraphs>
  <TotalTime>0</TotalTime>
  <ScaleCrop>false</ScaleCrop>
  <LinksUpToDate>false</LinksUpToDate>
  <CharactersWithSpaces>5352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2024-05-24T06:44:00Z</dcterms:created>
  <dc:creator>孙蕾</dc:creator>
  <cp:lastModifiedBy>孙蕾</cp:lastModifiedBy>
  <dcterms:modified xsi:type="dcterms:W3CDTF">2024-07-25T08:03:57Z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1919E42060D84A9F8B14D95508B0939B_11</vt:lpwstr>
  </property>
</Properties>
</file>