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3" w:line="232" w:lineRule="auto"/>
        <w:ind w:left="1137" w:right="158" w:hanging="110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9"/>
          <w:sz w:val="44"/>
          <w:szCs w:val="44"/>
        </w:rPr>
        <w:t>池州市贵池区人民政府办公室关于印发贵池区</w:t>
      </w:r>
      <w:r>
        <w:rPr>
          <w:rFonts w:ascii="宋体" w:hAnsi="宋体" w:eastAsia="宋体" w:cs="宋体"/>
          <w:spacing w:val="1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44"/>
          <w:szCs w:val="44"/>
        </w:rPr>
        <w:t>亩均效益评价工作实施方案的通知</w:t>
      </w:r>
    </w:p>
    <w:p>
      <w:pPr>
        <w:spacing w:before="104" w:line="223" w:lineRule="auto"/>
        <w:ind w:left="302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3"/>
          <w:sz w:val="32"/>
          <w:szCs w:val="32"/>
        </w:rPr>
        <w:t>贵政办〔2022〕9号</w:t>
      </w:r>
    </w:p>
    <w:p>
      <w:pPr>
        <w:spacing w:line="305" w:lineRule="auto"/>
        <w:rPr>
          <w:rFonts w:ascii="Arial"/>
          <w:sz w:val="21"/>
        </w:rPr>
      </w:pPr>
    </w:p>
    <w:p>
      <w:pPr>
        <w:spacing w:line="306" w:lineRule="auto"/>
        <w:rPr>
          <w:rFonts w:ascii="Arial"/>
          <w:sz w:val="21"/>
        </w:rPr>
      </w:pPr>
    </w:p>
    <w:p>
      <w:pPr>
        <w:spacing w:before="105" w:line="542" w:lineRule="exact"/>
        <w:ind w:left="3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position w:val="16"/>
          <w:sz w:val="32"/>
          <w:szCs w:val="32"/>
        </w:rPr>
        <w:t>各镇人民政府、街道办事处，平天湖风景区、池州高新区、杏花</w:t>
      </w:r>
    </w:p>
    <w:p>
      <w:pPr>
        <w:spacing w:before="1" w:line="221" w:lineRule="auto"/>
        <w:ind w:left="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村文化旅游区管委会，区政府各部门、各直属机构：</w:t>
      </w:r>
    </w:p>
    <w:p>
      <w:pPr>
        <w:spacing w:before="174" w:line="550" w:lineRule="exact"/>
        <w:ind w:left="65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position w:val="16"/>
          <w:sz w:val="32"/>
          <w:szCs w:val="32"/>
        </w:rPr>
        <w:t>经区政府同意，现将《贵池区亩均效益评价工作实施方案》</w:t>
      </w:r>
    </w:p>
    <w:p>
      <w:pPr>
        <w:spacing w:line="220" w:lineRule="auto"/>
        <w:ind w:left="31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印发给你们，请认真贯彻落实。</w:t>
      </w: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4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before="105" w:line="220" w:lineRule="auto"/>
        <w:ind w:left="771"/>
        <w:rPr>
          <w:rFonts w:ascii="仿宋" w:hAnsi="仿宋" w:eastAsia="仿宋" w:cs="仿宋"/>
          <w:sz w:val="32"/>
          <w:szCs w:val="32"/>
        </w:rPr>
      </w:pPr>
      <w:bookmarkStart w:id="0" w:name="_GoBack"/>
      <w:bookmarkEnd w:id="0"/>
      <w:r>
        <w:pict>
          <v:shape id="_x0000_s1026" o:spid="_x0000_s1026" o:spt="202" type="#_x0000_t202" style="position:absolute;left:0pt;margin-left:285.55pt;margin-top:-22.45pt;height:21.05pt;width:122.9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20" w:line="219" w:lineRule="auto"/>
                    <w:ind w:left="20"/>
                    <w:rPr>
                      <w:rFonts w:ascii="宋体" w:hAnsi="宋体" w:eastAsia="宋体" w:cs="宋体"/>
                      <w:sz w:val="32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pacing w:val="33"/>
                      <w:sz w:val="32"/>
                      <w:szCs w:val="32"/>
                    </w:rPr>
                    <w:t>2022年5月16日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12"/>
          <w:sz w:val="32"/>
          <w:szCs w:val="32"/>
        </w:rPr>
        <w:t>(此件公开发布)</w:t>
      </w:r>
    </w:p>
    <w:p>
      <w:pPr>
        <w:sectPr>
          <w:footerReference r:id="rId5" w:type="default"/>
          <w:pgSz w:w="11900" w:h="16840"/>
          <w:pgMar w:top="1431" w:right="1419" w:bottom="1605" w:left="1568" w:header="0" w:footer="1287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43" w:line="218" w:lineRule="auto"/>
        <w:ind w:left="116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贵池区亩均效益评价工作实施方案</w:t>
      </w:r>
    </w:p>
    <w:p>
      <w:pPr>
        <w:spacing w:line="286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before="101" w:line="334" w:lineRule="auto"/>
        <w:ind w:right="7" w:firstLine="69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为进一步引导企业树立“亩产论英雄”发展理念，根据省经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济和信息化厅、省发展改革委等十部门联合印发的</w:t>
      </w:r>
      <w:r>
        <w:rPr>
          <w:rFonts w:ascii="仿宋" w:hAnsi="仿宋" w:eastAsia="仿宋" w:cs="仿宋"/>
          <w:spacing w:val="2"/>
          <w:sz w:val="31"/>
          <w:szCs w:val="31"/>
        </w:rPr>
        <w:t>《关于推广亩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均效益评价工作意见的通知》(皖经信运行〔2021〕108号)和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池州市人民政府《关于开展亩均效益评价工作的实施意见》(池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政办秘〔2021〕111号)精神，结合我区实际，</w:t>
      </w:r>
      <w:r>
        <w:rPr>
          <w:rFonts w:ascii="仿宋" w:hAnsi="仿宋" w:eastAsia="仿宋" w:cs="仿宋"/>
          <w:spacing w:val="12"/>
          <w:sz w:val="31"/>
          <w:szCs w:val="31"/>
        </w:rPr>
        <w:t>制定本方案。</w:t>
      </w:r>
    </w:p>
    <w:p>
      <w:pPr>
        <w:spacing w:before="177" w:line="222" w:lineRule="auto"/>
        <w:ind w:left="65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一、指导思想</w:t>
      </w:r>
    </w:p>
    <w:p>
      <w:pPr>
        <w:spacing w:before="191" w:line="327" w:lineRule="auto"/>
        <w:ind w:right="7" w:firstLine="69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以习近平新时代中国特色社会主义思想为指导，深入贯彻落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实党的十九大和十九届历次全会精神，以新发展理念为引领，以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供给侧结构性改革为主线，坚持质量第一、效益优</w:t>
      </w:r>
      <w:r>
        <w:rPr>
          <w:rFonts w:ascii="仿宋" w:hAnsi="仿宋" w:eastAsia="仿宋" w:cs="仿宋"/>
          <w:spacing w:val="1"/>
          <w:sz w:val="31"/>
          <w:szCs w:val="31"/>
        </w:rPr>
        <w:t>先原则，把亩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均评价工作作为推动质量变革、动力变革和效率变革</w:t>
      </w:r>
      <w:r>
        <w:rPr>
          <w:rFonts w:ascii="仿宋" w:hAnsi="仿宋" w:eastAsia="仿宋" w:cs="仿宋"/>
          <w:spacing w:val="14"/>
          <w:sz w:val="31"/>
          <w:szCs w:val="31"/>
        </w:rPr>
        <w:t>的有力抓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手，对标长三角，优化资源要素配置，激发发展活力，推动全区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经济高质量发展。</w:t>
      </w:r>
    </w:p>
    <w:p>
      <w:pPr>
        <w:spacing w:before="217" w:line="222" w:lineRule="auto"/>
        <w:ind w:left="65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二、</w:t>
      </w:r>
      <w:r>
        <w:rPr>
          <w:rFonts w:ascii="黑体" w:hAnsi="黑体" w:eastAsia="黑体" w:cs="黑体"/>
          <w:spacing w:val="-52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主要原则</w:t>
      </w:r>
    </w:p>
    <w:p>
      <w:pPr>
        <w:spacing w:before="171" w:line="327" w:lineRule="auto"/>
        <w:ind w:firstLine="79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(一)坚持绩效优先、高质量发展的原则。建立以企业亩均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产出绩效为核心的综合评价制度，对企业发展绩效作出综合评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价，推动工业经济高质量发展。</w:t>
      </w:r>
    </w:p>
    <w:p>
      <w:pPr>
        <w:spacing w:before="180" w:line="327" w:lineRule="auto"/>
        <w:ind w:right="9" w:firstLine="79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(二)坚持客观公正、统一评价的原则。确定统一数据处理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标准、统一评价指标体系、统一评价结果分类，注重评价采集数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据的原始性，对企业发展绩效作出客观公正评价。建立全区统一</w:t>
      </w:r>
    </w:p>
    <w:p>
      <w:pPr>
        <w:spacing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的工业经济高质量发展企业亩均效益评价体系，并在</w:t>
      </w:r>
      <w:r>
        <w:rPr>
          <w:rFonts w:ascii="仿宋" w:hAnsi="仿宋" w:eastAsia="仿宋" w:cs="仿宋"/>
          <w:spacing w:val="2"/>
          <w:sz w:val="31"/>
          <w:szCs w:val="31"/>
        </w:rPr>
        <w:t>实践过程中</w:t>
      </w:r>
    </w:p>
    <w:p>
      <w:pPr>
        <w:sectPr>
          <w:footerReference r:id="rId6" w:type="default"/>
          <w:pgSz w:w="11900" w:h="16840"/>
          <w:pgMar w:top="1431" w:right="1530" w:bottom="1652" w:left="1549" w:header="0" w:footer="1349" w:gutter="0"/>
          <w:cols w:space="720" w:num="1"/>
        </w:sect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before="10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不断完善提高。</w:t>
      </w:r>
    </w:p>
    <w:p>
      <w:pPr>
        <w:spacing w:before="172" w:line="332" w:lineRule="auto"/>
        <w:ind w:firstLine="78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(三)坚持正向引导、反向倒逼的原则。强化评价结果运用，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分类指导，有步骤、分阶段地实施差别化政策。坚持正向引导为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主，推动要素向高效益、高产出、高成长、高质量企业集聚；落</w:t>
      </w:r>
    </w:p>
    <w:p>
      <w:pPr>
        <w:spacing w:before="1" w:line="218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实反向倒逼措施，倒逼落后和严重过剩产能退出、低效</w:t>
      </w:r>
      <w:r>
        <w:rPr>
          <w:rFonts w:ascii="仿宋" w:hAnsi="仿宋" w:eastAsia="仿宋" w:cs="仿宋"/>
          <w:spacing w:val="-5"/>
          <w:sz w:val="31"/>
          <w:szCs w:val="31"/>
        </w:rPr>
        <w:t>企业转型。</w:t>
      </w:r>
    </w:p>
    <w:p>
      <w:pPr>
        <w:spacing w:before="194" w:line="222" w:lineRule="auto"/>
        <w:ind w:left="66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8"/>
          <w:sz w:val="31"/>
          <w:szCs w:val="31"/>
        </w:rPr>
        <w:t>三、</w:t>
      </w:r>
      <w:r>
        <w:rPr>
          <w:rFonts w:ascii="黑体" w:hAnsi="黑体" w:eastAsia="黑体" w:cs="黑体"/>
          <w:spacing w:val="-62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8"/>
          <w:sz w:val="31"/>
          <w:szCs w:val="31"/>
        </w:rPr>
        <w:t>建立评价体系</w:t>
      </w:r>
    </w:p>
    <w:p>
      <w:pPr>
        <w:spacing w:before="177" w:line="328" w:lineRule="auto"/>
        <w:ind w:right="50" w:firstLine="78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(一)评价范围。全区规模以上工业企业和占地5亩以上的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规模以下工业企业。其中电力、热力、燃气、水生产和供应业、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垃圾处理、污水处理等公益性企业不纳入评价范围。对停产技改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企业、兼并重组类企业及其他暂不适宜纳入评价的企业，由企业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所在镇街道及园区管委会在评价工作规定的时间内，报区亩均效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益办，经公示并报市亩均效益评价工作领导小组</w:t>
      </w:r>
      <w:r>
        <w:rPr>
          <w:rFonts w:ascii="仿宋" w:hAnsi="仿宋" w:eastAsia="仿宋" w:cs="仿宋"/>
          <w:spacing w:val="2"/>
          <w:sz w:val="31"/>
          <w:szCs w:val="31"/>
        </w:rPr>
        <w:t>同意后，可暂不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评价。</w:t>
      </w:r>
    </w:p>
    <w:p>
      <w:pPr>
        <w:spacing w:before="208" w:line="223" w:lineRule="auto"/>
        <w:ind w:left="78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18"/>
          <w:sz w:val="31"/>
          <w:szCs w:val="31"/>
        </w:rPr>
        <w:t>(二)评价指标及计算方式</w:t>
      </w:r>
    </w:p>
    <w:p>
      <w:pPr>
        <w:spacing w:before="192" w:line="221" w:lineRule="auto"/>
        <w:ind w:left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评价指标由单项评价指标和企业综合素质附加指标组成。</w:t>
      </w:r>
    </w:p>
    <w:p>
      <w:pPr>
        <w:spacing w:before="170" w:line="341" w:lineRule="auto"/>
        <w:ind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1.单项评价指标。对规模以上工业企业设定亩均税收、</w:t>
      </w:r>
      <w:r>
        <w:rPr>
          <w:rFonts w:ascii="仿宋" w:hAnsi="仿宋" w:eastAsia="仿宋" w:cs="仿宋"/>
          <w:spacing w:val="2"/>
          <w:sz w:val="31"/>
          <w:szCs w:val="31"/>
        </w:rPr>
        <w:t>亩均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营业收入、单位能耗增加值、全员劳动生产率、研发经费投入强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度、亩均技术改造投资6项指标，权重分别为总分的40%、30%、</w:t>
      </w:r>
    </w:p>
    <w:p>
      <w:pPr>
        <w:spacing w:before="2" w:line="18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15%、5%、5%、5%。</w:t>
      </w:r>
    </w:p>
    <w:p>
      <w:pPr>
        <w:spacing w:before="220" w:line="550" w:lineRule="exact"/>
        <w:ind w:left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17"/>
          <w:sz w:val="31"/>
          <w:szCs w:val="31"/>
        </w:rPr>
        <w:t>规模以下工业企业评价以亩均营业收入、亩均税收为</w:t>
      </w:r>
      <w:r>
        <w:rPr>
          <w:rFonts w:ascii="仿宋" w:hAnsi="仿宋" w:eastAsia="仿宋" w:cs="仿宋"/>
          <w:spacing w:val="2"/>
          <w:position w:val="17"/>
          <w:sz w:val="31"/>
          <w:szCs w:val="31"/>
        </w:rPr>
        <w:t>主要指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标，权重分别为总分的40%、60%。</w:t>
      </w:r>
    </w:p>
    <w:p>
      <w:pPr>
        <w:spacing w:before="185" w:line="222" w:lineRule="auto"/>
        <w:ind w:left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2.计算公式。</w:t>
      </w:r>
    </w:p>
    <w:p>
      <w:pPr>
        <w:spacing w:before="180" w:line="222" w:lineRule="auto"/>
        <w:ind w:left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企业得分为每项指标得分之和。企业实际得分=(亩均税收/</w:t>
      </w:r>
    </w:p>
    <w:p>
      <w:pPr>
        <w:sectPr>
          <w:footerReference r:id="rId7" w:type="default"/>
          <w:pgSz w:w="11900" w:h="16840"/>
          <w:pgMar w:top="1431" w:right="1464" w:bottom="1657" w:left="1549" w:header="0" w:footer="1349" w:gutter="0"/>
          <w:cols w:space="720" w:num="1"/>
        </w:sectPr>
      </w:pPr>
    </w:p>
    <w:p>
      <w:pPr>
        <w:spacing w:line="353" w:lineRule="auto"/>
        <w:rPr>
          <w:rFonts w:ascii="Arial"/>
          <w:sz w:val="21"/>
        </w:rPr>
      </w:pPr>
    </w:p>
    <w:p>
      <w:pPr>
        <w:spacing w:line="353" w:lineRule="auto"/>
        <w:rPr>
          <w:rFonts w:ascii="Arial"/>
          <w:sz w:val="21"/>
        </w:rPr>
      </w:pPr>
    </w:p>
    <w:p>
      <w:pPr>
        <w:spacing w:before="100" w:line="333" w:lineRule="auto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亩均税收基准值)×40+(亩均营业收入/亩均营业</w:t>
      </w:r>
      <w:r>
        <w:rPr>
          <w:rFonts w:ascii="仿宋" w:hAnsi="仿宋" w:eastAsia="仿宋" w:cs="仿宋"/>
          <w:spacing w:val="19"/>
          <w:sz w:val="31"/>
          <w:szCs w:val="31"/>
        </w:rPr>
        <w:t>收入基准值)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×30+(单位能耗增加值/单位能耗增加值基准值)×15+(全</w:t>
      </w:r>
      <w:r>
        <w:rPr>
          <w:rFonts w:ascii="仿宋" w:hAnsi="仿宋" w:eastAsia="仿宋" w:cs="仿宋"/>
          <w:spacing w:val="20"/>
          <w:sz w:val="31"/>
          <w:szCs w:val="31"/>
        </w:rPr>
        <w:t>员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劳动生产率/全员劳动生产率基准值)×5+(研发</w:t>
      </w:r>
      <w:r>
        <w:rPr>
          <w:rFonts w:ascii="仿宋" w:hAnsi="仿宋" w:eastAsia="仿宋" w:cs="仿宋"/>
          <w:spacing w:val="12"/>
          <w:sz w:val="31"/>
          <w:szCs w:val="31"/>
        </w:rPr>
        <w:t>经费投入强度/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研发经费投入强度基准值)×5+亩均技术改造投资得分。</w:t>
      </w:r>
    </w:p>
    <w:p>
      <w:pPr>
        <w:spacing w:before="169" w:line="333" w:lineRule="auto"/>
        <w:ind w:right="15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亩均技术改造投资得分按照年度技术改造投资划档</w:t>
      </w:r>
      <w:r>
        <w:rPr>
          <w:rFonts w:ascii="仿宋" w:hAnsi="仿宋" w:eastAsia="仿宋" w:cs="仿宋"/>
          <w:spacing w:val="2"/>
          <w:sz w:val="31"/>
          <w:szCs w:val="31"/>
        </w:rPr>
        <w:t>计分，完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6"/>
          <w:sz w:val="31"/>
          <w:szCs w:val="31"/>
        </w:rPr>
        <w:t>成500万元(含)至2000万元得1分，2000万元(含)至1亿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8"/>
          <w:sz w:val="31"/>
          <w:szCs w:val="31"/>
        </w:rPr>
        <w:t>元得2分，1亿元(含)至2亿元得3分，2亿元(含)至5亿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1"/>
          <w:sz w:val="31"/>
          <w:szCs w:val="31"/>
        </w:rPr>
        <w:t>元得4分，5亿元(含)以上的得5分。</w:t>
      </w:r>
    </w:p>
    <w:p>
      <w:pPr>
        <w:spacing w:before="175" w:line="334" w:lineRule="auto"/>
        <w:ind w:right="36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亩均税收、亩均营业收入、单位能耗增加值、全员劳动生产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率、研发经费投入强度、亩均技术改造投资指标最高得分不超过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该项指标基准分的1.5倍。</w:t>
      </w:r>
    </w:p>
    <w:p>
      <w:pPr>
        <w:spacing w:before="162" w:line="333" w:lineRule="auto"/>
        <w:ind w:right="29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规下企业同样设立单项指标基准值，企业得分为亩均营业收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入、亩均税收两项指标得分之和。企业实际得分=(亩均</w:t>
      </w:r>
      <w:r>
        <w:rPr>
          <w:rFonts w:ascii="仿宋" w:hAnsi="仿宋" w:eastAsia="仿宋" w:cs="仿宋"/>
          <w:spacing w:val="13"/>
          <w:sz w:val="31"/>
          <w:szCs w:val="31"/>
        </w:rPr>
        <w:t>营业收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入/亩均营业收入基准值)×40+(亩均税收/亩均税收基准值)</w:t>
      </w:r>
    </w:p>
    <w:p>
      <w:pPr>
        <w:spacing w:before="1" w:line="236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3"/>
          <w:sz w:val="31"/>
          <w:szCs w:val="31"/>
        </w:rPr>
        <w:t>×</w:t>
      </w:r>
      <w:r>
        <w:rPr>
          <w:rFonts w:ascii="仿宋" w:hAnsi="仿宋" w:eastAsia="仿宋" w:cs="仿宋"/>
          <w:spacing w:val="-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3"/>
          <w:sz w:val="31"/>
          <w:szCs w:val="31"/>
        </w:rPr>
        <w:t>60。</w:t>
      </w:r>
    </w:p>
    <w:p>
      <w:pPr>
        <w:spacing w:before="160" w:line="326" w:lineRule="auto"/>
        <w:ind w:right="7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3.指标基准值：2022年，各项指标基准值采用全部参评</w:t>
      </w:r>
      <w:r>
        <w:rPr>
          <w:rFonts w:ascii="仿宋" w:hAnsi="仿宋" w:eastAsia="仿宋" w:cs="仿宋"/>
          <w:spacing w:val="13"/>
          <w:sz w:val="31"/>
          <w:szCs w:val="31"/>
        </w:rPr>
        <w:t>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业指标2021年度的算术平均值；2023年及以后，各项指标基准</w:t>
      </w:r>
    </w:p>
    <w:p>
      <w:pPr>
        <w:spacing w:before="1"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值采用在上年度平均值基础上设定的评价年度的目标值。</w:t>
      </w:r>
    </w:p>
    <w:p>
      <w:pPr>
        <w:spacing w:before="187" w:line="328" w:lineRule="auto"/>
        <w:ind w:right="44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4.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企业综合素质附加指标：为引导和鼓励企业创新发展、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绿色发展、守法经营，指标体系中增设综合素质加分项目，最高</w:t>
      </w:r>
    </w:p>
    <w:p>
      <w:pPr>
        <w:spacing w:before="2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加分不超过20分。</w:t>
      </w:r>
    </w:p>
    <w:p>
      <w:pPr>
        <w:sectPr>
          <w:footerReference r:id="rId8" w:type="default"/>
          <w:pgSz w:w="11900" w:h="16840"/>
          <w:pgMar w:top="1431" w:right="1540" w:bottom="1657" w:left="1549" w:header="0" w:footer="1350" w:gutter="0"/>
          <w:cols w:space="720" w:num="1"/>
        </w:sectPr>
      </w:pPr>
    </w:p>
    <w:p/>
    <w:p/>
    <w:p>
      <w:pPr>
        <w:spacing w:line="160" w:lineRule="exact"/>
      </w:pPr>
    </w:p>
    <w:tbl>
      <w:tblPr>
        <w:tblStyle w:val="4"/>
        <w:tblW w:w="89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1948"/>
        <w:gridCol w:w="4634"/>
        <w:gridCol w:w="16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734" w:type="dxa"/>
            <w:vAlign w:val="top"/>
          </w:tcPr>
          <w:p>
            <w:pPr>
              <w:spacing w:before="182" w:line="221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序号</w:t>
            </w:r>
          </w:p>
        </w:tc>
        <w:tc>
          <w:tcPr>
            <w:tcW w:w="1948" w:type="dxa"/>
            <w:vAlign w:val="top"/>
          </w:tcPr>
          <w:p>
            <w:pPr>
              <w:spacing w:before="192" w:line="220" w:lineRule="auto"/>
              <w:ind w:left="6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加分项</w:t>
            </w:r>
          </w:p>
        </w:tc>
        <w:tc>
          <w:tcPr>
            <w:tcW w:w="4634" w:type="dxa"/>
            <w:vAlign w:val="top"/>
          </w:tcPr>
          <w:p>
            <w:pPr>
              <w:spacing w:before="192" w:line="220" w:lineRule="auto"/>
              <w:ind w:left="185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1"/>
                <w:sz w:val="24"/>
                <w:szCs w:val="24"/>
              </w:rPr>
              <w:t>加分细则</w:t>
            </w:r>
          </w:p>
        </w:tc>
        <w:tc>
          <w:tcPr>
            <w:tcW w:w="1643" w:type="dxa"/>
            <w:vAlign w:val="top"/>
          </w:tcPr>
          <w:p>
            <w:pPr>
              <w:spacing w:before="191" w:line="219" w:lineRule="auto"/>
              <w:ind w:left="3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数据来源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734" w:type="dxa"/>
            <w:vAlign w:val="top"/>
          </w:tcPr>
          <w:p>
            <w:pPr>
              <w:spacing w:before="281" w:line="168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948" w:type="dxa"/>
            <w:vAlign w:val="top"/>
          </w:tcPr>
          <w:p>
            <w:pPr>
              <w:spacing w:before="211" w:line="220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智能工厂</w:t>
            </w:r>
          </w:p>
        </w:tc>
        <w:tc>
          <w:tcPr>
            <w:tcW w:w="4634" w:type="dxa"/>
            <w:vAlign w:val="top"/>
          </w:tcPr>
          <w:p>
            <w:pPr>
              <w:spacing w:before="220" w:line="215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7"/>
                <w:sz w:val="24"/>
                <w:szCs w:val="24"/>
              </w:rPr>
              <w:t>国家级加5分、省级加3分、市级加1分</w:t>
            </w:r>
          </w:p>
        </w:tc>
        <w:tc>
          <w:tcPr>
            <w:tcW w:w="1643" w:type="dxa"/>
            <w:vMerge w:val="restart"/>
            <w:tcBorders>
              <w:bottom w:val="nil"/>
            </w:tcBorders>
            <w:vAlign w:val="top"/>
          </w:tcPr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8" w:line="242" w:lineRule="auto"/>
              <w:ind w:left="608" w:right="56" w:hanging="4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区经济和信息</w:t>
            </w: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化局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34" w:type="dxa"/>
            <w:vAlign w:val="top"/>
          </w:tcPr>
          <w:p>
            <w:pPr>
              <w:spacing w:before="262" w:line="182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948" w:type="dxa"/>
            <w:vAlign w:val="top"/>
          </w:tcPr>
          <w:p>
            <w:pPr>
              <w:spacing w:before="220" w:line="214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绿色工厂</w:t>
            </w:r>
          </w:p>
        </w:tc>
        <w:tc>
          <w:tcPr>
            <w:tcW w:w="4634" w:type="dxa"/>
            <w:vAlign w:val="top"/>
          </w:tcPr>
          <w:p>
            <w:pPr>
              <w:spacing w:before="220" w:line="214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7"/>
                <w:sz w:val="24"/>
                <w:szCs w:val="24"/>
              </w:rPr>
              <w:t>国家级加5分、省级加3分、市级加1分</w:t>
            </w:r>
          </w:p>
        </w:tc>
        <w:tc>
          <w:tcPr>
            <w:tcW w:w="16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734" w:type="dxa"/>
            <w:vAlign w:val="top"/>
          </w:tcPr>
          <w:p>
            <w:pPr>
              <w:spacing w:before="253" w:line="183" w:lineRule="auto"/>
              <w:ind w:left="2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948" w:type="dxa"/>
            <w:vAlign w:val="top"/>
          </w:tcPr>
          <w:p>
            <w:pPr>
              <w:spacing w:before="210" w:line="219" w:lineRule="auto"/>
              <w:ind w:left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专精特新企业</w:t>
            </w:r>
          </w:p>
        </w:tc>
        <w:tc>
          <w:tcPr>
            <w:tcW w:w="4634" w:type="dxa"/>
            <w:vAlign w:val="top"/>
          </w:tcPr>
          <w:p>
            <w:pPr>
              <w:spacing w:before="211" w:line="219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7"/>
                <w:sz w:val="24"/>
                <w:szCs w:val="24"/>
              </w:rPr>
              <w:t>国家级加5分、省级加3分、市级加1分</w:t>
            </w:r>
          </w:p>
        </w:tc>
        <w:tc>
          <w:tcPr>
            <w:tcW w:w="16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734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spacing w:before="78" w:line="183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948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spacing w:before="78" w:line="221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规上企业</w:t>
            </w:r>
          </w:p>
        </w:tc>
        <w:tc>
          <w:tcPr>
            <w:tcW w:w="4634" w:type="dxa"/>
            <w:vAlign w:val="top"/>
          </w:tcPr>
          <w:p>
            <w:pPr>
              <w:spacing w:before="201" w:line="491" w:lineRule="exact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position w:val="19"/>
                <w:sz w:val="24"/>
                <w:szCs w:val="24"/>
              </w:rPr>
              <w:t>新列入规模以上工业企业统计范围的加5</w:t>
            </w:r>
          </w:p>
          <w:p>
            <w:pPr>
              <w:spacing w:line="220" w:lineRule="auto"/>
              <w:ind w:left="21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分</w:t>
            </w:r>
          </w:p>
        </w:tc>
        <w:tc>
          <w:tcPr>
            <w:tcW w:w="164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734" w:type="dxa"/>
            <w:vAlign w:val="top"/>
          </w:tcPr>
          <w:p>
            <w:pPr>
              <w:spacing w:before="266" w:line="180" w:lineRule="auto"/>
              <w:ind w:left="2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948" w:type="dxa"/>
            <w:vAlign w:val="top"/>
          </w:tcPr>
          <w:p>
            <w:pPr>
              <w:spacing w:before="203" w:line="220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战新目录</w:t>
            </w:r>
          </w:p>
        </w:tc>
        <w:tc>
          <w:tcPr>
            <w:tcW w:w="4634" w:type="dxa"/>
            <w:vAlign w:val="top"/>
          </w:tcPr>
          <w:p>
            <w:pPr>
              <w:spacing w:before="212" w:line="219" w:lineRule="auto"/>
              <w:ind w:left="6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列入战新产业目录的企业加3分</w:t>
            </w:r>
          </w:p>
        </w:tc>
        <w:tc>
          <w:tcPr>
            <w:tcW w:w="1643" w:type="dxa"/>
            <w:vAlign w:val="top"/>
          </w:tcPr>
          <w:p>
            <w:pPr>
              <w:spacing w:before="192" w:line="219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区发展改革委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734" w:type="dxa"/>
            <w:vAlign w:val="top"/>
          </w:tcPr>
          <w:p>
            <w:pPr>
              <w:spacing w:before="314" w:line="183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948" w:type="dxa"/>
            <w:vAlign w:val="top"/>
          </w:tcPr>
          <w:p>
            <w:pPr>
              <w:spacing w:before="252" w:line="219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高新目录</w:t>
            </w:r>
          </w:p>
        </w:tc>
        <w:tc>
          <w:tcPr>
            <w:tcW w:w="4634" w:type="dxa"/>
            <w:vAlign w:val="top"/>
          </w:tcPr>
          <w:p>
            <w:pPr>
              <w:spacing w:before="123" w:line="243" w:lineRule="auto"/>
              <w:ind w:left="1120" w:hanging="927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列入《安徽省高新技术产业统计分类目录》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</w:rPr>
              <w:t>的规上工业企业加3分</w:t>
            </w:r>
          </w:p>
        </w:tc>
        <w:tc>
          <w:tcPr>
            <w:tcW w:w="1643" w:type="dxa"/>
            <w:vAlign w:val="top"/>
          </w:tcPr>
          <w:p>
            <w:pPr>
              <w:spacing w:before="251" w:line="219" w:lineRule="auto"/>
              <w:ind w:left="37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区科技局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9" w:hRule="atLeast"/>
        </w:trPr>
        <w:tc>
          <w:tcPr>
            <w:tcW w:w="734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before="78" w:line="182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9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研发机构</w:t>
            </w:r>
          </w:p>
        </w:tc>
        <w:tc>
          <w:tcPr>
            <w:tcW w:w="4634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8"/>
                <w:sz w:val="24"/>
                <w:szCs w:val="24"/>
              </w:rPr>
              <w:t>国家级加5分、省级加3分、市级加1分</w:t>
            </w:r>
          </w:p>
        </w:tc>
        <w:tc>
          <w:tcPr>
            <w:tcW w:w="1643" w:type="dxa"/>
            <w:vAlign w:val="top"/>
          </w:tcPr>
          <w:p>
            <w:pPr>
              <w:spacing w:before="112" w:line="286" w:lineRule="auto"/>
              <w:ind w:left="118" w:firstLine="222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>区发展改革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委、区科技局、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>区经济和信息</w:t>
            </w:r>
          </w:p>
          <w:p>
            <w:pPr>
              <w:spacing w:before="80" w:line="203" w:lineRule="auto"/>
              <w:ind w:left="58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化局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734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spacing w:before="78" w:line="183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top"/>
          </w:tcPr>
          <w:p>
            <w:pPr>
              <w:spacing w:before="296" w:line="252" w:lineRule="auto"/>
              <w:ind w:left="361" w:right="127" w:hanging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院士工作站、博 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士后工作站</w:t>
            </w:r>
          </w:p>
        </w:tc>
        <w:tc>
          <w:tcPr>
            <w:tcW w:w="4634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spacing w:before="78" w:line="220" w:lineRule="auto"/>
              <w:ind w:left="19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院士工作站加3分、博士后工作站加3分</w:t>
            </w:r>
          </w:p>
        </w:tc>
        <w:tc>
          <w:tcPr>
            <w:tcW w:w="1643" w:type="dxa"/>
            <w:vAlign w:val="top"/>
          </w:tcPr>
          <w:p>
            <w:pPr>
              <w:spacing w:before="103" w:line="219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区科技局、区</w:t>
            </w:r>
          </w:p>
          <w:p>
            <w:pPr>
              <w:spacing w:before="85" w:line="219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人力资源社会</w:t>
            </w:r>
          </w:p>
          <w:p>
            <w:pPr>
              <w:spacing w:before="77" w:line="203" w:lineRule="auto"/>
              <w:ind w:left="46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保障局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734" w:type="dxa"/>
            <w:vAlign w:val="top"/>
          </w:tcPr>
          <w:p>
            <w:pPr>
              <w:spacing w:before="197" w:line="183" w:lineRule="auto"/>
              <w:ind w:left="2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top"/>
          </w:tcPr>
          <w:p>
            <w:pPr>
              <w:spacing w:before="135" w:line="219" w:lineRule="auto"/>
              <w:ind w:left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高新技术企业</w:t>
            </w:r>
          </w:p>
        </w:tc>
        <w:tc>
          <w:tcPr>
            <w:tcW w:w="4634" w:type="dxa"/>
            <w:vAlign w:val="top"/>
          </w:tcPr>
          <w:p>
            <w:pPr>
              <w:spacing w:before="135" w:line="219" w:lineRule="auto"/>
              <w:ind w:left="12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高新技术企业加3分</w:t>
            </w:r>
          </w:p>
        </w:tc>
        <w:tc>
          <w:tcPr>
            <w:tcW w:w="1643" w:type="dxa"/>
            <w:vAlign w:val="top"/>
          </w:tcPr>
          <w:p>
            <w:pPr>
              <w:spacing w:before="204" w:line="219" w:lineRule="auto"/>
              <w:ind w:left="38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区科技局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734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spacing w:before="78" w:line="184" w:lineRule="auto"/>
              <w:ind w:left="2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10</w:t>
            </w:r>
          </w:p>
        </w:tc>
        <w:tc>
          <w:tcPr>
            <w:tcW w:w="19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7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品牌</w:t>
            </w:r>
          </w:p>
        </w:tc>
        <w:tc>
          <w:tcPr>
            <w:tcW w:w="4634" w:type="dxa"/>
            <w:vAlign w:val="top"/>
          </w:tcPr>
          <w:p>
            <w:pPr>
              <w:spacing w:before="97" w:line="268" w:lineRule="auto"/>
              <w:ind w:left="193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>国家级(驰名商标、国家地理标志保护产品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23"/>
                <w:szCs w:val="23"/>
              </w:rPr>
              <w:t>等)加5分、省级(皖美品牌示范企业、商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5"/>
                <w:sz w:val="23"/>
                <w:szCs w:val="23"/>
              </w:rPr>
              <w:t>标品牌示范企业、工业精品等)加3分</w:t>
            </w:r>
          </w:p>
        </w:tc>
        <w:tc>
          <w:tcPr>
            <w:tcW w:w="1643" w:type="dxa"/>
            <w:vAlign w:val="top"/>
          </w:tcPr>
          <w:p>
            <w:pPr>
              <w:spacing w:before="106" w:line="249" w:lineRule="auto"/>
              <w:ind w:left="118" w:right="54" w:firstLine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区市场监管 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局、区经济和</w:t>
            </w:r>
          </w:p>
          <w:p>
            <w:pPr>
              <w:spacing w:before="72" w:line="210" w:lineRule="auto"/>
              <w:ind w:left="34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信息化局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734" w:type="dxa"/>
            <w:vAlign w:val="top"/>
          </w:tcPr>
          <w:p>
            <w:pPr>
              <w:spacing w:before="318" w:line="184" w:lineRule="auto"/>
              <w:ind w:left="2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11</w:t>
            </w:r>
          </w:p>
        </w:tc>
        <w:tc>
          <w:tcPr>
            <w:tcW w:w="1948" w:type="dxa"/>
            <w:vAlign w:val="top"/>
          </w:tcPr>
          <w:p>
            <w:pPr>
              <w:spacing w:before="258" w:line="220" w:lineRule="auto"/>
              <w:ind w:left="7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质量</w:t>
            </w:r>
          </w:p>
        </w:tc>
        <w:tc>
          <w:tcPr>
            <w:tcW w:w="4634" w:type="dxa"/>
            <w:vAlign w:val="top"/>
          </w:tcPr>
          <w:p>
            <w:pPr>
              <w:spacing w:before="126" w:line="242" w:lineRule="auto"/>
              <w:ind w:left="1400" w:hanging="1207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5"/>
                <w:sz w:val="23"/>
                <w:szCs w:val="23"/>
              </w:rPr>
              <w:t>中国质量奖加5分、省政府质量奖加3分，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0"/>
                <w:sz w:val="23"/>
                <w:szCs w:val="23"/>
              </w:rPr>
              <w:t>市长质量奖加1分</w:t>
            </w:r>
          </w:p>
        </w:tc>
        <w:tc>
          <w:tcPr>
            <w:tcW w:w="1643" w:type="dxa"/>
            <w:vAlign w:val="top"/>
          </w:tcPr>
          <w:p>
            <w:pPr>
              <w:spacing w:before="258" w:line="219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区市场监管局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734" w:type="dxa"/>
            <w:vAlign w:val="top"/>
          </w:tcPr>
          <w:p>
            <w:pPr>
              <w:spacing w:before="319" w:line="184" w:lineRule="auto"/>
              <w:ind w:left="2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12</w:t>
            </w:r>
          </w:p>
        </w:tc>
        <w:tc>
          <w:tcPr>
            <w:tcW w:w="1948" w:type="dxa"/>
            <w:vAlign w:val="top"/>
          </w:tcPr>
          <w:p>
            <w:pPr>
              <w:spacing w:before="258" w:line="219" w:lineRule="auto"/>
              <w:ind w:left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发明专利授权</w:t>
            </w:r>
          </w:p>
        </w:tc>
        <w:tc>
          <w:tcPr>
            <w:tcW w:w="4634" w:type="dxa"/>
            <w:vAlign w:val="top"/>
          </w:tcPr>
          <w:p>
            <w:pPr>
              <w:spacing w:before="106" w:line="250" w:lineRule="auto"/>
              <w:ind w:left="1486" w:hanging="129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评价年度每新增一件发明专利授权，加0.5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3"/>
                <w:sz w:val="23"/>
                <w:szCs w:val="23"/>
              </w:rPr>
              <w:t>分，最高加3分</w:t>
            </w:r>
          </w:p>
        </w:tc>
        <w:tc>
          <w:tcPr>
            <w:tcW w:w="1643" w:type="dxa"/>
            <w:vAlign w:val="top"/>
          </w:tcPr>
          <w:p>
            <w:pPr>
              <w:spacing w:before="258" w:line="219" w:lineRule="auto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区市场监管局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734" w:type="dxa"/>
            <w:vAlign w:val="top"/>
          </w:tcPr>
          <w:p>
            <w:pPr>
              <w:spacing w:before="280" w:line="169" w:lineRule="auto"/>
              <w:ind w:left="2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13</w:t>
            </w:r>
          </w:p>
        </w:tc>
        <w:tc>
          <w:tcPr>
            <w:tcW w:w="1948" w:type="dxa"/>
            <w:vAlign w:val="top"/>
          </w:tcPr>
          <w:p>
            <w:pPr>
              <w:spacing w:before="219" w:line="216" w:lineRule="auto"/>
              <w:ind w:left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诚信纳税</w:t>
            </w:r>
          </w:p>
        </w:tc>
        <w:tc>
          <w:tcPr>
            <w:tcW w:w="4634" w:type="dxa"/>
            <w:vAlign w:val="top"/>
          </w:tcPr>
          <w:p>
            <w:pPr>
              <w:spacing w:before="229" w:line="208" w:lineRule="auto"/>
              <w:ind w:left="127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8"/>
                <w:sz w:val="24"/>
                <w:szCs w:val="24"/>
              </w:rPr>
              <w:t>A级纳税信用加1分</w:t>
            </w:r>
          </w:p>
        </w:tc>
        <w:tc>
          <w:tcPr>
            <w:tcW w:w="1643" w:type="dxa"/>
            <w:vAlign w:val="top"/>
          </w:tcPr>
          <w:p>
            <w:pPr>
              <w:spacing w:before="229" w:line="208" w:lineRule="auto"/>
              <w:ind w:left="38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>区税务局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734" w:type="dxa"/>
            <w:vAlign w:val="top"/>
          </w:tcPr>
          <w:p>
            <w:pPr>
              <w:spacing w:line="370" w:lineRule="auto"/>
              <w:rPr>
                <w:rFonts w:ascii="Arial"/>
                <w:sz w:val="21"/>
              </w:rPr>
            </w:pPr>
          </w:p>
          <w:p>
            <w:pPr>
              <w:spacing w:before="78" w:line="184" w:lineRule="auto"/>
              <w:ind w:left="23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14</w:t>
            </w:r>
          </w:p>
        </w:tc>
        <w:tc>
          <w:tcPr>
            <w:tcW w:w="1948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农副产品加工业</w:t>
            </w:r>
          </w:p>
        </w:tc>
        <w:tc>
          <w:tcPr>
            <w:tcW w:w="4634" w:type="dxa"/>
            <w:vAlign w:val="top"/>
          </w:tcPr>
          <w:p>
            <w:pPr>
              <w:spacing w:before="238" w:line="257" w:lineRule="auto"/>
              <w:ind w:left="1722" w:right="92" w:hanging="152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属于农副产品加工业享受税收优惠政策的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26"/>
                <w:sz w:val="24"/>
                <w:szCs w:val="24"/>
              </w:rPr>
              <w:t>企业加5分</w:t>
            </w:r>
          </w:p>
        </w:tc>
        <w:tc>
          <w:tcPr>
            <w:tcW w:w="1643" w:type="dxa"/>
            <w:vAlign w:val="top"/>
          </w:tcPr>
          <w:p>
            <w:pPr>
              <w:spacing w:before="229" w:line="472" w:lineRule="exact"/>
              <w:ind w:left="11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position w:val="17"/>
                <w:sz w:val="24"/>
                <w:szCs w:val="24"/>
              </w:rPr>
              <w:t>区经济和信息</w:t>
            </w:r>
          </w:p>
          <w:p>
            <w:pPr>
              <w:spacing w:before="1" w:line="220" w:lineRule="auto"/>
              <w:ind w:left="58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化局</w:t>
            </w:r>
          </w:p>
        </w:tc>
      </w:tr>
    </w:tbl>
    <w:p>
      <w:pPr>
        <w:spacing w:before="202" w:line="548" w:lineRule="exact"/>
        <w:ind w:left="76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position w:val="18"/>
          <w:sz w:val="30"/>
          <w:szCs w:val="30"/>
        </w:rPr>
        <w:t>同一类别的加分项按照不重复和就高不就低的原则执行，企</w:t>
      </w:r>
    </w:p>
    <w:p>
      <w:pPr>
        <w:spacing w:line="219" w:lineRule="auto"/>
        <w:ind w:left="11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业获得的各类荣誉(证书)不在有效期范围内的不加分，各类综</w:t>
      </w:r>
    </w:p>
    <w:p>
      <w:pPr>
        <w:spacing w:line="429" w:lineRule="auto"/>
        <w:rPr>
          <w:rFonts w:ascii="Arial"/>
          <w:sz w:val="21"/>
        </w:rPr>
      </w:pPr>
    </w:p>
    <w:p>
      <w:pPr>
        <w:spacing w:before="98" w:line="182" w:lineRule="auto"/>
        <w:ind w:right="48"/>
        <w:jc w:val="right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20"/>
          <w:w w:val="92"/>
          <w:sz w:val="30"/>
          <w:szCs w:val="30"/>
        </w:rPr>
        <w:t>—5—</w:t>
      </w:r>
    </w:p>
    <w:p>
      <w:pPr>
        <w:sectPr>
          <w:footerReference r:id="rId9" w:type="default"/>
          <w:pgSz w:w="11900" w:h="16840"/>
          <w:pgMar w:top="1431" w:right="1445" w:bottom="400" w:left="1484" w:header="0" w:footer="0" w:gutter="0"/>
          <w:cols w:space="720" w:num="1"/>
        </w:sect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before="101" w:line="222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合素质附加项认定时间节点为评价年度的12月31日。</w:t>
      </w:r>
    </w:p>
    <w:p>
      <w:pPr>
        <w:spacing w:before="159" w:line="223" w:lineRule="auto"/>
        <w:ind w:left="78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6"/>
          <w:sz w:val="31"/>
          <w:szCs w:val="31"/>
        </w:rPr>
        <w:t>(三)评价分类</w:t>
      </w:r>
    </w:p>
    <w:p>
      <w:pPr>
        <w:spacing w:before="182" w:line="328" w:lineRule="auto"/>
        <w:ind w:left="9" w:right="8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(</w:t>
      </w:r>
      <w:r>
        <w:rPr>
          <w:rFonts w:ascii="仿宋" w:hAnsi="仿宋" w:eastAsia="仿宋" w:cs="仿宋"/>
          <w:spacing w:val="-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一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)A</w:t>
      </w:r>
      <w:r>
        <w:rPr>
          <w:rFonts w:ascii="仿宋" w:hAnsi="仿宋" w:eastAsia="仿宋" w:cs="仿宋"/>
          <w:spacing w:val="-1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(甲)类——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优先发展类。指资源利用效率高、质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量效益特别好、贡献特别大的企业。具体标准：总得分位列全区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前20%(含)的规上企业为A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4"/>
          <w:sz w:val="31"/>
          <w:szCs w:val="31"/>
        </w:rPr>
        <w:t>类，排名位列全区前20%(含)的</w:t>
      </w:r>
    </w:p>
    <w:p>
      <w:pPr>
        <w:spacing w:line="222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规下企业为甲类。</w:t>
      </w:r>
    </w:p>
    <w:p>
      <w:pPr>
        <w:spacing w:before="178" w:line="327" w:lineRule="auto"/>
        <w:ind w:left="9" w:right="12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(</w:t>
      </w:r>
      <w:r>
        <w:rPr>
          <w:rFonts w:ascii="仿宋" w:hAnsi="仿宋" w:eastAsia="仿宋" w:cs="仿宋"/>
          <w:spacing w:val="-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二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)B</w:t>
      </w:r>
      <w:r>
        <w:rPr>
          <w:rFonts w:ascii="仿宋" w:hAnsi="仿宋" w:eastAsia="仿宋" w:cs="仿宋"/>
          <w:spacing w:val="-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(乙)类——</w:t>
      </w:r>
      <w:r>
        <w:rPr>
          <w:rFonts w:ascii="仿宋" w:hAnsi="仿宋" w:eastAsia="仿宋" w:cs="仿宋"/>
          <w:spacing w:val="-10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鼓励提升类。指资源利用效率、质量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效益和贡献相对一般，转型升级发展水平有待进一步提升的企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业。具体标准：总得分位列全区20%-65%(含)的规上企业为B</w:t>
      </w:r>
    </w:p>
    <w:p>
      <w:pPr>
        <w:spacing w:before="1" w:line="221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类，排名位列全区20%-65%(含)的规</w:t>
      </w:r>
      <w:r>
        <w:rPr>
          <w:rFonts w:ascii="仿宋" w:hAnsi="仿宋" w:eastAsia="仿宋" w:cs="仿宋"/>
          <w:spacing w:val="20"/>
          <w:sz w:val="31"/>
          <w:szCs w:val="31"/>
        </w:rPr>
        <w:t>下企业为乙类。</w:t>
      </w:r>
    </w:p>
    <w:p>
      <w:pPr>
        <w:spacing w:before="178" w:line="328" w:lineRule="auto"/>
        <w:ind w:left="9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(</w:t>
      </w:r>
      <w:r>
        <w:rPr>
          <w:rFonts w:ascii="仿宋" w:hAnsi="仿宋" w:eastAsia="仿宋" w:cs="仿宋"/>
          <w:spacing w:val="-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三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)C</w:t>
      </w:r>
      <w:r>
        <w:rPr>
          <w:rFonts w:ascii="仿宋" w:hAnsi="仿宋" w:eastAsia="仿宋" w:cs="仿宋"/>
          <w:spacing w:val="-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(丙)类——</w:t>
      </w:r>
      <w:r>
        <w:rPr>
          <w:rFonts w:ascii="仿宋" w:hAnsi="仿宋" w:eastAsia="仿宋" w:cs="仿宋"/>
          <w:spacing w:val="-10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监管调控类。指发展水平较落后、综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合质量效益差、产品技术设备相对落后，需重点监管调控、帮</w:t>
      </w:r>
      <w:r>
        <w:rPr>
          <w:rFonts w:ascii="仿宋" w:hAnsi="仿宋" w:eastAsia="仿宋" w:cs="仿宋"/>
          <w:spacing w:val="2"/>
          <w:sz w:val="31"/>
          <w:szCs w:val="31"/>
        </w:rPr>
        <w:t>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提升的企业。具体标准：总得分位列全区65%-95%(含)</w:t>
      </w:r>
      <w:r>
        <w:rPr>
          <w:rFonts w:ascii="仿宋" w:hAnsi="仿宋" w:eastAsia="仿宋" w:cs="仿宋"/>
          <w:spacing w:val="17"/>
          <w:sz w:val="31"/>
          <w:szCs w:val="31"/>
        </w:rPr>
        <w:t>以内的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规上企业为C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类，总得分位列全区65%-95%(含)以内的规下</w:t>
      </w:r>
      <w:r>
        <w:rPr>
          <w:rFonts w:ascii="仿宋" w:hAnsi="仿宋" w:eastAsia="仿宋" w:cs="仿宋"/>
          <w:spacing w:val="18"/>
          <w:sz w:val="31"/>
          <w:szCs w:val="31"/>
        </w:rPr>
        <w:t>企</w:t>
      </w:r>
    </w:p>
    <w:p>
      <w:pPr>
        <w:spacing w:before="2" w:line="223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业为丙类。</w:t>
      </w:r>
    </w:p>
    <w:p>
      <w:pPr>
        <w:spacing w:before="172" w:line="328" w:lineRule="auto"/>
        <w:ind w:left="9" w:right="36" w:firstLine="77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(</w:t>
      </w:r>
      <w:r>
        <w:rPr>
          <w:rFonts w:ascii="仿宋" w:hAnsi="仿宋" w:eastAsia="仿宋" w:cs="仿宋"/>
          <w:spacing w:val="-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四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)D</w:t>
      </w:r>
      <w:r>
        <w:rPr>
          <w:rFonts w:ascii="仿宋" w:hAnsi="仿宋" w:eastAsia="仿宋" w:cs="仿宋"/>
          <w:spacing w:val="-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(丁)类——</w:t>
      </w:r>
      <w:r>
        <w:rPr>
          <w:rFonts w:ascii="仿宋" w:hAnsi="仿宋" w:eastAsia="仿宋" w:cs="仿宋"/>
          <w:spacing w:val="-9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落后整治类。指处于停产或半</w:t>
      </w:r>
      <w:r>
        <w:rPr>
          <w:rFonts w:ascii="仿宋" w:hAnsi="仿宋" w:eastAsia="仿宋" w:cs="仿宋"/>
          <w:spacing w:val="9"/>
          <w:sz w:val="31"/>
          <w:szCs w:val="31"/>
        </w:rPr>
        <w:t>停产状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态，需倒逼提升、重点整治或淘汰的企业。具体标准</w:t>
      </w:r>
      <w:r>
        <w:rPr>
          <w:rFonts w:ascii="仿宋" w:hAnsi="仿宋" w:eastAsia="仿宋" w:cs="仿宋"/>
          <w:spacing w:val="2"/>
          <w:sz w:val="31"/>
          <w:szCs w:val="31"/>
        </w:rPr>
        <w:t>：总得分位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列全区后5%的规上企业为D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类和总得分位列全区后5%的规下企</w:t>
      </w:r>
    </w:p>
    <w:p>
      <w:pPr>
        <w:spacing w:before="1" w:line="223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业为丁类。</w:t>
      </w:r>
    </w:p>
    <w:p>
      <w:pPr>
        <w:spacing w:before="282" w:line="229" w:lineRule="auto"/>
        <w:ind w:left="78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8"/>
          <w:sz w:val="31"/>
          <w:szCs w:val="31"/>
        </w:rPr>
        <w:t>(四)定档调档</w:t>
      </w:r>
    </w:p>
    <w:p>
      <w:pPr>
        <w:spacing w:before="155" w:line="578" w:lineRule="exact"/>
        <w:ind w:left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position w:val="19"/>
          <w:sz w:val="31"/>
          <w:szCs w:val="31"/>
        </w:rPr>
        <w:t>按照得分排序对参评企业评价分档后，如有下列情况的，进</w:t>
      </w:r>
    </w:p>
    <w:p>
      <w:pPr>
        <w:spacing w:before="1" w:line="220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行定档调档：</w:t>
      </w:r>
    </w:p>
    <w:p>
      <w:pPr>
        <w:spacing w:before="162" w:line="218" w:lineRule="auto"/>
        <w:ind w:left="65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1.对评价年度主板上市企业、营业收入超10亿元或总税收</w:t>
      </w:r>
    </w:p>
    <w:p>
      <w:pPr>
        <w:sectPr>
          <w:footerReference r:id="rId10" w:type="default"/>
          <w:pgSz w:w="11900" w:h="16840"/>
          <w:pgMar w:top="1431" w:right="1539" w:bottom="1657" w:left="1549" w:header="0" w:footer="1349" w:gutter="0"/>
          <w:cols w:space="720" w:num="1"/>
        </w:sectPr>
      </w:pPr>
    </w:p>
    <w:p>
      <w:pPr>
        <w:spacing w:line="350" w:lineRule="auto"/>
        <w:rPr>
          <w:rFonts w:ascii="Arial"/>
          <w:sz w:val="21"/>
        </w:rPr>
      </w:pPr>
    </w:p>
    <w:p>
      <w:pPr>
        <w:spacing w:line="351" w:lineRule="auto"/>
        <w:rPr>
          <w:rFonts w:ascii="Arial"/>
          <w:sz w:val="21"/>
        </w:rPr>
      </w:pPr>
    </w:p>
    <w:p>
      <w:pPr>
        <w:spacing w:before="104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0"/>
          <w:sz w:val="32"/>
          <w:szCs w:val="32"/>
        </w:rPr>
        <w:t>超2000万元企业直接定为A</w:t>
      </w:r>
      <w:r>
        <w:rPr>
          <w:rFonts w:ascii="仿宋" w:hAnsi="仿宋" w:eastAsia="仿宋" w:cs="仿宋"/>
          <w:spacing w:val="-7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0"/>
          <w:sz w:val="32"/>
          <w:szCs w:val="32"/>
        </w:rPr>
        <w:t>档。</w:t>
      </w:r>
    </w:p>
    <w:p>
      <w:pPr>
        <w:spacing w:before="152" w:line="317" w:lineRule="auto"/>
        <w:ind w:right="47" w:firstLine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5"/>
          <w:sz w:val="32"/>
          <w:szCs w:val="32"/>
        </w:rPr>
        <w:t>2.对评价年度获得国家级荣誉(与工业经济发展相关)的企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业，或对全区经济社会发展和产业转型升级作出突出贡献的企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业，由企业所在镇街道及园区管委会提出申请，经区亩均效益评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价工作领导小组同意后，可提一档。</w:t>
      </w:r>
    </w:p>
    <w:p>
      <w:pPr>
        <w:spacing w:before="172" w:line="222" w:lineRule="auto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3.近两年新纳规企业原则上不列为</w:t>
      </w:r>
      <w:r>
        <w:rPr>
          <w:rFonts w:ascii="仿宋" w:hAnsi="仿宋" w:eastAsia="仿宋" w:cs="仿宋"/>
          <w:spacing w:val="-8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D</w:t>
      </w:r>
      <w:r>
        <w:rPr>
          <w:rFonts w:ascii="仿宋" w:hAnsi="仿宋" w:eastAsia="仿宋" w:cs="仿宋"/>
          <w:spacing w:val="-7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档。</w:t>
      </w:r>
    </w:p>
    <w:p>
      <w:pPr>
        <w:spacing w:before="162" w:line="552" w:lineRule="exact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5"/>
          <w:position w:val="17"/>
          <w:sz w:val="32"/>
          <w:szCs w:val="32"/>
        </w:rPr>
        <w:t>4.对评价年度发生较大及以上安全生产事故和环保责任事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故的企业降一档。</w:t>
      </w:r>
    </w:p>
    <w:p>
      <w:pPr>
        <w:spacing w:before="223" w:line="557" w:lineRule="exact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position w:val="17"/>
          <w:sz w:val="32"/>
          <w:szCs w:val="32"/>
        </w:rPr>
        <w:t>定档调档企业不影响其他企业依据得分排序的评价结果，坚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持公正公平公开，加强评价结果的审核、公示和公布。</w:t>
      </w:r>
    </w:p>
    <w:p>
      <w:pPr>
        <w:spacing w:before="158" w:line="222" w:lineRule="auto"/>
        <w:ind w:left="634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8"/>
          <w:sz w:val="32"/>
          <w:szCs w:val="32"/>
        </w:rPr>
        <w:t>四、</w:t>
      </w:r>
      <w:r>
        <w:rPr>
          <w:rFonts w:ascii="黑体" w:hAnsi="黑体" w:eastAsia="黑体" w:cs="黑体"/>
          <w:spacing w:val="-83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-18"/>
          <w:sz w:val="32"/>
          <w:szCs w:val="32"/>
        </w:rPr>
        <w:t>落实差别化政策</w:t>
      </w:r>
    </w:p>
    <w:p>
      <w:pPr>
        <w:spacing w:before="178" w:line="317" w:lineRule="auto"/>
        <w:ind w:firstLine="62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建立资源要素优化配置机制，强化评价结果运用。根据企业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亩均效益评价结果，按照</w:t>
      </w:r>
      <w:r>
        <w:rPr>
          <w:rFonts w:ascii="仿宋" w:hAnsi="仿宋" w:eastAsia="仿宋" w:cs="仿宋"/>
          <w:spacing w:val="-6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A</w:t>
      </w:r>
      <w:r>
        <w:rPr>
          <w:rFonts w:ascii="仿宋" w:hAnsi="仿宋" w:eastAsia="仿宋" w:cs="仿宋"/>
          <w:spacing w:val="-5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类企业正向激励，</w:t>
      </w:r>
      <w:r>
        <w:rPr>
          <w:rFonts w:ascii="仿宋" w:hAnsi="仿宋" w:eastAsia="仿宋" w:cs="仿宋"/>
          <w:spacing w:val="2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B、C</w:t>
      </w:r>
      <w:r>
        <w:rPr>
          <w:rFonts w:ascii="仿宋" w:hAnsi="仿宋" w:eastAsia="仿宋" w:cs="仿宋"/>
          <w:spacing w:val="-4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类企业转型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提升，</w:t>
      </w:r>
      <w:r>
        <w:rPr>
          <w:rFonts w:ascii="仿宋" w:hAnsi="仿宋" w:eastAsia="仿宋" w:cs="仿宋"/>
          <w:spacing w:val="-7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D</w:t>
      </w:r>
      <w:r>
        <w:rPr>
          <w:rFonts w:ascii="仿宋" w:hAnsi="仿宋" w:eastAsia="仿宋" w:cs="仿宋"/>
          <w:spacing w:val="-4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8"/>
          <w:sz w:val="32"/>
          <w:szCs w:val="32"/>
        </w:rPr>
        <w:t>类企业调控帮扶的原则，2022年底前，依据省联席会议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5"/>
          <w:sz w:val="32"/>
          <w:szCs w:val="32"/>
        </w:rPr>
        <w:t>成员单位形成的赋权政策清单，依法依规制定实施差别化财税、</w:t>
      </w:r>
      <w:r>
        <w:rPr>
          <w:rFonts w:ascii="仿宋" w:hAnsi="仿宋" w:eastAsia="仿宋" w:cs="仿宋"/>
          <w:spacing w:val="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用地、用电、用水、用气、金融、人才等政策，推进资源要素向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评价高的企业集聚，提升资源要素利用效率。差别化政策将根据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工作需要适时组织实施。</w:t>
      </w:r>
    </w:p>
    <w:p>
      <w:pPr>
        <w:spacing w:before="208" w:line="222" w:lineRule="auto"/>
        <w:ind w:left="76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(</w:t>
      </w:r>
      <w:r>
        <w:rPr>
          <w:rFonts w:ascii="仿宋" w:hAnsi="仿宋" w:eastAsia="仿宋" w:cs="仿宋"/>
          <w:spacing w:val="-47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一</w:t>
      </w:r>
      <w:r>
        <w:rPr>
          <w:rFonts w:ascii="仿宋" w:hAnsi="仿宋" w:eastAsia="仿宋" w:cs="仿宋"/>
          <w:spacing w:val="-63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)A</w:t>
      </w:r>
      <w:r>
        <w:rPr>
          <w:rFonts w:ascii="仿宋" w:hAnsi="仿宋" w:eastAsia="仿宋" w:cs="仿宋"/>
          <w:spacing w:val="-9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(甲)类企业：</w:t>
      </w:r>
    </w:p>
    <w:p>
      <w:pPr>
        <w:spacing w:before="189" w:line="548" w:lineRule="exact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position w:val="16"/>
          <w:sz w:val="32"/>
          <w:szCs w:val="32"/>
        </w:rPr>
        <w:t>1.优先适用财政鼓励政策，各类申报项目优先重点推荐；</w:t>
      </w:r>
    </w:p>
    <w:p>
      <w:pPr>
        <w:spacing w:before="1" w:line="220" w:lineRule="auto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2.优先保障用电、用水和新增用能需求；</w:t>
      </w:r>
    </w:p>
    <w:p>
      <w:pPr>
        <w:spacing w:before="165" w:line="555" w:lineRule="exact"/>
        <w:ind w:left="62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position w:val="17"/>
          <w:sz w:val="32"/>
          <w:szCs w:val="32"/>
        </w:rPr>
        <w:t>3.重点保障信贷需求，金融机构在企业信用评级、贷款授信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和利率优惠中给予优先支持；</w:t>
      </w:r>
    </w:p>
    <w:p>
      <w:pPr>
        <w:sectPr>
          <w:footerReference r:id="rId11" w:type="default"/>
          <w:pgSz w:w="11900" w:h="16840"/>
          <w:pgMar w:top="1431" w:right="1500" w:bottom="1662" w:left="1569" w:header="0" w:footer="1347" w:gutter="0"/>
          <w:cols w:space="720" w:num="1"/>
        </w:sectPr>
      </w:pPr>
    </w:p>
    <w:p>
      <w:pPr>
        <w:spacing w:line="345" w:lineRule="auto"/>
        <w:rPr>
          <w:rFonts w:ascii="Arial"/>
          <w:sz w:val="21"/>
        </w:rPr>
      </w:pPr>
    </w:p>
    <w:p>
      <w:pPr>
        <w:spacing w:line="346" w:lineRule="auto"/>
        <w:rPr>
          <w:rFonts w:ascii="Arial"/>
          <w:sz w:val="21"/>
        </w:rPr>
      </w:pPr>
    </w:p>
    <w:p>
      <w:pPr>
        <w:spacing w:before="104" w:line="323" w:lineRule="auto"/>
        <w:ind w:right="71"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4.优先解决企业各类人才落户、住房、子女就学等问题，优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先推荐企业负责人参加各级各类先进评选，优先组织其参加政府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组织的学习、培训、考察和招商引资等活动；</w:t>
      </w:r>
    </w:p>
    <w:p>
      <w:pPr>
        <w:spacing w:before="175" w:line="222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5.支持甲类企业上规模。</w:t>
      </w:r>
    </w:p>
    <w:p>
      <w:pPr>
        <w:spacing w:before="137" w:line="219" w:lineRule="auto"/>
        <w:ind w:left="780"/>
        <w:rPr>
          <w:rFonts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spacing w:val="5"/>
          <w:sz w:val="32"/>
          <w:szCs w:val="32"/>
        </w:rPr>
        <w:t>(</w:t>
      </w:r>
      <w:r>
        <w:rPr>
          <w:rFonts w:ascii="宋体" w:hAnsi="宋体" w:eastAsia="宋体" w:cs="宋体"/>
          <w:spacing w:val="-4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二</w:t>
      </w:r>
      <w:r>
        <w:rPr>
          <w:rFonts w:ascii="宋体" w:hAnsi="宋体" w:eastAsia="宋体" w:cs="宋体"/>
          <w:spacing w:val="-57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)B</w:t>
      </w:r>
      <w:r>
        <w:rPr>
          <w:rFonts w:ascii="宋体" w:hAnsi="宋体" w:eastAsia="宋体" w:cs="宋体"/>
          <w:spacing w:val="-15"/>
          <w:sz w:val="32"/>
          <w:szCs w:val="32"/>
        </w:rPr>
        <w:t xml:space="preserve"> </w:t>
      </w:r>
      <w:r>
        <w:rPr>
          <w:rFonts w:ascii="宋体" w:hAnsi="宋体" w:eastAsia="宋体" w:cs="宋体"/>
          <w:spacing w:val="5"/>
          <w:sz w:val="32"/>
          <w:szCs w:val="32"/>
        </w:rPr>
        <w:t>(乙)类企业：</w:t>
      </w:r>
    </w:p>
    <w:p>
      <w:pPr>
        <w:spacing w:before="193" w:line="219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1.在用电、用水、用能、融资等方面给予适当支持；</w:t>
      </w:r>
    </w:p>
    <w:p>
      <w:pPr>
        <w:spacing w:before="171" w:line="318" w:lineRule="auto"/>
        <w:ind w:right="76" w:firstLine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2.加大对企业的服务指导力度，鼓励企业进行土地“二次开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发”,支持开展节能减排、清洁生产等技术改造，在符合我区产</w:t>
      </w:r>
    </w:p>
    <w:p>
      <w:pPr>
        <w:spacing w:before="1" w:line="221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业导向的前提下支持企业开展“零增地”技术改造以增产提质。</w:t>
      </w:r>
    </w:p>
    <w:p>
      <w:pPr>
        <w:spacing w:before="165" w:line="549" w:lineRule="exact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2"/>
          <w:position w:val="16"/>
          <w:sz w:val="32"/>
          <w:szCs w:val="32"/>
        </w:rPr>
        <w:t>3.鼓励企业通过“机器+”“数字化+”“互</w:t>
      </w:r>
      <w:r>
        <w:rPr>
          <w:rFonts w:ascii="仿宋" w:hAnsi="仿宋" w:eastAsia="仿宋" w:cs="仿宋"/>
          <w:spacing w:val="-13"/>
          <w:position w:val="16"/>
          <w:sz w:val="32"/>
          <w:szCs w:val="32"/>
        </w:rPr>
        <w:t>联网+”等赋能方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式，对企业进行智能化改造，提高企业劳动生产效率。</w:t>
      </w:r>
    </w:p>
    <w:p>
      <w:pPr>
        <w:spacing w:before="197" w:line="224" w:lineRule="auto"/>
        <w:ind w:left="78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(</w:t>
      </w:r>
      <w:r>
        <w:rPr>
          <w:rFonts w:ascii="仿宋" w:hAnsi="仿宋" w:eastAsia="仿宋" w:cs="仿宋"/>
          <w:spacing w:val="-45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三</w:t>
      </w:r>
      <w:r>
        <w:rPr>
          <w:rFonts w:ascii="仿宋" w:hAnsi="仿宋" w:eastAsia="仿宋" w:cs="仿宋"/>
          <w:spacing w:val="-6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)C</w:t>
      </w:r>
      <w:r>
        <w:rPr>
          <w:rFonts w:ascii="仿宋" w:hAnsi="仿宋" w:eastAsia="仿宋" w:cs="仿宋"/>
          <w:spacing w:val="-1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1"/>
          <w:sz w:val="32"/>
          <w:szCs w:val="32"/>
        </w:rPr>
        <w:t>(丙)类企业：</w:t>
      </w:r>
    </w:p>
    <w:p>
      <w:pPr>
        <w:spacing w:before="175" w:line="222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1.不予安排新增工业用地；</w:t>
      </w:r>
    </w:p>
    <w:p>
      <w:pPr>
        <w:spacing w:before="161" w:line="550" w:lineRule="exact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position w:val="16"/>
          <w:sz w:val="32"/>
          <w:szCs w:val="32"/>
        </w:rPr>
        <w:t>2.实施有序用电时，作为限电对象；重污染天气红色</w:t>
      </w:r>
      <w:r>
        <w:rPr>
          <w:rFonts w:ascii="仿宋" w:hAnsi="仿宋" w:eastAsia="仿宋" w:cs="仿宋"/>
          <w:spacing w:val="-8"/>
          <w:position w:val="16"/>
          <w:sz w:val="32"/>
          <w:szCs w:val="32"/>
        </w:rPr>
        <w:t>、橙色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sz w:val="32"/>
          <w:szCs w:val="32"/>
        </w:rPr>
        <w:t>预警级别下，作为限产、停产企业；</w:t>
      </w:r>
    </w:p>
    <w:p>
      <w:pPr>
        <w:spacing w:before="171" w:line="552" w:lineRule="exact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position w:val="16"/>
          <w:sz w:val="32"/>
          <w:szCs w:val="32"/>
        </w:rPr>
        <w:t>3.审慎支持C</w:t>
      </w:r>
      <w:r>
        <w:rPr>
          <w:rFonts w:ascii="仿宋" w:hAnsi="仿宋" w:eastAsia="仿宋" w:cs="仿宋"/>
          <w:spacing w:val="28"/>
          <w:position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position w:val="16"/>
          <w:sz w:val="32"/>
          <w:szCs w:val="32"/>
        </w:rPr>
        <w:t>类企业新增用能需求及信贷计</w:t>
      </w:r>
      <w:r>
        <w:rPr>
          <w:rFonts w:ascii="仿宋" w:hAnsi="仿宋" w:eastAsia="仿宋" w:cs="仿宋"/>
          <w:spacing w:val="-4"/>
          <w:position w:val="16"/>
          <w:sz w:val="32"/>
          <w:szCs w:val="32"/>
        </w:rPr>
        <w:t>划；</w:t>
      </w:r>
    </w:p>
    <w:p>
      <w:pPr>
        <w:spacing w:line="222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4.不得参评年度各项表彰奖励；</w:t>
      </w:r>
    </w:p>
    <w:p>
      <w:pPr>
        <w:spacing w:before="164" w:line="593" w:lineRule="exact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position w:val="20"/>
          <w:sz w:val="32"/>
          <w:szCs w:val="32"/>
        </w:rPr>
        <w:t>5.支持企业主动嫁接或租赁闲置用地。</w:t>
      </w:r>
    </w:p>
    <w:p>
      <w:pPr>
        <w:spacing w:before="1" w:line="223" w:lineRule="auto"/>
        <w:ind w:left="78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(</w:t>
      </w:r>
      <w:r>
        <w:rPr>
          <w:rFonts w:ascii="仿宋" w:hAnsi="仿宋" w:eastAsia="仿宋" w:cs="仿宋"/>
          <w:spacing w:val="-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四</w:t>
      </w:r>
      <w:r>
        <w:rPr>
          <w:rFonts w:ascii="仿宋" w:hAnsi="仿宋" w:eastAsia="仿宋" w:cs="仿宋"/>
          <w:spacing w:val="-5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)D</w:t>
      </w:r>
      <w:r>
        <w:rPr>
          <w:rFonts w:ascii="仿宋" w:hAnsi="仿宋" w:eastAsia="仿宋" w:cs="仿宋"/>
          <w:spacing w:val="-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(丁)类企业：</w:t>
      </w:r>
    </w:p>
    <w:p>
      <w:pPr>
        <w:spacing w:before="161" w:line="222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1.不予安排新增工业用地；</w:t>
      </w:r>
    </w:p>
    <w:p>
      <w:pPr>
        <w:spacing w:before="171" w:line="560" w:lineRule="exact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position w:val="17"/>
          <w:sz w:val="32"/>
          <w:szCs w:val="32"/>
        </w:rPr>
        <w:t>2.实施有序用电时，作为首要限电对象；重污染天气红色、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橙色预警级别下，作为首要限产、停产企业；</w:t>
      </w:r>
    </w:p>
    <w:p>
      <w:pPr>
        <w:spacing w:before="180" w:line="222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8"/>
          <w:sz w:val="32"/>
          <w:szCs w:val="32"/>
        </w:rPr>
        <w:t>3.限制企业新增用能需求；</w:t>
      </w:r>
    </w:p>
    <w:p>
      <w:pPr>
        <w:sectPr>
          <w:footerReference r:id="rId12" w:type="default"/>
          <w:pgSz w:w="11900" w:h="16840"/>
          <w:pgMar w:top="1431" w:right="1480" w:bottom="1664" w:left="1549" w:header="0" w:footer="1347" w:gutter="0"/>
          <w:cols w:space="720" w:num="1"/>
        </w:sectPr>
      </w:pPr>
    </w:p>
    <w:p>
      <w:pPr>
        <w:spacing w:line="351" w:lineRule="auto"/>
        <w:rPr>
          <w:rFonts w:ascii="Arial"/>
          <w:sz w:val="21"/>
        </w:rPr>
      </w:pPr>
    </w:p>
    <w:p>
      <w:pPr>
        <w:spacing w:line="352" w:lineRule="auto"/>
        <w:rPr>
          <w:rFonts w:ascii="Arial"/>
          <w:sz w:val="21"/>
        </w:rPr>
      </w:pPr>
    </w:p>
    <w:p>
      <w:pPr>
        <w:spacing w:before="101" w:line="550" w:lineRule="exact"/>
        <w:ind w:left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position w:val="17"/>
          <w:sz w:val="31"/>
          <w:szCs w:val="31"/>
        </w:rPr>
        <w:t>4.不予享受各项政府优惠奖励政策，不得参评年度各项表彰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5"/>
          <w:sz w:val="31"/>
          <w:szCs w:val="31"/>
        </w:rPr>
        <w:t>奖励；</w:t>
      </w:r>
    </w:p>
    <w:p>
      <w:pPr>
        <w:spacing w:before="171" w:line="554" w:lineRule="exact"/>
        <w:ind w:left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18"/>
          <w:sz w:val="31"/>
          <w:szCs w:val="31"/>
        </w:rPr>
        <w:t>5.逐步实施信贷退出，在确保已发贷款安全的前提下</w:t>
      </w:r>
      <w:r>
        <w:rPr>
          <w:rFonts w:ascii="仿宋" w:hAnsi="仿宋" w:eastAsia="仿宋" w:cs="仿宋"/>
          <w:spacing w:val="2"/>
          <w:position w:val="18"/>
          <w:sz w:val="31"/>
          <w:szCs w:val="31"/>
        </w:rPr>
        <w:t>，逐步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退出对D</w:t>
      </w:r>
      <w:r>
        <w:rPr>
          <w:rFonts w:ascii="仿宋" w:hAnsi="仿宋" w:eastAsia="仿宋" w:cs="仿宋"/>
          <w:spacing w:val="2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类企业的信贷支持；</w:t>
      </w:r>
    </w:p>
    <w:p>
      <w:pPr>
        <w:spacing w:before="177" w:line="328" w:lineRule="auto"/>
        <w:ind w:right="134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6.加强环保监管、能源监察、安全生产、产品质量、税收评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估等专项执法或联合执法，促进企业实施“腾笼换鸟</w:t>
      </w:r>
      <w:r>
        <w:rPr>
          <w:rFonts w:ascii="仿宋" w:hAnsi="仿宋" w:eastAsia="仿宋" w:cs="仿宋"/>
          <w:spacing w:val="2"/>
          <w:sz w:val="31"/>
          <w:szCs w:val="31"/>
        </w:rPr>
        <w:t>”或主动嫁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接盘活、关停退出，招引高产出项目和企业。</w:t>
      </w:r>
    </w:p>
    <w:p>
      <w:pPr>
        <w:spacing w:before="216" w:line="223" w:lineRule="auto"/>
        <w:ind w:left="63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0"/>
          <w:sz w:val="31"/>
          <w:szCs w:val="31"/>
        </w:rPr>
        <w:t>五、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0"/>
          <w:sz w:val="31"/>
          <w:szCs w:val="31"/>
        </w:rPr>
        <w:t>保障措施</w:t>
      </w:r>
    </w:p>
    <w:p>
      <w:pPr>
        <w:spacing w:before="196" w:line="327" w:lineRule="auto"/>
        <w:ind w:right="70" w:firstLine="76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(一)强化组织领导。成立以区政府区长为组长，分管区</w:t>
      </w:r>
      <w:r>
        <w:rPr>
          <w:rFonts w:ascii="仿宋" w:hAnsi="仿宋" w:eastAsia="仿宋" w:cs="仿宋"/>
          <w:spacing w:val="9"/>
          <w:sz w:val="31"/>
          <w:szCs w:val="31"/>
        </w:rPr>
        <w:t>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为副组长，区直有关部门和各镇人民政府(街道办事处</w:t>
      </w:r>
      <w:r>
        <w:rPr>
          <w:rFonts w:ascii="仿宋" w:hAnsi="仿宋" w:eastAsia="仿宋" w:cs="仿宋"/>
          <w:spacing w:val="12"/>
          <w:sz w:val="31"/>
          <w:szCs w:val="31"/>
        </w:rPr>
        <w:t>)、园区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管委会主要负责人为成员的贵池区亩均效益评价工作领导小组。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领导小组办公室设在区经济和信息化局(以下简称区亩均</w:t>
      </w:r>
      <w:r>
        <w:rPr>
          <w:rFonts w:ascii="仿宋" w:hAnsi="仿宋" w:eastAsia="仿宋" w:cs="仿宋"/>
          <w:spacing w:val="14"/>
          <w:sz w:val="31"/>
          <w:szCs w:val="31"/>
        </w:rPr>
        <w:t>办),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负责全区工业企业绩效综合评价日常工作。</w:t>
      </w:r>
    </w:p>
    <w:p>
      <w:pPr>
        <w:spacing w:before="178" w:line="328" w:lineRule="auto"/>
        <w:ind w:firstLine="76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(二)强化工作责任。各有关部门要按照“谁</w:t>
      </w:r>
      <w:r>
        <w:rPr>
          <w:rFonts w:ascii="仿宋" w:hAnsi="仿宋" w:eastAsia="仿宋" w:cs="仿宋"/>
          <w:spacing w:val="2"/>
          <w:sz w:val="31"/>
          <w:szCs w:val="31"/>
        </w:rPr>
        <w:t>主管、谁统计、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谁负责”的原则，加强数据清查、统计、报送等工作，确保责任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落实到位。要根据各自职责，研究制定深化亩均效益评价工作的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区级差别化配套政策措施，加强协同配合，形成工作合力。</w:t>
      </w:r>
    </w:p>
    <w:p>
      <w:pPr>
        <w:spacing w:before="178" w:line="328" w:lineRule="auto"/>
        <w:ind w:right="115" w:firstLine="76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(三)强化宣传引导。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充分利用各类媒体做好宣传引导，</w:t>
      </w:r>
      <w:r>
        <w:rPr>
          <w:rFonts w:ascii="仿宋" w:hAnsi="仿宋" w:eastAsia="仿宋" w:cs="仿宋"/>
          <w:spacing w:val="2"/>
          <w:sz w:val="31"/>
          <w:szCs w:val="31"/>
        </w:rPr>
        <w:t>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确发布评价工作信息和政策法规，加强正面宣传，引导企业转变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发展理念，主动参与、积极配合改革工作，及时总结推广</w:t>
      </w:r>
      <w:r>
        <w:rPr>
          <w:rFonts w:ascii="仿宋" w:hAnsi="仿宋" w:eastAsia="仿宋" w:cs="仿宋"/>
          <w:spacing w:val="2"/>
          <w:sz w:val="31"/>
          <w:szCs w:val="31"/>
        </w:rPr>
        <w:t>先进经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验和典型做法，为改革工作营造良好的舆论氛</w:t>
      </w:r>
      <w:r>
        <w:rPr>
          <w:rFonts w:ascii="仿宋" w:hAnsi="仿宋" w:eastAsia="仿宋" w:cs="仿宋"/>
          <w:spacing w:val="5"/>
          <w:sz w:val="31"/>
          <w:szCs w:val="31"/>
        </w:rPr>
        <w:t>围和社会环境。</w:t>
      </w:r>
    </w:p>
    <w:p>
      <w:pPr>
        <w:spacing w:before="183" w:line="547" w:lineRule="exact"/>
        <w:ind w:left="76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position w:val="17"/>
          <w:sz w:val="31"/>
          <w:szCs w:val="31"/>
        </w:rPr>
        <w:t>(四)强化调度考核。区亩均办会同有关部门定期对全区亩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均效益评价工作开展情况进行调度、通报。同时，将</w:t>
      </w:r>
      <w:r>
        <w:rPr>
          <w:rFonts w:ascii="仿宋" w:hAnsi="仿宋" w:eastAsia="仿宋" w:cs="仿宋"/>
          <w:spacing w:val="2"/>
          <w:sz w:val="31"/>
          <w:szCs w:val="31"/>
        </w:rPr>
        <w:t>全区亩均效</w:t>
      </w:r>
    </w:p>
    <w:p>
      <w:pPr>
        <w:sectPr>
          <w:footerReference r:id="rId13" w:type="default"/>
          <w:pgSz w:w="11900" w:h="16840"/>
          <w:pgMar w:top="1431" w:right="1435" w:bottom="1657" w:left="1569" w:header="0" w:footer="1349" w:gutter="0"/>
          <w:cols w:space="720" w:num="1"/>
        </w:sectPr>
      </w:pPr>
    </w:p>
    <w:p>
      <w:pPr>
        <w:spacing w:line="355" w:lineRule="auto"/>
        <w:rPr>
          <w:rFonts w:ascii="Arial"/>
          <w:sz w:val="21"/>
        </w:rPr>
      </w:pPr>
    </w:p>
    <w:p>
      <w:pPr>
        <w:spacing w:line="355" w:lineRule="auto"/>
        <w:rPr>
          <w:rFonts w:ascii="Arial"/>
          <w:sz w:val="21"/>
        </w:rPr>
      </w:pPr>
    </w:p>
    <w:p>
      <w:pPr>
        <w:spacing w:before="101" w:line="220" w:lineRule="auto"/>
        <w:ind w:left="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益评价工作纳入区政府目标管理绩效考核内容，实行表彰奖励。</w:t>
      </w:r>
    </w:p>
    <w:p>
      <w:pPr>
        <w:spacing w:line="319" w:lineRule="auto"/>
        <w:rPr>
          <w:rFonts w:ascii="Arial"/>
          <w:sz w:val="21"/>
        </w:rPr>
      </w:pPr>
    </w:p>
    <w:p>
      <w:pPr>
        <w:spacing w:line="320" w:lineRule="auto"/>
        <w:rPr>
          <w:rFonts w:ascii="Arial"/>
          <w:sz w:val="21"/>
        </w:rPr>
      </w:pPr>
    </w:p>
    <w:p>
      <w:pPr>
        <w:spacing w:before="101" w:line="559" w:lineRule="exact"/>
        <w:ind w:left="67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18"/>
          <w:sz w:val="31"/>
          <w:szCs w:val="31"/>
        </w:rPr>
        <w:t>附件：1.重点任务分解表</w:t>
      </w:r>
    </w:p>
    <w:p>
      <w:pPr>
        <w:spacing w:line="222" w:lineRule="auto"/>
        <w:ind w:left="159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2.指标解释</w:t>
      </w:r>
    </w:p>
    <w:p>
      <w:pPr>
        <w:sectPr>
          <w:footerReference r:id="rId14" w:type="default"/>
          <w:pgSz w:w="11900" w:h="16840"/>
          <w:pgMar w:top="1431" w:right="1485" w:bottom="1658" w:left="1569" w:header="0" w:footer="1349" w:gutter="0"/>
          <w:cols w:space="720" w:num="1"/>
        </w:sectPr>
      </w:pPr>
    </w:p>
    <w:p>
      <w:pPr>
        <w:spacing w:line="338" w:lineRule="auto"/>
        <w:rPr>
          <w:rFonts w:ascii="Arial"/>
          <w:sz w:val="21"/>
        </w:rPr>
      </w:pPr>
    </w:p>
    <w:p>
      <w:pPr>
        <w:spacing w:line="339" w:lineRule="auto"/>
        <w:rPr>
          <w:rFonts w:ascii="Arial"/>
          <w:sz w:val="21"/>
        </w:rPr>
      </w:pPr>
    </w:p>
    <w:p>
      <w:pPr>
        <w:spacing w:before="111" w:line="224" w:lineRule="auto"/>
        <w:ind w:left="139"/>
        <w:rPr>
          <w:rFonts w:ascii="黑体" w:hAnsi="黑体" w:eastAsia="黑体" w:cs="黑体"/>
          <w:sz w:val="34"/>
          <w:szCs w:val="34"/>
        </w:rPr>
      </w:pPr>
      <w:r>
        <w:rPr>
          <w:rFonts w:ascii="黑体" w:hAnsi="黑体" w:eastAsia="黑体" w:cs="黑体"/>
          <w:b/>
          <w:bCs/>
          <w:spacing w:val="2"/>
          <w:sz w:val="34"/>
          <w:szCs w:val="34"/>
        </w:rPr>
        <w:t>附件1</w:t>
      </w:r>
    </w:p>
    <w:p>
      <w:pPr>
        <w:spacing w:line="246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40" w:line="199" w:lineRule="auto"/>
        <w:ind w:left="3021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-4"/>
          <w:sz w:val="43"/>
          <w:szCs w:val="43"/>
        </w:rPr>
        <w:t>重点任务分解表</w:t>
      </w:r>
    </w:p>
    <w:tbl>
      <w:tblPr>
        <w:tblStyle w:val="4"/>
        <w:tblW w:w="91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5165"/>
        <w:gridCol w:w="1698"/>
        <w:gridCol w:w="15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4" w:type="dxa"/>
            <w:vAlign w:val="top"/>
          </w:tcPr>
          <w:p>
            <w:pPr>
              <w:spacing w:before="232" w:line="221" w:lineRule="auto"/>
              <w:ind w:left="11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序号</w:t>
            </w:r>
          </w:p>
        </w:tc>
        <w:tc>
          <w:tcPr>
            <w:tcW w:w="5165" w:type="dxa"/>
            <w:vAlign w:val="top"/>
          </w:tcPr>
          <w:p>
            <w:pPr>
              <w:spacing w:before="231" w:line="219" w:lineRule="auto"/>
              <w:ind w:left="212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9"/>
                <w:sz w:val="23"/>
                <w:szCs w:val="23"/>
              </w:rPr>
              <w:t>任务分工</w:t>
            </w:r>
          </w:p>
        </w:tc>
        <w:tc>
          <w:tcPr>
            <w:tcW w:w="1698" w:type="dxa"/>
            <w:vAlign w:val="top"/>
          </w:tcPr>
          <w:p>
            <w:pPr>
              <w:spacing w:before="231" w:line="219" w:lineRule="auto"/>
              <w:ind w:left="39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3"/>
                <w:szCs w:val="23"/>
              </w:rPr>
              <w:t>责任单位</w:t>
            </w:r>
          </w:p>
        </w:tc>
        <w:tc>
          <w:tcPr>
            <w:tcW w:w="1563" w:type="dxa"/>
            <w:vAlign w:val="top"/>
          </w:tcPr>
          <w:p>
            <w:pPr>
              <w:spacing w:before="231" w:line="219" w:lineRule="auto"/>
              <w:ind w:left="30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3"/>
                <w:szCs w:val="23"/>
              </w:rPr>
              <w:t>完成时限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704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spacing w:before="75" w:line="184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5165" w:type="dxa"/>
            <w:vAlign w:val="top"/>
          </w:tcPr>
          <w:p>
            <w:pPr>
              <w:spacing w:before="228" w:line="257" w:lineRule="auto"/>
              <w:ind w:left="141" w:right="12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负责区亩均办日常工作，统筹协调各地各部门开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sz w:val="23"/>
                <w:szCs w:val="23"/>
              </w:rPr>
              <w:t>展亩均效益评价工作。</w:t>
            </w:r>
          </w:p>
        </w:tc>
        <w:tc>
          <w:tcPr>
            <w:tcW w:w="1698" w:type="dxa"/>
            <w:vAlign w:val="top"/>
          </w:tcPr>
          <w:p>
            <w:pPr>
              <w:spacing w:before="228" w:line="252" w:lineRule="auto"/>
              <w:ind w:left="135" w:right="15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区经济和信息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23"/>
                <w:szCs w:val="23"/>
              </w:rPr>
              <w:t>化局</w:t>
            </w:r>
          </w:p>
        </w:tc>
        <w:tc>
          <w:tcPr>
            <w:tcW w:w="1563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before="68" w:line="238" w:lineRule="auto"/>
              <w:ind w:left="14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3"/>
                <w:sz w:val="21"/>
                <w:szCs w:val="21"/>
              </w:rPr>
              <w:t>常态化推进。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8" w:hRule="atLeast"/>
        </w:trPr>
        <w:tc>
          <w:tcPr>
            <w:tcW w:w="704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4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5165" w:type="dxa"/>
            <w:vAlign w:val="top"/>
          </w:tcPr>
          <w:p>
            <w:pPr>
              <w:spacing w:before="131" w:line="274" w:lineRule="auto"/>
              <w:ind w:left="141" w:right="82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负责提供规模以上工业企业名录，对企业申报的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年度增加值、年平均职工人数、研发经费投入强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sz w:val="23"/>
                <w:szCs w:val="23"/>
              </w:rPr>
              <w:t>度、综合能源消费量(分品种能源消费量),负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责做好审核、汇总工作，对相关企业申诉进行处</w:t>
            </w:r>
            <w:r>
              <w:rPr>
                <w:rFonts w:ascii="宋体" w:hAnsi="宋体" w:eastAsia="宋体" w:cs="宋体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理并做好解释。</w:t>
            </w:r>
          </w:p>
        </w:tc>
        <w:tc>
          <w:tcPr>
            <w:tcW w:w="1698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5" w:line="221" w:lineRule="auto"/>
              <w:ind w:left="13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区统计局</w:t>
            </w:r>
          </w:p>
        </w:tc>
        <w:tc>
          <w:tcPr>
            <w:tcW w:w="1563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5" w:line="265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704" w:type="dxa"/>
            <w:vAlign w:val="top"/>
          </w:tcPr>
          <w:p>
            <w:pPr>
              <w:spacing w:line="434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5165" w:type="dxa"/>
            <w:vAlign w:val="top"/>
          </w:tcPr>
          <w:p>
            <w:pPr>
              <w:spacing w:before="282" w:line="258" w:lineRule="auto"/>
              <w:ind w:left="141" w:right="6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负责企业申报的年度技术改造投资的审核工作，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对相关企业申诉进行处理并做好解释。</w:t>
            </w:r>
          </w:p>
        </w:tc>
        <w:tc>
          <w:tcPr>
            <w:tcW w:w="1698" w:type="dxa"/>
            <w:vAlign w:val="top"/>
          </w:tcPr>
          <w:p>
            <w:pPr>
              <w:spacing w:before="111" w:line="267" w:lineRule="auto"/>
              <w:ind w:left="135" w:right="144" w:firstLine="9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区经济和信息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化局、区统计 局</w:t>
            </w:r>
          </w:p>
        </w:tc>
        <w:tc>
          <w:tcPr>
            <w:tcW w:w="1563" w:type="dxa"/>
            <w:vAlign w:val="top"/>
          </w:tcPr>
          <w:p>
            <w:pPr>
              <w:spacing w:before="282" w:line="257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704" w:type="dxa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5165" w:type="dxa"/>
            <w:vAlign w:val="top"/>
          </w:tcPr>
          <w:p>
            <w:pPr>
              <w:spacing w:before="92" w:line="272" w:lineRule="auto"/>
              <w:ind w:left="14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7"/>
                <w:sz w:val="22"/>
                <w:szCs w:val="22"/>
              </w:rPr>
              <w:t>负责提供规模以上工业企业税收、营业收入、诚信</w:t>
            </w:r>
            <w:r>
              <w:rPr>
                <w:rFonts w:ascii="宋体" w:hAnsi="宋体" w:eastAsia="宋体" w:cs="宋体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>纳税等级等数据，对相关企业申诉进行处理并做好</w:t>
            </w:r>
            <w:r>
              <w:rPr>
                <w:rFonts w:ascii="宋体" w:hAnsi="宋体" w:eastAsia="宋体" w:cs="宋体"/>
                <w:spacing w:val="17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解</w:t>
            </w:r>
            <w:r>
              <w:rPr>
                <w:rFonts w:ascii="宋体" w:hAnsi="宋体" w:eastAsia="宋体" w:cs="宋体"/>
                <w:spacing w:val="-2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释</w:t>
            </w:r>
            <w:r>
              <w:rPr>
                <w:rFonts w:ascii="宋体" w:hAnsi="宋体" w:eastAsia="宋体" w:cs="宋体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。</w:t>
            </w:r>
          </w:p>
        </w:tc>
        <w:tc>
          <w:tcPr>
            <w:tcW w:w="1698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</w:p>
          <w:p>
            <w:pPr>
              <w:spacing w:before="75" w:line="219" w:lineRule="auto"/>
              <w:ind w:left="13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区税务局</w:t>
            </w:r>
          </w:p>
        </w:tc>
        <w:tc>
          <w:tcPr>
            <w:tcW w:w="1563" w:type="dxa"/>
            <w:vAlign w:val="top"/>
          </w:tcPr>
          <w:p>
            <w:pPr>
              <w:spacing w:before="253" w:line="257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3"/>
                <w:szCs w:val="23"/>
              </w:rPr>
              <w:t>推进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704" w:type="dxa"/>
            <w:vAlign w:val="top"/>
          </w:tcPr>
          <w:p>
            <w:pPr>
              <w:spacing w:line="377" w:lineRule="auto"/>
              <w:rPr>
                <w:rFonts w:ascii="Arial"/>
                <w:sz w:val="21"/>
              </w:rPr>
            </w:pPr>
          </w:p>
          <w:p>
            <w:pPr>
              <w:spacing w:before="75" w:line="182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5165" w:type="dxa"/>
            <w:vAlign w:val="top"/>
          </w:tcPr>
          <w:p>
            <w:pPr>
              <w:spacing w:before="253" w:line="391" w:lineRule="exact"/>
              <w:ind w:left="14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5"/>
                <w:position w:val="12"/>
                <w:sz w:val="23"/>
                <w:szCs w:val="23"/>
              </w:rPr>
              <w:t>负责提供企业实际占用(含租赁)土地面积，对</w:t>
            </w:r>
          </w:p>
          <w:p>
            <w:pPr>
              <w:spacing w:line="219" w:lineRule="auto"/>
              <w:ind w:left="14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>相关企业申诉进行处理并做好解释。</w:t>
            </w:r>
          </w:p>
        </w:tc>
        <w:tc>
          <w:tcPr>
            <w:tcW w:w="1698" w:type="dxa"/>
            <w:vAlign w:val="top"/>
          </w:tcPr>
          <w:p>
            <w:pPr>
              <w:spacing w:before="245" w:line="259" w:lineRule="auto"/>
              <w:ind w:left="135" w:right="143" w:firstLine="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区自然资源和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规划局</w:t>
            </w:r>
          </w:p>
        </w:tc>
        <w:tc>
          <w:tcPr>
            <w:tcW w:w="1563" w:type="dxa"/>
            <w:vAlign w:val="top"/>
          </w:tcPr>
          <w:p>
            <w:pPr>
              <w:spacing w:before="244" w:line="261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704" w:type="dxa"/>
            <w:vAlign w:val="top"/>
          </w:tcPr>
          <w:p>
            <w:pPr>
              <w:spacing w:line="427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5165" w:type="dxa"/>
            <w:vAlign w:val="top"/>
          </w:tcPr>
          <w:p>
            <w:pPr>
              <w:spacing w:before="123" w:line="261" w:lineRule="auto"/>
              <w:ind w:left="141" w:right="283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提供评价年度发生一般及以上安全生产事故或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因违反环境保护法律法规受到行政处罚的企业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名</w:t>
            </w:r>
            <w:r>
              <w:rPr>
                <w:rFonts w:ascii="宋体" w:hAnsi="宋体" w:eastAsia="宋体" w:cs="宋体"/>
                <w:spacing w:val="-2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单</w:t>
            </w:r>
            <w:r>
              <w:rPr>
                <w:rFonts w:ascii="宋体" w:hAnsi="宋体" w:eastAsia="宋体" w:cs="宋体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。</w:t>
            </w:r>
          </w:p>
        </w:tc>
        <w:tc>
          <w:tcPr>
            <w:tcW w:w="1698" w:type="dxa"/>
            <w:vAlign w:val="top"/>
          </w:tcPr>
          <w:p>
            <w:pPr>
              <w:spacing w:before="296" w:line="243" w:lineRule="auto"/>
              <w:ind w:left="135" w:right="152" w:firstLine="9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区生态环境分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z w:val="23"/>
                <w:szCs w:val="23"/>
              </w:rPr>
              <w:t>局</w:t>
            </w:r>
          </w:p>
        </w:tc>
        <w:tc>
          <w:tcPr>
            <w:tcW w:w="1563" w:type="dxa"/>
            <w:vAlign w:val="top"/>
          </w:tcPr>
          <w:p>
            <w:pPr>
              <w:spacing w:before="295" w:line="253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704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before="75" w:line="182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7</w:t>
            </w:r>
          </w:p>
        </w:tc>
        <w:tc>
          <w:tcPr>
            <w:tcW w:w="5165" w:type="dxa"/>
            <w:vAlign w:val="top"/>
          </w:tcPr>
          <w:p>
            <w:pPr>
              <w:spacing w:before="153" w:line="260" w:lineRule="auto"/>
              <w:ind w:left="141" w:right="236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提供评价年度发生较大及以上安全生产事故的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23"/>
                <w:sz w:val="23"/>
                <w:szCs w:val="23"/>
              </w:rPr>
              <w:t>企业名单。</w:t>
            </w:r>
          </w:p>
        </w:tc>
        <w:tc>
          <w:tcPr>
            <w:tcW w:w="1698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5" w:line="221" w:lineRule="auto"/>
              <w:ind w:left="13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区应急局</w:t>
            </w:r>
          </w:p>
        </w:tc>
        <w:tc>
          <w:tcPr>
            <w:tcW w:w="1563" w:type="dxa"/>
            <w:vAlign w:val="top"/>
          </w:tcPr>
          <w:p>
            <w:pPr>
              <w:spacing w:before="156" w:line="249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70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5165" w:type="dxa"/>
            <w:vAlign w:val="top"/>
          </w:tcPr>
          <w:p>
            <w:pPr>
              <w:spacing w:before="206" w:line="266" w:lineRule="auto"/>
              <w:ind w:left="141" w:right="69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5"/>
                <w:sz w:val="23"/>
                <w:szCs w:val="23"/>
              </w:rPr>
              <w:t>对照区级标准成立专项工作组，健全工作机制；</w:t>
            </w: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3"/>
                <w:szCs w:val="23"/>
              </w:rPr>
              <w:t>负责组织辖区内企业的亩均效益评价工作有关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  </w:t>
            </w:r>
            <w:r>
              <w:rPr>
                <w:rFonts w:ascii="宋体" w:hAnsi="宋体" w:eastAsia="宋体" w:cs="宋体"/>
                <w:spacing w:val="14"/>
                <w:sz w:val="23"/>
                <w:szCs w:val="23"/>
              </w:rPr>
              <w:t>数据的申报工作。</w:t>
            </w:r>
          </w:p>
        </w:tc>
        <w:tc>
          <w:tcPr>
            <w:tcW w:w="1698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before="75" w:line="262" w:lineRule="auto"/>
              <w:ind w:left="135" w:right="16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各镇街道、池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4"/>
                <w:sz w:val="23"/>
                <w:szCs w:val="23"/>
              </w:rPr>
              <w:t>州高新区</w:t>
            </w:r>
          </w:p>
        </w:tc>
        <w:tc>
          <w:tcPr>
            <w:tcW w:w="1563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before="75" w:line="265" w:lineRule="auto"/>
              <w:ind w:left="128" w:right="264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>按时间要求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推</w:t>
            </w:r>
            <w:r>
              <w:rPr>
                <w:rFonts w:ascii="宋体" w:hAnsi="宋体" w:eastAsia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进</w:t>
            </w:r>
            <w:r>
              <w:rPr>
                <w:rFonts w:ascii="宋体" w:hAnsi="宋体" w:eastAsia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3"/>
                <w:szCs w:val="23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</w:trPr>
        <w:tc>
          <w:tcPr>
            <w:tcW w:w="70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5" w:line="183" w:lineRule="auto"/>
              <w:ind w:left="285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z w:val="23"/>
                <w:szCs w:val="23"/>
              </w:rPr>
              <w:t>9</w:t>
            </w:r>
          </w:p>
        </w:tc>
        <w:tc>
          <w:tcPr>
            <w:tcW w:w="5165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41" w:right="24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8"/>
                <w:sz w:val="23"/>
                <w:szCs w:val="23"/>
              </w:rPr>
              <w:t>研究制定深化亩均效益评价工作的区级差别化</w:t>
            </w:r>
            <w:r>
              <w:rPr>
                <w:rFonts w:ascii="宋体" w:hAnsi="宋体" w:eastAsia="宋体" w:cs="宋体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sz w:val="23"/>
                <w:szCs w:val="23"/>
              </w:rPr>
              <w:t>配套政策措施。</w:t>
            </w:r>
          </w:p>
        </w:tc>
        <w:tc>
          <w:tcPr>
            <w:tcW w:w="1698" w:type="dxa"/>
            <w:vAlign w:val="top"/>
          </w:tcPr>
          <w:p>
            <w:pPr>
              <w:spacing w:before="199" w:line="274" w:lineRule="auto"/>
              <w:ind w:left="135" w:right="153" w:firstLine="9"/>
              <w:jc w:val="both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区亩均效益评</w:t>
            </w:r>
            <w:r>
              <w:rPr>
                <w:rFonts w:ascii="宋体" w:hAnsi="宋体" w:eastAsia="宋体" w:cs="宋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>价工作领导小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组成员单位</w:t>
            </w:r>
          </w:p>
        </w:tc>
        <w:tc>
          <w:tcPr>
            <w:tcW w:w="1563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before="75" w:line="258" w:lineRule="auto"/>
              <w:ind w:left="128" w:right="263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1"/>
                <w:sz w:val="23"/>
                <w:szCs w:val="23"/>
              </w:rPr>
              <w:t>2022年底前</w:t>
            </w:r>
            <w:r>
              <w:rPr>
                <w:rFonts w:ascii="宋体" w:hAnsi="宋体" w:eastAsia="宋体" w:cs="宋体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完</w:t>
            </w:r>
            <w:r>
              <w:rPr>
                <w:rFonts w:ascii="宋体" w:hAnsi="宋体" w:eastAsia="宋体" w:cs="宋体"/>
                <w:spacing w:val="-24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成</w:t>
            </w:r>
            <w:r>
              <w:rPr>
                <w:rFonts w:ascii="宋体" w:hAnsi="宋体" w:eastAsia="宋体" w:cs="宋体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。</w:t>
            </w:r>
          </w:p>
        </w:tc>
      </w:tr>
    </w:tbl>
    <w:p>
      <w:pPr>
        <w:spacing w:line="103" w:lineRule="exact"/>
        <w:rPr>
          <w:rFonts w:ascii="Arial"/>
          <w:sz w:val="8"/>
        </w:rPr>
      </w:pPr>
    </w:p>
    <w:p>
      <w:pPr>
        <w:sectPr>
          <w:footerReference r:id="rId15" w:type="default"/>
          <w:pgSz w:w="11900" w:h="16840"/>
          <w:pgMar w:top="1431" w:right="1314" w:bottom="1651" w:left="1445" w:header="0" w:footer="1352" w:gutter="0"/>
          <w:cols w:space="720" w:num="1"/>
        </w:sectPr>
      </w:pPr>
    </w:p>
    <w:p>
      <w:pPr>
        <w:spacing w:line="352" w:lineRule="auto"/>
        <w:rPr>
          <w:rFonts w:ascii="Arial"/>
          <w:sz w:val="21"/>
        </w:rPr>
      </w:pPr>
    </w:p>
    <w:p>
      <w:pPr>
        <w:spacing w:line="353" w:lineRule="auto"/>
        <w:rPr>
          <w:rFonts w:ascii="Arial"/>
          <w:sz w:val="21"/>
        </w:rPr>
      </w:pPr>
    </w:p>
    <w:p>
      <w:pPr>
        <w:spacing w:before="101" w:line="224" w:lineRule="auto"/>
        <w:ind w:left="2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8"/>
          <w:sz w:val="31"/>
          <w:szCs w:val="31"/>
        </w:rPr>
        <w:t>附件2</w:t>
      </w:r>
    </w:p>
    <w:p>
      <w:pPr>
        <w:spacing w:line="464" w:lineRule="auto"/>
        <w:rPr>
          <w:rFonts w:ascii="Arial"/>
          <w:sz w:val="21"/>
        </w:rPr>
      </w:pPr>
    </w:p>
    <w:p>
      <w:pPr>
        <w:spacing w:before="146" w:line="219" w:lineRule="auto"/>
        <w:ind w:left="3546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0"/>
          <w:sz w:val="45"/>
          <w:szCs w:val="45"/>
        </w:rPr>
        <w:t>指标解释</w:t>
      </w:r>
    </w:p>
    <w:p>
      <w:pPr>
        <w:spacing w:line="299" w:lineRule="auto"/>
        <w:rPr>
          <w:rFonts w:ascii="Arial"/>
          <w:sz w:val="21"/>
        </w:rPr>
      </w:pPr>
    </w:p>
    <w:p>
      <w:pPr>
        <w:spacing w:line="299" w:lineRule="auto"/>
        <w:rPr>
          <w:rFonts w:ascii="Arial"/>
          <w:sz w:val="21"/>
        </w:rPr>
      </w:pPr>
    </w:p>
    <w:p>
      <w:pPr>
        <w:spacing w:before="101" w:line="225" w:lineRule="auto"/>
        <w:ind w:left="64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0"/>
          <w:sz w:val="31"/>
          <w:szCs w:val="31"/>
        </w:rPr>
        <w:t>1.亩均营业收入(单位：万元/亩)</w:t>
      </w:r>
    </w:p>
    <w:p>
      <w:pPr>
        <w:spacing w:before="186" w:line="228" w:lineRule="auto"/>
        <w:ind w:left="64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"/>
          <w:sz w:val="31"/>
          <w:szCs w:val="31"/>
        </w:rPr>
        <w:t>亩均营业收入=总营业收入/用地面积。</w:t>
      </w:r>
    </w:p>
    <w:p>
      <w:pPr>
        <w:spacing w:before="171" w:line="560" w:lineRule="exact"/>
        <w:ind w:left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18"/>
          <w:sz w:val="31"/>
          <w:szCs w:val="31"/>
        </w:rPr>
        <w:t>总营业收入：包括增值税计税销售额、简易征收销售</w:t>
      </w:r>
      <w:r>
        <w:rPr>
          <w:rFonts w:ascii="仿宋" w:hAnsi="仿宋" w:eastAsia="仿宋" w:cs="仿宋"/>
          <w:spacing w:val="2"/>
          <w:position w:val="18"/>
          <w:sz w:val="31"/>
          <w:szCs w:val="31"/>
        </w:rPr>
        <w:t>额、出</w:t>
      </w:r>
    </w:p>
    <w:p>
      <w:pPr>
        <w:spacing w:before="2" w:line="220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口销售额、免税销售额。</w:t>
      </w:r>
    </w:p>
    <w:p>
      <w:pPr>
        <w:spacing w:before="188" w:line="327" w:lineRule="auto"/>
        <w:ind w:left="19" w:right="3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用地面积(下同):指企业实际占用的土地面积，包括自有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土地面积和租用土地面积。①自有土地面积指企业经自然资源和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规划部门登记的土地面积；取得土地使用权超过3年的全部计算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土地面积，不超过3年的，项目建设期的土地不计算面积，无项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目建设的计算土地面积。②租用土地面积指企业租赁取得的实际 用地面积，若企业租赁标准化厂房或无法准确计算用地面积，则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根据企业租赁的建筑面积与容积率之比计算用地面积。③对于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“一企多地”,将企业所有实际用地进行合并后评价。④对于“</w:t>
      </w:r>
      <w:r>
        <w:rPr>
          <w:rFonts w:ascii="仿宋" w:hAnsi="仿宋" w:eastAsia="仿宋" w:cs="仿宋"/>
          <w:spacing w:val="-2"/>
          <w:sz w:val="31"/>
          <w:szCs w:val="31"/>
        </w:rPr>
        <w:t>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地多企”,对参评独立法人企业单独进行评价，用地面积分割计</w:t>
      </w:r>
    </w:p>
    <w:p>
      <w:pPr>
        <w:spacing w:before="1" w:line="221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6"/>
          <w:sz w:val="31"/>
          <w:szCs w:val="31"/>
        </w:rPr>
        <w:t>算。</w:t>
      </w:r>
    </w:p>
    <w:p>
      <w:pPr>
        <w:spacing w:before="238" w:line="225" w:lineRule="auto"/>
        <w:ind w:left="64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2"/>
          <w:sz w:val="31"/>
          <w:szCs w:val="31"/>
        </w:rPr>
        <w:t>2.亩均税收(单位：万元/亩)</w:t>
      </w:r>
    </w:p>
    <w:p>
      <w:pPr>
        <w:spacing w:before="163" w:line="228" w:lineRule="auto"/>
        <w:ind w:left="65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-3"/>
          <w:sz w:val="31"/>
          <w:szCs w:val="31"/>
        </w:rPr>
        <w:t>亩均税收=总税收/用地面积。</w:t>
      </w:r>
    </w:p>
    <w:p>
      <w:pPr>
        <w:spacing w:before="177" w:line="333" w:lineRule="auto"/>
        <w:ind w:left="19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总税收：包括企业申报入库税款、查补税款、代收(代扣)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代缴税款，其中，企业享受的税收减免、出口退免税、留抵退税</w:t>
      </w:r>
    </w:p>
    <w:p>
      <w:pPr>
        <w:spacing w:before="2" w:line="220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及办理的部分缓缴税款视同企业实缴税额。根据上级政策变化等</w:t>
      </w:r>
    </w:p>
    <w:p>
      <w:pPr>
        <w:sectPr>
          <w:footerReference r:id="rId16" w:type="default"/>
          <w:pgSz w:w="11900" w:h="16840"/>
          <w:pgMar w:top="1431" w:right="1520" w:bottom="1653" w:left="1549" w:header="0" w:footer="1349" w:gutter="0"/>
          <w:cols w:space="720" w:num="1"/>
        </w:sectPr>
      </w:pPr>
    </w:p>
    <w:p>
      <w:pPr>
        <w:spacing w:line="241" w:lineRule="auto"/>
        <w:rPr>
          <w:rFonts w:ascii="Arial"/>
          <w:sz w:val="21"/>
        </w:rPr>
      </w:pPr>
      <w:r>
        <w:pict>
          <v:shape id="_x0000_s1027" o:spid="_x0000_s1027" o:spt="202" type="#_x0000_t202" style="position:absolute;left:0pt;margin-left:480.45pt;margin-top:762.95pt;height:12.55pt;width:36.85pt;mso-position-horizontal-relative:page;mso-position-vertical-relative:page;z-index:251660288;mso-width-relative:page;mso-height-relative:page;" filled="f" stroked="f" coordsize="21600,21600" o:allowincell="f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20" w:line="210" w:lineRule="exact"/>
                    <w:ind w:left="20"/>
                    <w:rPr>
                      <w:rFonts w:ascii="宋体" w:hAnsi="宋体" w:eastAsia="宋体" w:cs="宋体"/>
                      <w:sz w:val="31"/>
                      <w:szCs w:val="31"/>
                    </w:rPr>
                  </w:pPr>
                  <w:r>
                    <w:rPr>
                      <w:rFonts w:ascii="宋体" w:hAnsi="宋体" w:eastAsia="宋体" w:cs="宋体"/>
                      <w:spacing w:val="-13"/>
                      <w:w w:val="77"/>
                      <w:position w:val="-5"/>
                      <w:sz w:val="31"/>
                      <w:szCs w:val="31"/>
                    </w:rPr>
                    <w:t>—</w:t>
                  </w:r>
                  <w:r>
                    <w:rPr>
                      <w:rFonts w:ascii="宋体" w:hAnsi="宋体" w:eastAsia="宋体" w:cs="宋体"/>
                      <w:spacing w:val="89"/>
                      <w:position w:val="-5"/>
                      <w:sz w:val="31"/>
                      <w:szCs w:val="31"/>
                    </w:rPr>
                    <w:t xml:space="preserve"> </w:t>
                  </w:r>
                  <w:r>
                    <w:rPr>
                      <w:rFonts w:ascii="宋体" w:hAnsi="宋体" w:eastAsia="宋体" w:cs="宋体"/>
                      <w:spacing w:val="-13"/>
                      <w:w w:val="77"/>
                      <w:position w:val="-5"/>
                      <w:sz w:val="31"/>
                      <w:szCs w:val="31"/>
                    </w:rPr>
                    <w:t>—</w:t>
                  </w:r>
                </w:p>
              </w:txbxContent>
            </v:textbox>
          </v:shape>
        </w:pict>
      </w: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101" w:line="223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原因，适时调整。</w:t>
      </w:r>
    </w:p>
    <w:p>
      <w:pPr>
        <w:spacing w:before="144" w:line="578" w:lineRule="exact"/>
        <w:ind w:left="65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6"/>
          <w:position w:val="19"/>
          <w:sz w:val="31"/>
          <w:szCs w:val="31"/>
        </w:rPr>
        <w:t>3.单位能耗增加值(单位：万元/吨标准煤，等价值)</w:t>
      </w:r>
    </w:p>
    <w:p>
      <w:pPr>
        <w:spacing w:line="225" w:lineRule="auto"/>
        <w:ind w:left="65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0"/>
          <w:sz w:val="31"/>
          <w:szCs w:val="31"/>
        </w:rPr>
        <w:t>单位能耗增加值=增加值/综合能源消费量(等价值)。</w:t>
      </w:r>
    </w:p>
    <w:p>
      <w:pPr>
        <w:spacing w:before="161" w:line="333" w:lineRule="auto"/>
        <w:ind w:left="19" w:right="72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综合能源消费量(等价值):指企业生产和非生产活动消耗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的能源总量(等价值)。工业生产活动消耗能源包括作为燃料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</w:p>
    <w:p>
      <w:pPr>
        <w:spacing w:line="220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动力、原料、辅助材料使用的能源，以及生产工艺中使用的能源</w:t>
      </w:r>
      <w:r>
        <w:rPr>
          <w:rFonts w:ascii="仿宋" w:hAnsi="仿宋" w:eastAsia="仿宋" w:cs="仿宋"/>
          <w:spacing w:val="-6"/>
          <w:sz w:val="31"/>
          <w:szCs w:val="31"/>
        </w:rPr>
        <w:t>。</w:t>
      </w:r>
    </w:p>
    <w:p>
      <w:pPr>
        <w:spacing w:before="203" w:line="225" w:lineRule="auto"/>
        <w:ind w:left="65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21"/>
          <w:sz w:val="31"/>
          <w:szCs w:val="31"/>
        </w:rPr>
        <w:t>4.研发经费投入强度(单位：%)</w:t>
      </w:r>
    </w:p>
    <w:p>
      <w:pPr>
        <w:spacing w:before="168" w:line="225" w:lineRule="auto"/>
        <w:ind w:left="66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z w:val="31"/>
          <w:szCs w:val="31"/>
        </w:rPr>
        <w:t>研发经费投入强度=企业研究开发投入经费/总营业收入。</w:t>
      </w:r>
    </w:p>
    <w:p>
      <w:pPr>
        <w:spacing w:before="172" w:line="223" w:lineRule="auto"/>
        <w:ind w:left="65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9"/>
          <w:sz w:val="31"/>
          <w:szCs w:val="31"/>
        </w:rPr>
        <w:t>5.全员劳动生产率(单位：万元/人)</w:t>
      </w:r>
    </w:p>
    <w:p>
      <w:pPr>
        <w:spacing w:before="176" w:line="223" w:lineRule="auto"/>
        <w:ind w:left="659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15"/>
          <w:sz w:val="31"/>
          <w:szCs w:val="31"/>
        </w:rPr>
        <w:t>全员劳动生产率=工业增加值(现价)/年平均职工人数。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spacing w:line="62" w:lineRule="exact"/>
        <w:rPr>
          <w:rFonts w:ascii="Arial"/>
          <w:sz w:val="5"/>
        </w:rPr>
      </w:pPr>
    </w:p>
    <w:sectPr>
      <w:footerReference r:id="rId17" w:type="default"/>
      <w:pgSz w:w="11900" w:h="16840"/>
      <w:pgMar w:top="1431" w:right="1485" w:bottom="1658" w:left="1549" w:header="0" w:footer="134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right="59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2"/>
        <w:w w:val="71"/>
        <w:sz w:val="32"/>
        <w:szCs w:val="32"/>
      </w:rPr>
      <w:t>—</w:t>
    </w:r>
    <w:r>
      <w:rPr>
        <w:rFonts w:ascii="宋体" w:hAnsi="宋体" w:eastAsia="宋体" w:cs="宋体"/>
        <w:spacing w:val="-134"/>
        <w:sz w:val="32"/>
        <w:szCs w:val="32"/>
      </w:rPr>
      <w:t xml:space="preserve"> </w:t>
    </w:r>
    <w:r>
      <w:rPr>
        <w:rFonts w:ascii="宋体" w:hAnsi="宋体" w:eastAsia="宋体" w:cs="宋体"/>
        <w:spacing w:val="-36"/>
        <w:sz w:val="32"/>
        <w:szCs w:val="32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0" w:lineRule="auto"/>
      <w:rPr>
        <w:rFonts w:ascii="仿宋" w:hAnsi="仿宋" w:eastAsia="仿宋" w:cs="仿宋"/>
        <w:sz w:val="31"/>
        <w:szCs w:val="31"/>
      </w:rPr>
    </w:pPr>
    <w:r>
      <w:rPr>
        <w:rFonts w:ascii="仿宋" w:hAnsi="仿宋" w:eastAsia="仿宋" w:cs="仿宋"/>
        <w:spacing w:val="-12"/>
        <w:w w:val="72"/>
        <w:sz w:val="31"/>
        <w:szCs w:val="31"/>
      </w:rPr>
      <w:t>—</w:t>
    </w:r>
    <w:r>
      <w:rPr>
        <w:rFonts w:ascii="仿宋" w:hAnsi="仿宋" w:eastAsia="仿宋" w:cs="仿宋"/>
        <w:spacing w:val="-22"/>
        <w:sz w:val="31"/>
        <w:szCs w:val="31"/>
      </w:rPr>
      <w:t>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right="24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0"/>
        <w:w w:val="90"/>
        <w:sz w:val="31"/>
        <w:szCs w:val="31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2"/>
        <w:w w:val="72"/>
        <w:sz w:val="31"/>
        <w:szCs w:val="31"/>
      </w:rPr>
      <w:t>—</w:t>
    </w:r>
    <w:r>
      <w:rPr>
        <w:rFonts w:ascii="宋体" w:hAnsi="宋体" w:eastAsia="宋体" w:cs="宋体"/>
        <w:spacing w:val="-18"/>
        <w:w w:val="98"/>
        <w:sz w:val="31"/>
        <w:szCs w:val="31"/>
      </w:rPr>
      <w:t>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2"/>
        <w:w w:val="72"/>
        <w:sz w:val="31"/>
        <w:szCs w:val="31"/>
      </w:rPr>
      <w:t>—</w:t>
    </w:r>
    <w:r>
      <w:rPr>
        <w:rFonts w:ascii="宋体" w:hAnsi="宋体" w:eastAsia="宋体" w:cs="宋体"/>
        <w:spacing w:val="-22"/>
        <w:sz w:val="31"/>
        <w:szCs w:val="31"/>
      </w:rPr>
      <w:t>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8"/>
        <w:w w:val="77"/>
        <w:sz w:val="32"/>
        <w:szCs w:val="32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2"/>
        <w:w w:val="70"/>
        <w:sz w:val="32"/>
        <w:szCs w:val="32"/>
      </w:rPr>
      <w:t>—</w:t>
    </w:r>
    <w:r>
      <w:rPr>
        <w:rFonts w:ascii="宋体" w:hAnsi="宋体" w:eastAsia="宋体" w:cs="宋体"/>
        <w:spacing w:val="-21"/>
        <w:w w:val="98"/>
        <w:sz w:val="32"/>
        <w:szCs w:val="32"/>
      </w:rPr>
      <w:t>8—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right="47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8"/>
        <w:w w:val="90"/>
        <w:sz w:val="31"/>
        <w:szCs w:val="31"/>
      </w:rPr>
      <w:t>—9—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8"/>
        <w:w w:val="90"/>
        <w:sz w:val="31"/>
        <w:szCs w:val="31"/>
      </w:rPr>
      <w:t>—</w:t>
    </w:r>
    <w:r>
      <w:rPr>
        <w:rFonts w:ascii="宋体" w:hAnsi="宋体" w:eastAsia="宋体" w:cs="宋体"/>
        <w:spacing w:val="-123"/>
        <w:sz w:val="31"/>
        <w:szCs w:val="31"/>
      </w:rPr>
      <w:t xml:space="preserve"> </w:t>
    </w:r>
    <w:r>
      <w:rPr>
        <w:rFonts w:ascii="宋体" w:hAnsi="宋体" w:eastAsia="宋体" w:cs="宋体"/>
        <w:spacing w:val="-28"/>
        <w:w w:val="90"/>
        <w:sz w:val="31"/>
        <w:szCs w:val="31"/>
      </w:rPr>
      <w:t>10—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right="193"/>
      <w:jc w:val="right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7"/>
        <w:w w:val="98"/>
        <w:sz w:val="30"/>
        <w:szCs w:val="30"/>
      </w:rPr>
      <w:t>—</w:t>
    </w:r>
    <w:r>
      <w:rPr>
        <w:rFonts w:ascii="宋体" w:hAnsi="宋体" w:eastAsia="宋体" w:cs="宋体"/>
        <w:spacing w:val="-124"/>
        <w:sz w:val="30"/>
        <w:szCs w:val="30"/>
      </w:rPr>
      <w:t xml:space="preserve"> </w:t>
    </w:r>
    <w:r>
      <w:rPr>
        <w:rFonts w:ascii="宋体" w:hAnsi="宋体" w:eastAsia="宋体" w:cs="宋体"/>
        <w:spacing w:val="-37"/>
        <w:w w:val="98"/>
        <w:sz w:val="30"/>
        <w:szCs w:val="30"/>
      </w:rPr>
      <w:t>11—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1" w:lineRule="auto"/>
      <w:rPr>
        <w:rFonts w:ascii="仿宋" w:hAnsi="仿宋" w:eastAsia="仿宋" w:cs="仿宋"/>
        <w:sz w:val="31"/>
        <w:szCs w:val="31"/>
      </w:rPr>
    </w:pPr>
    <w:r>
      <w:rPr>
        <w:rFonts w:ascii="仿宋" w:hAnsi="仿宋" w:eastAsia="仿宋" w:cs="仿宋"/>
        <w:spacing w:val="-30"/>
        <w:w w:val="95"/>
        <w:sz w:val="31"/>
        <w:szCs w:val="31"/>
      </w:rPr>
      <w:t>—12—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right="272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6"/>
        <w:sz w:val="31"/>
        <w:szCs w:val="31"/>
      </w:rPr>
      <w:t>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A3NjI2MGJiYjM3OGNiMGY2ZDA3ZGZlMDZkNmIzODkifQ=="/>
  </w:docVars>
  <w:rsids>
    <w:rsidRoot w:val="00000000"/>
    <w:rsid w:val="0C5A46A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theme" Target="theme/theme1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5435</Words>
  <Characters>5606</Characters>
  <TotalTime>4</TotalTime>
  <ScaleCrop>false</ScaleCrop>
  <LinksUpToDate>false</LinksUpToDate>
  <CharactersWithSpaces>5792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2023-04-19T09:28:00Z</dcterms:created>
  <dc:creator>Kingsoft-PDF</dc:creator>
  <cp:lastModifiedBy>WPS_1677128162</cp:lastModifiedBy>
  <dcterms:modified xsi:type="dcterms:W3CDTF">2023-04-19T01:34:41Z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2023-04-19T09:28:55Z</vt:filetime>
  </property>
  <property fmtid="{D5CDD505-2E9C-101B-9397-08002B2CF9AE}" pid="4" name="UsrData">
    <vt:lpwstr>643f43ca0c8b290015501567</vt:lpwstr>
  </property>
  <property fmtid="{D5CDD505-2E9C-101B-9397-08002B2CF9AE}" pid="5" name="KSOProductBuildVer">
    <vt:lpwstr>2052-11.1.0.14036</vt:lpwstr>
  </property>
  <property fmtid="{D5CDD505-2E9C-101B-9397-08002B2CF9AE}" pid="6" name="ICV">
    <vt:lpwstr>0063F7A2DDC549AC9868EDBE34A84B2D_12</vt:lpwstr>
  </property>
</Properties>
</file>