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jc w:val="center"/>
        <w:rPr>
          <w:rFonts w:hint="eastAsia" w:ascii="方正小标宋简体" w:hAnsi="方正小标宋简体" w:eastAsia="方正小标宋简体" w:cs="方正小标宋简体"/>
          <w:sz w:val="44"/>
          <w:szCs w:val="44"/>
        </w:rPr>
      </w:pPr>
      <w:bookmarkStart w:id="0" w:name="_GoBack"/>
      <w:bookmarkEnd w:id="0"/>
    </w:p>
    <w:p>
      <w:pPr>
        <w:ind w:firstLine="0" w:firstLineChars="0"/>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贵池区</w:t>
      </w:r>
      <w:r>
        <w:rPr>
          <w:rFonts w:hint="eastAsia" w:ascii="方正小标宋简体" w:hAnsi="方正小标宋简体" w:eastAsia="方正小标宋简体" w:cs="方正小标宋简体"/>
          <w:sz w:val="44"/>
          <w:szCs w:val="44"/>
          <w:lang w:eastAsia="zh-CN"/>
        </w:rPr>
        <w:t>申报县域</w:t>
      </w:r>
      <w:r>
        <w:rPr>
          <w:rFonts w:hint="eastAsia" w:ascii="方正小标宋简体" w:hAnsi="方正小标宋简体" w:eastAsia="方正小标宋简体" w:cs="方正小标宋简体"/>
          <w:sz w:val="44"/>
          <w:szCs w:val="44"/>
        </w:rPr>
        <w:t>商业体系建设工作方案</w:t>
      </w:r>
    </w:p>
    <w:p>
      <w:pPr>
        <w:pageBreakBefore w:val="0"/>
        <w:widowControl w:val="0"/>
        <w:kinsoku/>
        <w:wordWrap/>
        <w:overflowPunct/>
        <w:topLinePunct w:val="0"/>
        <w:bidi w:val="0"/>
        <w:snapToGrid/>
        <w:spacing w:line="560" w:lineRule="exact"/>
        <w:ind w:firstLine="640" w:firstLineChars="200"/>
        <w:jc w:val="both"/>
        <w:textAlignment w:val="auto"/>
        <w:rPr>
          <w:rFonts w:hint="eastAsia" w:ascii="仿宋_GB2312" w:hAnsi="仿宋_GB2312" w:eastAsia="仿宋_GB2312" w:cs="仿宋_GB2312"/>
        </w:rPr>
      </w:pPr>
    </w:p>
    <w:p>
      <w:pPr>
        <w:pageBreakBefore w:val="0"/>
        <w:widowControl w:val="0"/>
        <w:kinsoku/>
        <w:wordWrap/>
        <w:overflowPunct/>
        <w:topLinePunct w:val="0"/>
        <w:bidi w:val="0"/>
        <w:snapToGrid/>
        <w:spacing w:line="560" w:lineRule="exact"/>
        <w:ind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为全面推动乡村振兴和城乡融合发展，加快我区农村商业体系建设，促进农村消费和农民增收，推动县域商业高质量发展，依据《商务部等17部门关于加强县域商业体系建设促进农村消费的意见》、《商务部等15部门办公厅（室）关于印发〈县域商业体系建设指南〉的通知》、《财政部办公厅 商务部办公厅 国家乡村振兴局综合司关于支持实施县域商业建设行动的通知》(财办建〔2022〕18号)和《安徽省商务厅 安徽省财政厅 安徽省乡村振兴局关于印发我省实施县域商业建设行动相关配套政策的通知》(皖商办建函〔2022〕288号)</w:t>
      </w:r>
      <w:r>
        <w:rPr>
          <w:rFonts w:hint="eastAsia" w:ascii="仿宋_GB2312" w:hAnsi="仿宋_GB2312" w:eastAsia="仿宋_GB2312" w:cs="仿宋_GB2312"/>
          <w:lang w:eastAsia="zh-CN"/>
        </w:rPr>
        <w:t>、《安徽省商务厅</w:t>
      </w:r>
      <w:r>
        <w:rPr>
          <w:rFonts w:hint="eastAsia" w:ascii="仿宋_GB2312" w:hAnsi="仿宋_GB2312" w:eastAsia="仿宋_GB2312" w:cs="仿宋_GB2312"/>
          <w:lang w:val="en-US" w:eastAsia="zh-CN"/>
        </w:rPr>
        <w:t xml:space="preserve"> 安徽省财政厅 安徽省乡村振兴局关于组织申报2023年度县域商业建设行动试点县的通知</w:t>
      </w:r>
      <w:r>
        <w:rPr>
          <w:rFonts w:hint="eastAsia" w:ascii="仿宋_GB2312" w:hAnsi="仿宋_GB2312" w:eastAsia="仿宋_GB2312" w:cs="仿宋_GB2312"/>
          <w:lang w:eastAsia="zh-CN"/>
        </w:rPr>
        <w:t>》（商办建函</w:t>
      </w:r>
      <w:r>
        <w:rPr>
          <w:rFonts w:hint="eastAsia" w:ascii="仿宋_GB2312" w:hAnsi="仿宋_GB2312" w:eastAsia="仿宋_GB2312" w:cs="仿宋_GB2312"/>
        </w:rPr>
        <w:t>〔2022〕</w:t>
      </w:r>
      <w:r>
        <w:rPr>
          <w:rFonts w:hint="eastAsia" w:ascii="仿宋_GB2312" w:hAnsi="仿宋_GB2312" w:eastAsia="仿宋_GB2312" w:cs="仿宋_GB2312"/>
          <w:lang w:val="en-US" w:eastAsia="zh-CN"/>
        </w:rPr>
        <w:t>101</w:t>
      </w:r>
      <w:r>
        <w:rPr>
          <w:rFonts w:hint="eastAsia" w:ascii="仿宋_GB2312" w:hAnsi="仿宋_GB2312" w:eastAsia="仿宋_GB2312" w:cs="仿宋_GB2312"/>
        </w:rPr>
        <w:t>号</w:t>
      </w:r>
      <w:r>
        <w:rPr>
          <w:rFonts w:hint="eastAsia" w:ascii="仿宋_GB2312" w:hAnsi="仿宋_GB2312" w:eastAsia="仿宋_GB2312" w:cs="仿宋_GB2312"/>
          <w:lang w:eastAsia="zh-CN"/>
        </w:rPr>
        <w:t>）</w:t>
      </w:r>
      <w:r>
        <w:rPr>
          <w:rFonts w:hint="eastAsia" w:ascii="仿宋_GB2312" w:hAnsi="仿宋_GB2312" w:eastAsia="仿宋_GB2312" w:cs="仿宋_GB2312"/>
        </w:rPr>
        <w:t>等文件精神，结合贵池区实际，特制定本实施方案。</w:t>
      </w:r>
    </w:p>
    <w:p>
      <w:pPr>
        <w:pStyle w:val="7"/>
        <w:keepNext w:val="0"/>
        <w:keepLines w:val="0"/>
        <w:pageBreakBefore w:val="0"/>
        <w:widowControl w:val="0"/>
        <w:numPr>
          <w:ilvl w:val="0"/>
          <w:numId w:val="1"/>
        </w:numPr>
        <w:kinsoku/>
        <w:wordWrap/>
        <w:overflowPunct/>
        <w:topLinePunct w:val="0"/>
        <w:bidi w:val="0"/>
        <w:snapToGrid/>
        <w:spacing w:before="0" w:beforeAutospacing="0" w:after="0" w:afterAutospacing="0" w:line="560" w:lineRule="exact"/>
        <w:ind w:firstLine="643" w:firstLineChars="200"/>
        <w:jc w:val="both"/>
        <w:textAlignment w:val="auto"/>
      </w:pPr>
      <w:r>
        <w:t>基本情况</w:t>
      </w:r>
    </w:p>
    <w:p>
      <w:pPr>
        <w:pStyle w:val="8"/>
        <w:keepNext w:val="0"/>
        <w:keepLines w:val="0"/>
        <w:pageBreakBefore w:val="0"/>
        <w:widowControl w:val="0"/>
        <w:numPr>
          <w:ilvl w:val="0"/>
          <w:numId w:val="2"/>
        </w:numPr>
        <w:kinsoku/>
        <w:wordWrap/>
        <w:overflowPunct/>
        <w:topLinePunct w:val="0"/>
        <w:bidi w:val="0"/>
        <w:snapToGrid/>
        <w:spacing w:beforeAutospacing="0" w:afterAutospacing="0" w:line="560" w:lineRule="exact"/>
        <w:ind w:firstLine="640" w:firstLineChars="200"/>
        <w:jc w:val="both"/>
        <w:textAlignment w:val="auto"/>
      </w:pPr>
      <w:r>
        <w:rPr>
          <w:rFonts w:hint="eastAsia"/>
        </w:rPr>
        <w:t>县域商业概况</w:t>
      </w:r>
    </w:p>
    <w:p>
      <w:pPr>
        <w:pStyle w:val="9"/>
        <w:keepNext w:val="0"/>
        <w:keepLines w:val="0"/>
        <w:pageBreakBefore w:val="0"/>
        <w:widowControl w:val="0"/>
        <w:kinsoku/>
        <w:wordWrap/>
        <w:overflowPunct/>
        <w:topLinePunct w:val="0"/>
        <w:bidi w:val="0"/>
        <w:snapToGrid/>
        <w:spacing w:beforeAutospacing="0" w:afterAutospacing="0" w:line="560" w:lineRule="exact"/>
        <w:ind w:firstLine="643"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1.基本</w:t>
      </w:r>
      <w:r>
        <w:rPr>
          <w:rFonts w:hint="eastAsia" w:ascii="仿宋_GB2312" w:hAnsi="仿宋_GB2312" w:eastAsia="仿宋_GB2312" w:cs="仿宋_GB2312"/>
          <w:lang w:eastAsia="zh-CN"/>
        </w:rPr>
        <w:t>区</w:t>
      </w:r>
      <w:r>
        <w:rPr>
          <w:rFonts w:hint="eastAsia" w:ascii="仿宋_GB2312" w:hAnsi="仿宋_GB2312" w:eastAsia="仿宋_GB2312" w:cs="仿宋_GB2312"/>
        </w:rPr>
        <w:t>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贵池</w:t>
      </w:r>
      <w:r>
        <w:rPr>
          <w:rFonts w:hint="eastAsia" w:ascii="仿宋_GB2312" w:hAnsi="仿宋_GB2312" w:eastAsia="仿宋_GB2312" w:cs="仿宋_GB2312"/>
          <w:color w:val="auto"/>
          <w:sz w:val="32"/>
          <w:szCs w:val="32"/>
          <w:lang w:eastAsia="zh-CN"/>
        </w:rPr>
        <w:t>区</w:t>
      </w:r>
      <w:r>
        <w:rPr>
          <w:rFonts w:hint="eastAsia" w:ascii="仿宋_GB2312" w:hAnsi="仿宋_GB2312" w:eastAsia="仿宋_GB2312" w:cs="仿宋_GB2312"/>
          <w:color w:val="auto"/>
          <w:sz w:val="32"/>
          <w:szCs w:val="32"/>
        </w:rPr>
        <w:t>，位于长江中下游南岸，北临浩荡长江，南接雄奇黄山，东与铜陵襟连，牵携举世闻名的国家5A级风景区佛教圣地九华山，是池州市政治、经济、文化中心。全区总面积2516平方公里，</w:t>
      </w:r>
      <w:r>
        <w:rPr>
          <w:rFonts w:hint="eastAsia" w:ascii="仿宋_GB2312" w:hAnsi="仿宋_GB2312" w:eastAsia="仿宋_GB2312" w:cs="仿宋_GB2312"/>
          <w:color w:val="auto"/>
          <w:sz w:val="32"/>
          <w:szCs w:val="32"/>
          <w:lang w:eastAsia="zh-CN"/>
        </w:rPr>
        <w:t>户籍</w:t>
      </w:r>
      <w:r>
        <w:rPr>
          <w:rFonts w:hint="eastAsia" w:ascii="仿宋_GB2312" w:hAnsi="仿宋_GB2312" w:eastAsia="仿宋_GB2312" w:cs="仿宋_GB2312"/>
          <w:color w:val="auto"/>
          <w:sz w:val="32"/>
          <w:szCs w:val="32"/>
        </w:rPr>
        <w:t>人口</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7万人，辖14</w:t>
      </w:r>
      <w:r>
        <w:rPr>
          <w:rFonts w:hint="eastAsia" w:ascii="仿宋_GB2312" w:hAnsi="仿宋_GB2312" w:eastAsia="仿宋_GB2312" w:cs="仿宋_GB2312"/>
          <w:color w:val="auto"/>
          <w:sz w:val="32"/>
          <w:szCs w:val="32"/>
          <w:lang w:eastAsia="zh-CN"/>
        </w:rPr>
        <w:t>个农村镇（</w:t>
      </w:r>
      <w:r>
        <w:rPr>
          <w:rFonts w:hint="eastAsia" w:ascii="仿宋_GB2312" w:hAnsi="仿宋_GB2312" w:eastAsia="仿宋_GB2312" w:cs="仿宋_GB2312"/>
          <w:color w:val="auto"/>
          <w:sz w:val="32"/>
          <w:szCs w:val="32"/>
        </w:rPr>
        <w:t>街</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，146个行政村。是全国生态经济示范区、全国优秀旅游城市、全国双拥模范城、安徽省历史文化名城、安徽省山水园林城市、安徽省文明城市，2019年10月，成功创建国家农产品质量安全县。</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经济运行稳中快进。</w:t>
      </w:r>
      <w:r>
        <w:rPr>
          <w:rFonts w:hint="eastAsia" w:ascii="仿宋_GB2312" w:hAnsi="仿宋_GB2312" w:eastAsia="仿宋_GB2312" w:cs="仿宋_GB2312"/>
          <w:color w:val="auto"/>
          <w:sz w:val="32"/>
          <w:szCs w:val="32"/>
          <w:lang w:val="en-US" w:eastAsia="zh-CN"/>
        </w:rPr>
        <w:t>2022年</w:t>
      </w:r>
      <w:r>
        <w:rPr>
          <w:rFonts w:hint="eastAsia" w:ascii="仿宋_GB2312" w:hAnsi="仿宋_GB2312" w:eastAsia="仿宋_GB2312" w:cs="仿宋_GB2312"/>
          <w:color w:val="auto"/>
          <w:sz w:val="32"/>
          <w:szCs w:val="32"/>
        </w:rPr>
        <w:t>实现地区生产总值488亿元、增长6%</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一般公共预算收入25.4亿元、增长9%,固定资产投资增长11%,规上工业增加值增长14%,社会消费品零售总额增长1%,城乡居民人均可支配收入分别增长6.5%、7%。</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重大项目持续突破。</w:t>
      </w:r>
      <w:r>
        <w:rPr>
          <w:rFonts w:hint="eastAsia" w:ascii="仿宋_GB2312" w:hAnsi="仿宋_GB2312" w:eastAsia="仿宋_GB2312" w:cs="仿宋_GB2312"/>
          <w:color w:val="auto"/>
          <w:sz w:val="32"/>
          <w:szCs w:val="32"/>
        </w:rPr>
        <w:t>122个省重点项目、145个市重点项目分别完成投资120.8亿元、122.2亿元，世界最大的单体水泥熟料生产基地项目竣工投产，百亿级中建材新材料项目开工建设。109个项目纳入国家重大建设项目库，争取专项债券项目8个，入选国家制造业中长期贷款项目26个，城乡供水一体化项目获国家政策性开发性金融工具支持</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新兴产业快速成长</w:t>
      </w:r>
      <w:r>
        <w:rPr>
          <w:rFonts w:hint="eastAsia" w:ascii="仿宋_GB2312" w:hAnsi="仿宋_GB2312" w:eastAsia="仿宋_GB2312" w:cs="仿宋_GB2312"/>
          <w:color w:val="auto"/>
          <w:sz w:val="32"/>
          <w:szCs w:val="32"/>
        </w:rPr>
        <w:t>。“两新一装”主导产业增加值增长20%,入选全省制造业提质扩量增效成效明显地区，获省政府督查激励。新材料产业汇聚上下游企业78户，成为全市首个产值超300亿元产业集群。新能源和节能环保产业开竣工项目28个，投资增长27.3%。高端装备制造产业新增省首台套重大技术装备3个，造船完工量占据全省半壁江山，家用机床产销领跑全省。</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bCs/>
          <w:color w:val="auto"/>
          <w:sz w:val="32"/>
          <w:szCs w:val="32"/>
        </w:rPr>
        <w:t>绿色转型全面发力。</w:t>
      </w:r>
      <w:r>
        <w:rPr>
          <w:rFonts w:hint="eastAsia" w:ascii="仿宋_GB2312" w:hAnsi="仿宋_GB2312" w:eastAsia="仿宋_GB2312" w:cs="仿宋_GB2312"/>
          <w:color w:val="auto"/>
          <w:sz w:val="32"/>
          <w:szCs w:val="32"/>
        </w:rPr>
        <w:t>探索绿水青山综合监管“一员制”,建成三级综合智慧监管体系</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深入打好污染防治攻坚战，环境空气质量继续保持全省前列，地表水国控断面水质优良率100%。制定全国首个石灰石加工行业地方标准，实施重点企业节能技改项目6个，建成省级绿色工厂2家，单位生产总值能耗下降5%。池州高新区循环经济产业园建设全面启动，全省首笔碳交易实现跨国变现。</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基础设施日益完善。</w:t>
      </w:r>
      <w:r>
        <w:rPr>
          <w:rFonts w:hint="eastAsia" w:ascii="仿宋_GB2312" w:hAnsi="仿宋_GB2312" w:eastAsia="仿宋_GB2312" w:cs="仿宋_GB2312"/>
          <w:color w:val="auto"/>
          <w:sz w:val="32"/>
          <w:szCs w:val="32"/>
        </w:rPr>
        <w:t>实施文明创建“十大提升行动”,提档升级新时代文明实践中心，改造老旧小区28个。完成主城区8个地块、2100户房屋征迁，交付净地744亩。东部产业新城加快建设，通港路改造提升等6个重点工程全面完成，平天湖棚改搬迁顺利收官。天堂湖千亩花海扮靓城市景观，平天湖“人间天路”获新华社全球推介。</w:t>
      </w:r>
    </w:p>
    <w:p>
      <w:pPr>
        <w:pStyle w:val="9"/>
        <w:keepNext w:val="0"/>
        <w:keepLines w:val="0"/>
        <w:pageBreakBefore w:val="0"/>
        <w:widowControl w:val="0"/>
        <w:kinsoku/>
        <w:wordWrap/>
        <w:overflowPunct/>
        <w:topLinePunct w:val="0"/>
        <w:bidi w:val="0"/>
        <w:snapToGrid/>
        <w:spacing w:line="560" w:lineRule="exact"/>
        <w:ind w:firstLine="643" w:firstLineChars="200"/>
        <w:jc w:val="both"/>
        <w:textAlignment w:val="auto"/>
        <w:rPr>
          <w:rFonts w:hint="eastAsia" w:ascii="仿宋_GB2312" w:hAnsi="仿宋_GB2312" w:eastAsia="仿宋_GB2312" w:cs="仿宋_GB2312"/>
          <w:b w:val="0"/>
          <w:bCs/>
          <w:color w:val="auto"/>
          <w:sz w:val="32"/>
          <w:szCs w:val="32"/>
        </w:rPr>
      </w:pPr>
      <w:r>
        <w:rPr>
          <w:rFonts w:hint="eastAsia" w:ascii="仿宋_GB2312" w:hAnsi="仿宋_GB2312" w:eastAsia="仿宋_GB2312" w:cs="仿宋_GB2312"/>
          <w:b/>
          <w:bCs/>
          <w:color w:val="auto"/>
          <w:sz w:val="32"/>
          <w:szCs w:val="32"/>
        </w:rPr>
        <w:t>民生福祉更加厚实</w:t>
      </w:r>
      <w:r>
        <w:rPr>
          <w:rFonts w:hint="eastAsia" w:ascii="仿宋_GB2312" w:hAnsi="仿宋_GB2312" w:eastAsia="仿宋_GB2312" w:cs="仿宋_GB2312"/>
          <w:b/>
          <w:bCs/>
          <w:color w:val="auto"/>
          <w:sz w:val="32"/>
          <w:szCs w:val="32"/>
          <w:lang w:eastAsia="zh-CN"/>
        </w:rPr>
        <w:t>。</w:t>
      </w:r>
      <w:r>
        <w:rPr>
          <w:rFonts w:hint="eastAsia" w:ascii="仿宋_GB2312" w:hAnsi="仿宋_GB2312" w:eastAsia="仿宋_GB2312" w:cs="仿宋_GB2312"/>
          <w:b w:val="0"/>
          <w:bCs/>
          <w:color w:val="auto"/>
          <w:sz w:val="32"/>
          <w:szCs w:val="32"/>
        </w:rPr>
        <w:t>10项暖民心行动稳步推进，20项省定、6项市定民生实事圆满完成。城镇新增就业7513人，运营老年助餐点88个，新设幼儿托位620个，新建和改造提升体育健身场所65处，新划城市车位3065个，改造提升菜市场18个，开办老年大学150所。</w:t>
      </w:r>
    </w:p>
    <w:p>
      <w:pPr>
        <w:pStyle w:val="9"/>
        <w:pageBreakBefore w:val="0"/>
        <w:widowControl w:val="0"/>
        <w:kinsoku/>
        <w:wordWrap/>
        <w:overflowPunct/>
        <w:topLinePunct w:val="0"/>
        <w:bidi w:val="0"/>
        <w:snapToGrid/>
        <w:spacing w:line="560" w:lineRule="exact"/>
        <w:ind w:firstLine="643" w:firstLineChars="200"/>
        <w:jc w:val="both"/>
        <w:textAlignment w:val="auto"/>
        <w:rPr>
          <w:color w:val="auto"/>
        </w:rPr>
      </w:pPr>
      <w:r>
        <w:rPr>
          <w:rFonts w:hint="eastAsia"/>
          <w:color w:val="auto"/>
        </w:rPr>
        <w:t>2.主要商业概况</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我</w:t>
      </w:r>
      <w:r>
        <w:rPr>
          <w:rFonts w:hint="eastAsia"/>
          <w:color w:val="auto"/>
          <w:lang w:eastAsia="zh-CN"/>
        </w:rPr>
        <w:t>区</w:t>
      </w:r>
      <w:r>
        <w:rPr>
          <w:color w:val="auto"/>
        </w:rPr>
        <w:t>现有</w:t>
      </w:r>
      <w:r>
        <w:rPr>
          <w:rFonts w:hint="eastAsia"/>
          <w:color w:val="auto"/>
        </w:rPr>
        <w:t>3</w:t>
      </w:r>
      <w:r>
        <w:rPr>
          <w:color w:val="auto"/>
        </w:rPr>
        <w:t>个县域商贸综合服务中心</w:t>
      </w:r>
      <w:r>
        <w:rPr>
          <w:rFonts w:hint="eastAsia"/>
          <w:color w:val="auto"/>
        </w:rPr>
        <w:t>；14</w:t>
      </w:r>
      <w:r>
        <w:rPr>
          <w:color w:val="auto"/>
        </w:rPr>
        <w:t>个乡镇</w:t>
      </w:r>
      <w:r>
        <w:rPr>
          <w:rFonts w:hint="eastAsia"/>
          <w:color w:val="auto"/>
        </w:rPr>
        <w:t>商贸中心；</w:t>
      </w:r>
      <w:r>
        <w:rPr>
          <w:rFonts w:hint="eastAsia"/>
          <w:color w:val="auto"/>
          <w:lang w:val="en-US" w:eastAsia="zh-CN"/>
        </w:rPr>
        <w:t>146个行政村中</w:t>
      </w:r>
      <w:r>
        <w:rPr>
          <w:rFonts w:hint="eastAsia"/>
          <w:color w:val="auto"/>
        </w:rPr>
        <w:t>133个行政村有便民商店，</w:t>
      </w:r>
      <w:r>
        <w:rPr>
          <w:color w:val="auto"/>
        </w:rPr>
        <w:t>村商业网点覆盖率达到</w:t>
      </w:r>
      <w:r>
        <w:rPr>
          <w:rFonts w:hint="eastAsia"/>
          <w:color w:val="auto"/>
        </w:rPr>
        <w:t>91</w:t>
      </w:r>
      <w:r>
        <w:rPr>
          <w:color w:val="auto"/>
        </w:rPr>
        <w:t>%；全</w:t>
      </w:r>
      <w:r>
        <w:rPr>
          <w:rFonts w:hint="eastAsia"/>
          <w:color w:val="auto"/>
          <w:lang w:eastAsia="zh-CN"/>
        </w:rPr>
        <w:t>区</w:t>
      </w:r>
      <w:r>
        <w:rPr>
          <w:color w:val="auto"/>
        </w:rPr>
        <w:t>配备</w:t>
      </w:r>
      <w:r>
        <w:rPr>
          <w:rFonts w:hint="eastAsia"/>
          <w:color w:val="auto"/>
        </w:rPr>
        <w:t>1</w:t>
      </w:r>
      <w:r>
        <w:rPr>
          <w:color w:val="auto"/>
        </w:rPr>
        <w:t>个县级物流配送中心，开展农村物流共同配送，三级物流配送体系畅通</w:t>
      </w:r>
      <w:r>
        <w:rPr>
          <w:rFonts w:hint="eastAsia"/>
          <w:color w:val="auto"/>
          <w:lang w:eastAsia="zh-CN"/>
        </w:rPr>
        <w:t>。</w:t>
      </w:r>
      <w:r>
        <w:rPr>
          <w:rFonts w:hint="eastAsia"/>
          <w:color w:val="auto"/>
        </w:rPr>
        <w:t>2</w:t>
      </w:r>
      <w:r>
        <w:rPr>
          <w:color w:val="auto"/>
        </w:rPr>
        <w:t>02</w:t>
      </w:r>
      <w:r>
        <w:rPr>
          <w:rFonts w:hint="eastAsia"/>
          <w:color w:val="auto"/>
        </w:rPr>
        <w:t>2</w:t>
      </w:r>
      <w:r>
        <w:rPr>
          <w:color w:val="auto"/>
        </w:rPr>
        <w:t>年，全县快递收发总件数</w:t>
      </w:r>
      <w:r>
        <w:rPr>
          <w:rFonts w:hint="eastAsia"/>
          <w:color w:val="auto"/>
        </w:rPr>
        <w:t>1169.6</w:t>
      </w:r>
      <w:r>
        <w:rPr>
          <w:color w:val="auto"/>
        </w:rPr>
        <w:t>万件，同比增长</w:t>
      </w:r>
      <w:r>
        <w:rPr>
          <w:rFonts w:hint="eastAsia"/>
          <w:color w:val="auto"/>
        </w:rPr>
        <w:t>21.06</w:t>
      </w:r>
      <w:r>
        <w:rPr>
          <w:color w:val="auto"/>
        </w:rPr>
        <w:t>%；其中上行</w:t>
      </w:r>
      <w:r>
        <w:rPr>
          <w:rFonts w:hint="eastAsia"/>
          <w:color w:val="auto"/>
        </w:rPr>
        <w:t>531.8</w:t>
      </w:r>
      <w:r>
        <w:rPr>
          <w:color w:val="auto"/>
        </w:rPr>
        <w:t>万件，下行</w:t>
      </w:r>
      <w:r>
        <w:rPr>
          <w:rFonts w:hint="eastAsia"/>
          <w:color w:val="auto"/>
        </w:rPr>
        <w:t>587.8</w:t>
      </w:r>
      <w:r>
        <w:rPr>
          <w:color w:val="auto"/>
        </w:rPr>
        <w:t>件；</w:t>
      </w:r>
      <w:r>
        <w:rPr>
          <w:rFonts w:hint="eastAsia"/>
          <w:color w:val="auto"/>
        </w:rPr>
        <w:t>从区到村快递平均时效为</w:t>
      </w:r>
      <w:r>
        <w:rPr>
          <w:color w:val="auto"/>
        </w:rPr>
        <w:t>8小时</w:t>
      </w:r>
      <w:r>
        <w:rPr>
          <w:rFonts w:hint="eastAsia"/>
          <w:color w:val="auto"/>
        </w:rPr>
        <w:t>，</w:t>
      </w:r>
      <w:r>
        <w:rPr>
          <w:color w:val="auto"/>
        </w:rPr>
        <w:t>物流服务行政村覆盖率100%；整合了</w:t>
      </w:r>
      <w:r>
        <w:rPr>
          <w:rFonts w:hint="eastAsia"/>
          <w:color w:val="auto"/>
        </w:rPr>
        <w:t>5家快递企业，全区快递共同配送率达78.57%；全</w:t>
      </w:r>
      <w:r>
        <w:rPr>
          <w:rFonts w:hint="eastAsia"/>
          <w:color w:val="auto"/>
          <w:lang w:eastAsia="zh-CN"/>
        </w:rPr>
        <w:t>区</w:t>
      </w:r>
      <w:r>
        <w:rPr>
          <w:rFonts w:hint="eastAsia"/>
          <w:color w:val="auto"/>
        </w:rPr>
        <w:t>现有村级电商服务站点133个，行政村站点服务覆盖率91%；</w:t>
      </w:r>
      <w:r>
        <w:rPr>
          <w:rFonts w:hint="eastAsia"/>
          <w:color w:val="auto"/>
          <w:lang w:eastAsia="zh-CN"/>
        </w:rPr>
        <w:t>全区</w:t>
      </w:r>
      <w:r>
        <w:rPr>
          <w:rFonts w:hint="eastAsia"/>
          <w:color w:val="auto"/>
          <w:lang w:val="en-US" w:eastAsia="zh-CN"/>
        </w:rPr>
        <w:t>146个行政村已全部实现快递进村</w:t>
      </w:r>
      <w:r>
        <w:rPr>
          <w:rFonts w:hint="eastAsia"/>
          <w:color w:val="auto"/>
        </w:rPr>
        <w:t>；</w:t>
      </w:r>
      <w:r>
        <w:rPr>
          <w:color w:val="auto"/>
        </w:rPr>
        <w:t>农村电商服务行政村的覆盖率为</w:t>
      </w:r>
      <w:r>
        <w:rPr>
          <w:rFonts w:hint="eastAsia"/>
          <w:color w:val="auto"/>
        </w:rPr>
        <w:t>91</w:t>
      </w:r>
      <w:r>
        <w:rPr>
          <w:color w:val="auto"/>
        </w:rPr>
        <w:t>%</w:t>
      </w:r>
      <w:r>
        <w:rPr>
          <w:rFonts w:hint="eastAsia"/>
          <w:color w:val="auto"/>
        </w:rPr>
        <w:t>；我</w:t>
      </w:r>
      <w:r>
        <w:rPr>
          <w:rFonts w:hint="eastAsia"/>
          <w:color w:val="auto"/>
          <w:lang w:eastAsia="zh-CN"/>
        </w:rPr>
        <w:t>区</w:t>
      </w:r>
      <w:r>
        <w:rPr>
          <w:rFonts w:hint="eastAsia"/>
          <w:color w:val="auto"/>
        </w:rPr>
        <w:t>共有乡镇集贸市场11个，其中已经完成标准化改造的5个，占比为45.4%。我</w:t>
      </w:r>
      <w:r>
        <w:rPr>
          <w:rFonts w:hint="eastAsia"/>
          <w:color w:val="auto"/>
          <w:lang w:eastAsia="zh-CN"/>
        </w:rPr>
        <w:t>区</w:t>
      </w:r>
      <w:r>
        <w:rPr>
          <w:color w:val="auto"/>
        </w:rPr>
        <w:t>社消零、生产总值稳步增长，具备良好的商业体系提升基础。</w:t>
      </w:r>
    </w:p>
    <w:p>
      <w:pPr>
        <w:pStyle w:val="8"/>
        <w:pageBreakBefore w:val="0"/>
        <w:widowControl w:val="0"/>
        <w:numPr>
          <w:ilvl w:val="0"/>
          <w:numId w:val="2"/>
        </w:numPr>
        <w:kinsoku/>
        <w:wordWrap/>
        <w:overflowPunct/>
        <w:topLinePunct w:val="0"/>
        <w:bidi w:val="0"/>
        <w:snapToGrid/>
        <w:spacing w:line="560" w:lineRule="exact"/>
        <w:ind w:firstLine="640" w:firstLineChars="200"/>
        <w:jc w:val="both"/>
        <w:textAlignment w:val="auto"/>
        <w:rPr>
          <w:color w:val="auto"/>
        </w:rPr>
      </w:pPr>
      <w:r>
        <w:rPr>
          <w:rFonts w:hint="eastAsia"/>
          <w:color w:val="auto"/>
        </w:rPr>
        <w:t>前期工作进展</w:t>
      </w:r>
    </w:p>
    <w:p>
      <w:pPr>
        <w:pStyle w:val="9"/>
        <w:pageBreakBefore w:val="0"/>
        <w:widowControl w:val="0"/>
        <w:kinsoku/>
        <w:wordWrap/>
        <w:overflowPunct/>
        <w:topLinePunct w:val="0"/>
        <w:bidi w:val="0"/>
        <w:snapToGrid/>
        <w:spacing w:line="560" w:lineRule="exact"/>
        <w:ind w:firstLine="643" w:firstLineChars="200"/>
        <w:jc w:val="both"/>
        <w:textAlignment w:val="auto"/>
        <w:rPr>
          <w:color w:val="auto"/>
        </w:rPr>
      </w:pPr>
      <w:r>
        <w:rPr>
          <w:rFonts w:hint="eastAsia"/>
          <w:color w:val="auto"/>
        </w:rPr>
        <w:t>1.前期工作</w:t>
      </w:r>
    </w:p>
    <w:p>
      <w:pPr>
        <w:pageBreakBefore w:val="0"/>
        <w:widowControl w:val="0"/>
        <w:kinsoku/>
        <w:wordWrap/>
        <w:overflowPunct/>
        <w:topLinePunct w:val="0"/>
        <w:bidi w:val="0"/>
        <w:snapToGrid/>
        <w:spacing w:line="560" w:lineRule="exact"/>
        <w:ind w:firstLine="640" w:firstLineChars="200"/>
        <w:jc w:val="both"/>
        <w:textAlignment w:val="auto"/>
        <w:rPr>
          <w:rFonts w:hint="eastAsia" w:ascii="仿宋_GB2312" w:hAnsi="仿宋_GB2312" w:eastAsia="仿宋_GB2312" w:cs="仿宋_GB2312"/>
          <w:b w:val="0"/>
          <w:bCs/>
          <w:color w:val="auto"/>
          <w:kern w:val="2"/>
          <w:sz w:val="32"/>
          <w:szCs w:val="32"/>
          <w:lang w:val="en-US" w:eastAsia="zh-CN" w:bidi="ar-SA"/>
        </w:rPr>
      </w:pPr>
      <w:r>
        <w:rPr>
          <w:rFonts w:hint="eastAsia" w:ascii="仿宋_GB2312" w:hAnsi="仿宋_GB2312" w:eastAsia="仿宋_GB2312" w:cs="仿宋_GB2312"/>
          <w:b w:val="0"/>
          <w:bCs/>
          <w:color w:val="auto"/>
          <w:kern w:val="2"/>
          <w:sz w:val="32"/>
          <w:szCs w:val="32"/>
          <w:lang w:val="en-US" w:eastAsia="zh-CN" w:bidi="ar-SA"/>
        </w:rPr>
        <w:t>为加快推进我区县域商业体系建设,根据《财政部办公厅 商务部办公厅 国家乡村振兴局综合司关于支持实施县域商业建设行动的通知》(财办建〔2022〕18号)和《安徽省商务厅 安徽省财政厅 安徽省乡村振兴局关于印发我省实施县域商业建设行动相关配套政策的通知》(皖商办建函〔2022〕288号)等文件要求，我区积极谋划。</w:t>
      </w:r>
    </w:p>
    <w:p>
      <w:pPr>
        <w:pageBreakBefore w:val="0"/>
        <w:widowControl w:val="0"/>
        <w:kinsoku/>
        <w:wordWrap/>
        <w:overflowPunct/>
        <w:topLinePunct w:val="0"/>
        <w:bidi w:val="0"/>
        <w:snapToGrid/>
        <w:spacing w:line="560" w:lineRule="exact"/>
        <w:ind w:firstLine="640" w:firstLineChars="200"/>
        <w:jc w:val="both"/>
        <w:textAlignment w:val="auto"/>
        <w:rPr>
          <w:rFonts w:hint="eastAsia" w:ascii="仿宋_GB2312" w:hAnsi="仿宋_GB2312" w:eastAsia="仿宋_GB2312" w:cs="仿宋_GB2312"/>
          <w:b w:val="0"/>
          <w:bCs/>
          <w:color w:val="auto"/>
          <w:kern w:val="2"/>
          <w:sz w:val="32"/>
          <w:szCs w:val="32"/>
          <w:lang w:val="en-US" w:eastAsia="zh-CN" w:bidi="ar-SA"/>
        </w:rPr>
      </w:pPr>
      <w:r>
        <w:rPr>
          <w:rFonts w:hint="eastAsia" w:ascii="仿宋_GB2312" w:hAnsi="仿宋_GB2312" w:eastAsia="仿宋_GB2312" w:cs="仿宋_GB2312"/>
          <w:b w:val="0"/>
          <w:bCs/>
          <w:color w:val="auto"/>
          <w:kern w:val="2"/>
          <w:sz w:val="32"/>
          <w:szCs w:val="32"/>
          <w:lang w:val="en-US" w:eastAsia="zh-CN" w:bidi="ar-SA"/>
        </w:rPr>
        <w:t>一是区委、区政府高度重视县域商业体系建设工作，成立分管区长任组长、各镇（街）、部门分管负责同志为成员的工作领导小组，明确任务分工，统筹推进全县商业体系工作。成立了贵池区加强县域商业体系建设促进农村消费工作领导小组；区经信局会同有关单位建立区域商业体系建设工作协调机制，责任分工明确，出台相关配套政策；</w:t>
      </w:r>
    </w:p>
    <w:p>
      <w:pPr>
        <w:pageBreakBefore w:val="0"/>
        <w:widowControl w:val="0"/>
        <w:kinsoku/>
        <w:wordWrap/>
        <w:overflowPunct/>
        <w:topLinePunct w:val="0"/>
        <w:bidi w:val="0"/>
        <w:snapToGrid/>
        <w:spacing w:line="560" w:lineRule="exact"/>
        <w:ind w:firstLine="640" w:firstLineChars="200"/>
        <w:jc w:val="both"/>
        <w:textAlignment w:val="auto"/>
        <w:rPr>
          <w:rFonts w:hint="eastAsia" w:ascii="仿宋_GB2312" w:hAnsi="仿宋_GB2312" w:eastAsia="仿宋_GB2312" w:cs="仿宋_GB2312"/>
          <w:b w:val="0"/>
          <w:bCs/>
          <w:color w:val="auto"/>
          <w:kern w:val="2"/>
          <w:sz w:val="32"/>
          <w:szCs w:val="32"/>
          <w:lang w:val="en-US" w:eastAsia="zh-CN" w:bidi="ar-SA"/>
        </w:rPr>
      </w:pPr>
      <w:r>
        <w:rPr>
          <w:rFonts w:hint="eastAsia" w:ascii="仿宋_GB2312" w:hAnsi="仿宋_GB2312" w:eastAsia="仿宋_GB2312" w:cs="仿宋_GB2312"/>
          <w:b w:val="0"/>
          <w:bCs/>
          <w:color w:val="auto"/>
          <w:kern w:val="2"/>
          <w:sz w:val="32"/>
          <w:szCs w:val="32"/>
          <w:lang w:val="en-US" w:eastAsia="zh-CN" w:bidi="ar-SA"/>
        </w:rPr>
        <w:t>二是认真学习《商务部等17部门关于加强县域商业体系建设促进农村消费的意见》和《商务部等15部门办公厅（室）关于印发〈县域商业建设指南〉的通知》，开展摸底调查，为做好建立健全区域统筹、以城区为中心、乡镇为重点、村为基础的农村商业体系奠定良好基础。组织镇（街）分管领导、工作人员学习《县域商业建设指南》，补齐镇（街）商贸短板，建立“十四五”期间商贸项目建设储备库。</w:t>
      </w:r>
    </w:p>
    <w:p>
      <w:pPr>
        <w:pageBreakBefore w:val="0"/>
        <w:widowControl w:val="0"/>
        <w:kinsoku/>
        <w:wordWrap/>
        <w:overflowPunct/>
        <w:topLinePunct w:val="0"/>
        <w:bidi w:val="0"/>
        <w:snapToGrid/>
        <w:spacing w:line="560" w:lineRule="exact"/>
        <w:ind w:firstLine="640" w:firstLineChars="200"/>
        <w:jc w:val="both"/>
        <w:textAlignment w:val="auto"/>
        <w:rPr>
          <w:rFonts w:hint="eastAsia" w:ascii="仿宋_GB2312" w:hAnsi="仿宋_GB2312" w:eastAsia="仿宋_GB2312" w:cs="仿宋_GB2312"/>
          <w:b w:val="0"/>
          <w:bCs/>
          <w:color w:val="auto"/>
          <w:kern w:val="2"/>
          <w:sz w:val="32"/>
          <w:szCs w:val="32"/>
          <w:lang w:val="en-US" w:eastAsia="zh-CN" w:bidi="ar-SA"/>
        </w:rPr>
      </w:pPr>
      <w:r>
        <w:rPr>
          <w:rFonts w:hint="eastAsia" w:ascii="仿宋_GB2312" w:hAnsi="仿宋_GB2312" w:eastAsia="仿宋_GB2312" w:cs="仿宋_GB2312"/>
          <w:b w:val="0"/>
          <w:bCs/>
          <w:color w:val="auto"/>
          <w:kern w:val="2"/>
          <w:sz w:val="32"/>
          <w:szCs w:val="32"/>
          <w:lang w:val="en-US" w:eastAsia="zh-CN" w:bidi="ar-SA"/>
        </w:rPr>
        <w:t>三是开展调研，通过组织召开座谈会和征求意见建议，充分结合我区实际和各相关部门职责，就如何健全农村流通网络、完善农产品市场网络、提高农产品流通效率、丰富农村消费市场、加强市场主体培育、创新流通业态和模式、规范农村市场秩序、完善政策机制等问题提出切实可行的落实措施。</w:t>
      </w:r>
    </w:p>
    <w:p>
      <w:pPr>
        <w:pageBreakBefore w:val="0"/>
        <w:widowControl w:val="0"/>
        <w:kinsoku/>
        <w:wordWrap/>
        <w:overflowPunct/>
        <w:topLinePunct w:val="0"/>
        <w:bidi w:val="0"/>
        <w:snapToGrid/>
        <w:spacing w:line="560" w:lineRule="exact"/>
        <w:ind w:firstLine="640" w:firstLineChars="200"/>
        <w:jc w:val="both"/>
        <w:textAlignment w:val="auto"/>
        <w:rPr>
          <w:rFonts w:hint="eastAsia" w:ascii="仿宋_GB2312" w:hAnsi="仿宋_GB2312" w:eastAsia="仿宋_GB2312" w:cs="仿宋_GB2312"/>
          <w:b w:val="0"/>
          <w:bCs/>
          <w:color w:val="auto"/>
          <w:kern w:val="2"/>
          <w:sz w:val="32"/>
          <w:szCs w:val="32"/>
          <w:lang w:val="en-US" w:eastAsia="zh-CN" w:bidi="ar-SA"/>
        </w:rPr>
      </w:pPr>
      <w:r>
        <w:rPr>
          <w:rFonts w:hint="eastAsia" w:ascii="仿宋_GB2312" w:hAnsi="仿宋_GB2312" w:eastAsia="仿宋_GB2312" w:cs="仿宋_GB2312"/>
          <w:b w:val="0"/>
          <w:bCs/>
          <w:color w:val="auto"/>
          <w:kern w:val="2"/>
          <w:sz w:val="32"/>
          <w:szCs w:val="32"/>
          <w:lang w:val="en-US" w:eastAsia="zh-CN" w:bidi="ar-SA"/>
        </w:rPr>
        <w:t xml:space="preserve">四是由区商务部门牵头，以实施“县域商业建设行动”为重点开展了一系列工作：第一、推进我区项目建设。第二、指导中国邮政集团有限公司池州市分公司商讨三级物流方案。形成通仓统配，降低物流成本，实现工业品下乡，农产品出村双向配送服务。第三、推动农村电商服务体系提质升级，提升乡村站点运营水平、网货品牌打造、电商人才培育孵化等能力。第四、组织并指导商贸、农业龙头、品牌农产品经营主体等传统企业转型升级。第五、积极培育限上商贸企业。第六、加强政策支持，草拟了贵池区《贵池区推进产业强区若干政策》。 </w:t>
      </w:r>
    </w:p>
    <w:p>
      <w:pPr>
        <w:pStyle w:val="9"/>
        <w:pageBreakBefore w:val="0"/>
        <w:widowControl w:val="0"/>
        <w:kinsoku/>
        <w:wordWrap/>
        <w:overflowPunct/>
        <w:topLinePunct w:val="0"/>
        <w:bidi w:val="0"/>
        <w:snapToGrid/>
        <w:spacing w:line="560" w:lineRule="exact"/>
        <w:ind w:firstLine="643" w:firstLineChars="200"/>
        <w:jc w:val="both"/>
        <w:textAlignment w:val="auto"/>
        <w:rPr>
          <w:color w:val="auto"/>
        </w:rPr>
      </w:pPr>
      <w:r>
        <w:rPr>
          <w:rFonts w:hint="eastAsia"/>
          <w:color w:val="auto"/>
        </w:rPr>
        <w:t>2.取得成效</w:t>
      </w:r>
    </w:p>
    <w:p>
      <w:pPr>
        <w:pageBreakBefore w:val="0"/>
        <w:widowControl w:val="0"/>
        <w:kinsoku/>
        <w:wordWrap/>
        <w:overflowPunct/>
        <w:topLinePunct w:val="0"/>
        <w:bidi w:val="0"/>
        <w:snapToGrid/>
        <w:spacing w:line="560" w:lineRule="exact"/>
        <w:ind w:firstLine="643" w:firstLineChars="200"/>
        <w:jc w:val="both"/>
        <w:textAlignment w:val="auto"/>
        <w:rPr>
          <w:color w:val="auto"/>
        </w:rPr>
      </w:pPr>
      <w:r>
        <w:rPr>
          <w:rFonts w:hint="eastAsia"/>
          <w:b/>
          <w:color w:val="auto"/>
        </w:rPr>
        <w:t>（一）商业基础设施逐渐完善。</w:t>
      </w:r>
      <w:r>
        <w:rPr>
          <w:rFonts w:hint="eastAsia"/>
          <w:color w:val="auto"/>
        </w:rPr>
        <w:t>我区现有14个乡镇</w:t>
      </w:r>
      <w:r>
        <w:rPr>
          <w:color w:val="auto"/>
        </w:rPr>
        <w:t>商贸中心，</w:t>
      </w:r>
      <w:r>
        <w:rPr>
          <w:rFonts w:hint="eastAsia"/>
          <w:color w:val="auto"/>
        </w:rPr>
        <w:t>均具备可提供日用品、小家电、餐饮、服装等商品销售；133</w:t>
      </w:r>
      <w:r>
        <w:rPr>
          <w:color w:val="auto"/>
        </w:rPr>
        <w:t>个行政村内设有村级便民商店</w:t>
      </w:r>
      <w:r>
        <w:rPr>
          <w:rFonts w:hint="eastAsia"/>
          <w:color w:val="auto"/>
        </w:rPr>
        <w:t>，服务覆盖率达100%；依托中国邮政集团有限公司池州市分公司建设区级物流配送中心</w:t>
      </w:r>
      <w:r>
        <w:rPr>
          <w:color w:val="auto"/>
        </w:rPr>
        <w:t>1个，具备仓储、分拣、中转、配送等服务</w:t>
      </w:r>
      <w:r>
        <w:rPr>
          <w:rFonts w:hint="eastAsia"/>
          <w:color w:val="auto"/>
        </w:rPr>
        <w:t>，物流配送体系稳步提升，从区到村快递平均时效为</w:t>
      </w:r>
      <w:r>
        <w:rPr>
          <w:color w:val="auto"/>
        </w:rPr>
        <w:t>8小时</w:t>
      </w:r>
      <w:r>
        <w:rPr>
          <w:rFonts w:hint="eastAsia"/>
          <w:color w:val="auto"/>
        </w:rPr>
        <w:t>；</w:t>
      </w:r>
      <w:r>
        <w:rPr>
          <w:color w:val="auto"/>
        </w:rPr>
        <w:t>我区共有146个行政村，快递进村率为100%。</w:t>
      </w:r>
    </w:p>
    <w:p>
      <w:pPr>
        <w:pageBreakBefore w:val="0"/>
        <w:widowControl w:val="0"/>
        <w:kinsoku/>
        <w:wordWrap/>
        <w:overflowPunct/>
        <w:topLinePunct w:val="0"/>
        <w:bidi w:val="0"/>
        <w:snapToGrid/>
        <w:spacing w:line="560" w:lineRule="exact"/>
        <w:ind w:firstLine="643" w:firstLineChars="200"/>
        <w:jc w:val="both"/>
        <w:textAlignment w:val="auto"/>
        <w:rPr>
          <w:color w:val="auto"/>
        </w:rPr>
      </w:pPr>
      <w:r>
        <w:rPr>
          <w:rFonts w:hint="eastAsia"/>
          <w:b/>
          <w:color w:val="auto"/>
        </w:rPr>
        <w:t>（二）电子商务工作扎实有效</w:t>
      </w:r>
      <w:r>
        <w:rPr>
          <w:rFonts w:hint="eastAsia"/>
          <w:color w:val="auto"/>
        </w:rPr>
        <w:t>。</w:t>
      </w:r>
      <w:r>
        <w:rPr>
          <w:color w:val="auto"/>
        </w:rPr>
        <w:t>2022年，我区电子商务网销额突破</w:t>
      </w:r>
      <w:r>
        <w:rPr>
          <w:rFonts w:hint="eastAsia"/>
          <w:color w:val="auto"/>
        </w:rPr>
        <w:t>26.48</w:t>
      </w:r>
      <w:r>
        <w:rPr>
          <w:color w:val="auto"/>
        </w:rPr>
        <w:t>亿元，农村产品上行网销额突破</w:t>
      </w:r>
      <w:r>
        <w:rPr>
          <w:rFonts w:hint="eastAsia"/>
          <w:color w:val="auto"/>
        </w:rPr>
        <w:t>8.23</w:t>
      </w:r>
      <w:r>
        <w:rPr>
          <w:color w:val="auto"/>
        </w:rPr>
        <w:t>亿元，获得2017、2018、2020三个年度省级农村电子商务示范县，累计申报省级农村电商示范镇6个、示范村18个、示范网点14个，农村电商网络销售额超100万元农村电商品牌1</w:t>
      </w:r>
      <w:r>
        <w:rPr>
          <w:rFonts w:hint="eastAsia"/>
          <w:color w:val="auto"/>
        </w:rPr>
        <w:t>1</w:t>
      </w:r>
      <w:r>
        <w:rPr>
          <w:color w:val="auto"/>
        </w:rPr>
        <w:t>个，网销额超1000万元电商企业</w:t>
      </w:r>
      <w:r>
        <w:rPr>
          <w:rFonts w:hint="eastAsia"/>
          <w:color w:val="auto"/>
        </w:rPr>
        <w:t>6</w:t>
      </w:r>
      <w:r>
        <w:rPr>
          <w:color w:val="auto"/>
        </w:rPr>
        <w:t>家。</w:t>
      </w:r>
      <w:r>
        <w:rPr>
          <w:rFonts w:hint="eastAsia"/>
          <w:color w:val="auto"/>
        </w:rPr>
        <w:t>公共服务中心不断赋能,依托安徽三未数字技术有限公司，建设区级公共服务中心</w:t>
      </w:r>
      <w:r>
        <w:rPr>
          <w:color w:val="auto"/>
        </w:rPr>
        <w:t>1个，建设面积10000㎡以上，年服务电商企业、个人创业者</w:t>
      </w:r>
      <w:r>
        <w:rPr>
          <w:rFonts w:hint="eastAsia"/>
          <w:color w:val="auto"/>
        </w:rPr>
        <w:t>1000</w:t>
      </w:r>
      <w:r>
        <w:rPr>
          <w:color w:val="auto"/>
        </w:rPr>
        <w:t>余次，提供网店创建、产品拍照、详情页设计、政策宣讲、创业培训等多项服务，有效助力区域电商蓬勃发展。</w:t>
      </w:r>
    </w:p>
    <w:p>
      <w:pPr>
        <w:pageBreakBefore w:val="0"/>
        <w:widowControl w:val="0"/>
        <w:kinsoku/>
        <w:wordWrap/>
        <w:overflowPunct/>
        <w:topLinePunct w:val="0"/>
        <w:bidi w:val="0"/>
        <w:snapToGrid/>
        <w:spacing w:line="560" w:lineRule="exact"/>
        <w:ind w:firstLine="643" w:firstLineChars="200"/>
        <w:jc w:val="both"/>
        <w:textAlignment w:val="auto"/>
        <w:rPr>
          <w:rFonts w:hint="eastAsia"/>
          <w:color w:val="auto"/>
        </w:rPr>
      </w:pPr>
      <w:r>
        <w:rPr>
          <w:rFonts w:hint="eastAsia"/>
          <w:b/>
          <w:color w:val="auto"/>
        </w:rPr>
        <w:t>（三）数字农业稳步发展。</w:t>
      </w:r>
      <w:r>
        <w:rPr>
          <w:color w:val="auto"/>
        </w:rPr>
        <w:t>全力推进九华黄精、霄坑茶叶、秋浦花鳜、稻渔综合种养、蔬菜、皖南土鸡“六大产业”发展，坚持以“互联网+现代农业”融合发展为指导方针，促进电商与农户合作发展，帮助农户（脱贫户）销售农产品，实施“电子商务+基地+合作社+农户”利益机制项目10个，带动</w:t>
      </w:r>
      <w:r>
        <w:rPr>
          <w:rFonts w:hint="eastAsia"/>
          <w:color w:val="auto"/>
          <w:lang w:val="en-US" w:eastAsia="zh-CN"/>
        </w:rPr>
        <w:t>350</w:t>
      </w:r>
      <w:r>
        <w:rPr>
          <w:color w:val="auto"/>
        </w:rPr>
        <w:t>名脱贫户年均增收2814元。在抖音、快手短视频平台发布我区特色农产品宣传视频</w:t>
      </w:r>
      <w:r>
        <w:rPr>
          <w:rFonts w:hint="eastAsia"/>
          <w:color w:val="auto"/>
          <w:lang w:val="en-US" w:eastAsia="zh-CN"/>
        </w:rPr>
        <w:t>960余</w:t>
      </w:r>
      <w:r>
        <w:rPr>
          <w:color w:val="auto"/>
        </w:rPr>
        <w:t>例，</w:t>
      </w:r>
      <w:r>
        <w:rPr>
          <w:rFonts w:hint="eastAsia"/>
          <w:color w:val="auto"/>
        </w:rPr>
        <w:t>开展助农直播1600余场，累计观看人次突破220</w:t>
      </w:r>
      <w:r>
        <w:rPr>
          <w:rFonts w:hint="eastAsia"/>
          <w:color w:val="auto"/>
          <w:lang w:val="en-US" w:eastAsia="zh-CN"/>
        </w:rPr>
        <w:t>余</w:t>
      </w:r>
      <w:r>
        <w:rPr>
          <w:rFonts w:hint="eastAsia"/>
          <w:color w:val="auto"/>
        </w:rPr>
        <w:t>万次。</w:t>
      </w:r>
    </w:p>
    <w:p>
      <w:pPr>
        <w:pageBreakBefore w:val="0"/>
        <w:widowControl w:val="0"/>
        <w:kinsoku/>
        <w:wordWrap/>
        <w:overflowPunct/>
        <w:topLinePunct w:val="0"/>
        <w:bidi w:val="0"/>
        <w:snapToGrid/>
        <w:spacing w:line="560" w:lineRule="exact"/>
        <w:ind w:firstLine="643" w:firstLineChars="200"/>
        <w:jc w:val="both"/>
        <w:textAlignment w:val="auto"/>
        <w:rPr>
          <w:color w:val="auto"/>
        </w:rPr>
      </w:pPr>
      <w:r>
        <w:rPr>
          <w:rFonts w:hint="eastAsia"/>
          <w:b/>
          <w:color w:val="auto"/>
        </w:rPr>
        <w:t>（四）区域消费渠道持续优化。</w:t>
      </w:r>
      <w:r>
        <w:rPr>
          <w:rFonts w:hint="eastAsia"/>
          <w:color w:val="auto"/>
        </w:rPr>
        <w:t>支持商贸流通、电子商务、生活服务相关企业投资现代农业、乡村旅游、加工制造等特色产业。推动商旅文体等一体化业态聚焦，提高综合服务能力，实现跨界融合，增强服务业推动生产、促进流通、扩大消费的功能。</w:t>
      </w:r>
    </w:p>
    <w:p>
      <w:pPr>
        <w:pStyle w:val="9"/>
        <w:pageBreakBefore w:val="0"/>
        <w:widowControl w:val="0"/>
        <w:kinsoku/>
        <w:wordWrap/>
        <w:overflowPunct/>
        <w:topLinePunct w:val="0"/>
        <w:bidi w:val="0"/>
        <w:snapToGrid/>
        <w:spacing w:line="560" w:lineRule="exact"/>
        <w:ind w:firstLine="643" w:firstLineChars="200"/>
        <w:jc w:val="both"/>
        <w:textAlignment w:val="auto"/>
        <w:rPr>
          <w:color w:val="auto"/>
        </w:rPr>
      </w:pPr>
      <w:r>
        <w:rPr>
          <w:rFonts w:hint="eastAsia"/>
          <w:color w:val="auto"/>
        </w:rPr>
        <w:t>3.存在问题</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一是县域商业网点</w:t>
      </w:r>
      <w:r>
        <w:rPr>
          <w:rFonts w:hint="eastAsia"/>
          <w:color w:val="auto"/>
          <w:lang w:eastAsia="zh-CN"/>
        </w:rPr>
        <w:t>分</w:t>
      </w:r>
      <w:r>
        <w:rPr>
          <w:rFonts w:hint="eastAsia"/>
          <w:color w:val="auto"/>
        </w:rPr>
        <w:t>布散乱。</w:t>
      </w:r>
      <w:r>
        <w:rPr>
          <w:rFonts w:hint="eastAsia"/>
          <w:color w:val="auto"/>
          <w:lang w:eastAsia="zh-CN"/>
        </w:rPr>
        <w:t>部分</w:t>
      </w:r>
      <w:r>
        <w:rPr>
          <w:rFonts w:hint="eastAsia"/>
          <w:color w:val="auto"/>
        </w:rPr>
        <w:t>镇</w:t>
      </w:r>
      <w:r>
        <w:rPr>
          <w:rFonts w:hint="eastAsia"/>
          <w:color w:val="auto"/>
          <w:lang w:eastAsia="zh-CN"/>
        </w:rPr>
        <w:t>（街）</w:t>
      </w:r>
      <w:r>
        <w:rPr>
          <w:rFonts w:hint="eastAsia"/>
          <w:color w:val="auto"/>
        </w:rPr>
        <w:t>商店缺乏</w:t>
      </w:r>
      <w:r>
        <w:rPr>
          <w:rFonts w:hint="eastAsia"/>
          <w:color w:val="auto"/>
          <w:lang w:eastAsia="zh-CN"/>
        </w:rPr>
        <w:t>科学的</w:t>
      </w:r>
      <w:r>
        <w:rPr>
          <w:rFonts w:hint="eastAsia"/>
          <w:color w:val="auto"/>
        </w:rPr>
        <w:t>规划引导，使商业网点布局不合理。</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二是业态结构不合理，发展不平衡。</w:t>
      </w:r>
      <w:r>
        <w:rPr>
          <w:rFonts w:hint="eastAsia"/>
          <w:color w:val="auto"/>
          <w:lang w:eastAsia="zh-CN"/>
        </w:rPr>
        <w:t>部分</w:t>
      </w:r>
      <w:r>
        <w:rPr>
          <w:rFonts w:hint="eastAsia"/>
          <w:color w:val="auto"/>
        </w:rPr>
        <w:t>镇</w:t>
      </w:r>
      <w:r>
        <w:rPr>
          <w:rFonts w:hint="eastAsia"/>
          <w:color w:val="auto"/>
          <w:lang w:eastAsia="zh-CN"/>
        </w:rPr>
        <w:t>（街）</w:t>
      </w:r>
      <w:r>
        <w:rPr>
          <w:rFonts w:hint="eastAsia"/>
          <w:color w:val="auto"/>
        </w:rPr>
        <w:t>商店形式</w:t>
      </w:r>
      <w:r>
        <w:rPr>
          <w:rFonts w:hint="eastAsia"/>
          <w:color w:val="auto"/>
          <w:lang w:eastAsia="zh-CN"/>
        </w:rPr>
        <w:t>主要</w:t>
      </w:r>
      <w:r>
        <w:rPr>
          <w:rFonts w:hint="eastAsia"/>
          <w:color w:val="auto"/>
        </w:rPr>
        <w:t>以传统商店为主，主要以超市、菜市场等传统业态为主，新型业态缺乏，作为零售业主流的连锁经营涉及行业数量少之又少。同时，镇上还缺乏专卖店等</w:t>
      </w:r>
      <w:r>
        <w:rPr>
          <w:rFonts w:hint="eastAsia"/>
          <w:color w:val="auto"/>
          <w:lang w:eastAsia="zh-CN"/>
        </w:rPr>
        <w:t>多种</w:t>
      </w:r>
      <w:r>
        <w:rPr>
          <w:rFonts w:hint="eastAsia"/>
          <w:color w:val="auto"/>
        </w:rPr>
        <w:t>业态</w:t>
      </w:r>
      <w:r>
        <w:rPr>
          <w:rFonts w:hint="eastAsia"/>
          <w:color w:val="auto"/>
          <w:lang w:eastAsia="zh-CN"/>
        </w:rPr>
        <w:t>，</w:t>
      </w:r>
      <w:r>
        <w:rPr>
          <w:rFonts w:hint="eastAsia"/>
          <w:color w:val="auto"/>
        </w:rPr>
        <w:t>形式发展</w:t>
      </w:r>
      <w:r>
        <w:rPr>
          <w:rFonts w:hint="eastAsia"/>
          <w:color w:val="auto"/>
          <w:lang w:eastAsia="zh-CN"/>
        </w:rPr>
        <w:t>模式较为单一</w:t>
      </w:r>
      <w:r>
        <w:rPr>
          <w:rFonts w:hint="eastAsia"/>
          <w:color w:val="auto"/>
        </w:rPr>
        <w:t>。</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三是向乡村下沉的连锁流通企业不足</w:t>
      </w:r>
      <w:r>
        <w:rPr>
          <w:rFonts w:hint="eastAsia"/>
          <w:color w:val="auto"/>
          <w:lang w:eastAsia="zh-CN"/>
        </w:rPr>
        <w:t>。</w:t>
      </w:r>
      <w:r>
        <w:rPr>
          <w:rFonts w:hint="eastAsia"/>
          <w:color w:val="auto"/>
        </w:rPr>
        <w:t>目前，我区大型连锁流通企业网点建设主要以服务于城区及城乡</w:t>
      </w:r>
      <w:r>
        <w:rPr>
          <w:rFonts w:hint="eastAsia"/>
          <w:color w:val="auto"/>
          <w:lang w:val="en-US" w:eastAsia="zh-CN"/>
        </w:rPr>
        <w:t>接</w:t>
      </w:r>
      <w:r>
        <w:rPr>
          <w:rFonts w:hint="eastAsia"/>
          <w:color w:val="auto"/>
        </w:rPr>
        <w:t>合部为主，网点建设尚未向乡村下沉，农村市场存在缺位和基础短板。</w:t>
      </w:r>
    </w:p>
    <w:p>
      <w:pPr>
        <w:pStyle w:val="7"/>
        <w:pageBreakBefore w:val="0"/>
        <w:widowControl w:val="0"/>
        <w:kinsoku/>
        <w:wordWrap/>
        <w:overflowPunct/>
        <w:topLinePunct w:val="0"/>
        <w:bidi w:val="0"/>
        <w:snapToGrid/>
        <w:spacing w:before="0" w:after="0" w:line="560" w:lineRule="exact"/>
        <w:ind w:firstLine="643" w:firstLineChars="200"/>
        <w:jc w:val="both"/>
        <w:textAlignment w:val="auto"/>
        <w:rPr>
          <w:color w:val="auto"/>
        </w:rPr>
      </w:pPr>
      <w:r>
        <w:rPr>
          <w:color w:val="auto"/>
        </w:rPr>
        <w:t>二、目标任务</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综合考量我区商业网点数量、规模、发展水平等因素，结合全</w:t>
      </w:r>
      <w:r>
        <w:rPr>
          <w:rFonts w:hint="eastAsia"/>
          <w:color w:val="auto"/>
          <w:lang w:eastAsia="zh-CN"/>
        </w:rPr>
        <w:t>区</w:t>
      </w:r>
      <w:r>
        <w:rPr>
          <w:rFonts w:hint="eastAsia"/>
          <w:color w:val="auto"/>
        </w:rPr>
        <w:t>14</w:t>
      </w:r>
      <w:r>
        <w:rPr>
          <w:color w:val="auto"/>
        </w:rPr>
        <w:t>个乡镇</w:t>
      </w:r>
      <w:r>
        <w:rPr>
          <w:rFonts w:hint="eastAsia"/>
          <w:color w:val="auto"/>
        </w:rPr>
        <w:t>146</w:t>
      </w:r>
      <w:r>
        <w:rPr>
          <w:color w:val="auto"/>
        </w:rPr>
        <w:t>个行政村人口分布等因素，我</w:t>
      </w:r>
      <w:r>
        <w:rPr>
          <w:rFonts w:hint="eastAsia"/>
          <w:color w:val="auto"/>
          <w:lang w:eastAsia="zh-CN"/>
        </w:rPr>
        <w:t>区</w:t>
      </w:r>
      <w:r>
        <w:rPr>
          <w:color w:val="auto"/>
        </w:rPr>
        <w:t>确定“十四五”时期县域商业建设类型为增强型</w:t>
      </w:r>
      <w:r>
        <w:rPr>
          <w:rFonts w:hint="eastAsia"/>
          <w:color w:val="auto"/>
        </w:rPr>
        <w:t>，</w:t>
      </w:r>
      <w:r>
        <w:rPr>
          <w:color w:val="auto"/>
        </w:rPr>
        <w:t>总体目标如下</w:t>
      </w:r>
      <w:r>
        <w:rPr>
          <w:rFonts w:hint="eastAsia"/>
          <w:color w:val="auto"/>
        </w:rPr>
        <w:t>：</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w:t>
      </w:r>
      <w:r>
        <w:rPr>
          <w:color w:val="auto"/>
        </w:rPr>
        <w:t>1）改造升级现有1个综合商贸服务中心，使其达到增强型；</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（2）改造升级不少于7</w:t>
      </w:r>
      <w:r>
        <w:rPr>
          <w:color w:val="auto"/>
        </w:rPr>
        <w:t>个乡镇商贸中心，服务覆盖率100%；</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（3）改造升级一批村级商业网点；</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（4）改造升级1个区级物流配送中心，使其达到增强型；</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（5</w:t>
      </w:r>
      <w:r>
        <w:rPr>
          <w:color w:val="auto"/>
        </w:rPr>
        <w:t>）开展物流资源整合，引导县域邮政、供销、快递、交通运输、商贸物流等资源整合，发展共同配送，在具备条件的镇村物流快递实现统一分拣配送</w:t>
      </w:r>
      <w:r>
        <w:rPr>
          <w:rFonts w:hint="eastAsia"/>
          <w:color w:val="auto"/>
        </w:rPr>
        <w:t>；</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（6）村村有快递服务（上行和下行寄递）；</w:t>
      </w:r>
    </w:p>
    <w:p>
      <w:pPr>
        <w:pageBreakBefore w:val="0"/>
        <w:widowControl w:val="0"/>
        <w:kinsoku/>
        <w:wordWrap/>
        <w:overflowPunct/>
        <w:topLinePunct w:val="0"/>
        <w:bidi w:val="0"/>
        <w:snapToGrid/>
        <w:spacing w:line="560" w:lineRule="exact"/>
        <w:ind w:firstLine="640" w:firstLineChars="200"/>
        <w:jc w:val="both"/>
        <w:textAlignment w:val="auto"/>
        <w:rPr>
          <w:rFonts w:hint="eastAsia" w:eastAsia="仿宋"/>
          <w:color w:val="auto"/>
          <w:lang w:eastAsia="zh-CN"/>
        </w:rPr>
      </w:pPr>
      <w:r>
        <w:rPr>
          <w:rFonts w:hint="eastAsia"/>
          <w:color w:val="auto"/>
        </w:rPr>
        <w:t>（7）农村电商服务对具备条件的行政村</w:t>
      </w:r>
      <w:r>
        <w:rPr>
          <w:color w:val="auto"/>
        </w:rPr>
        <w:t>100%覆盖</w:t>
      </w:r>
      <w:r>
        <w:rPr>
          <w:rFonts w:hint="eastAsia"/>
          <w:color w:val="auto"/>
          <w:lang w:eastAsia="zh-CN"/>
        </w:rPr>
        <w:t>；</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（8</w:t>
      </w:r>
      <w:r>
        <w:rPr>
          <w:color w:val="auto"/>
        </w:rPr>
        <w:t>）完成至少</w:t>
      </w:r>
      <w:r>
        <w:rPr>
          <w:rFonts w:hint="eastAsia"/>
          <w:color w:val="auto"/>
          <w:lang w:val="en-US" w:eastAsia="zh-CN"/>
        </w:rPr>
        <w:t>5</w:t>
      </w:r>
      <w:r>
        <w:rPr>
          <w:color w:val="auto"/>
        </w:rPr>
        <w:t>个农贸市场标准化升级改造；进一步提高农产品市场公益性保障，增强保供稳价能力。</w:t>
      </w:r>
    </w:p>
    <w:p>
      <w:pPr>
        <w:pStyle w:val="7"/>
        <w:pageBreakBefore w:val="0"/>
        <w:widowControl w:val="0"/>
        <w:kinsoku/>
        <w:wordWrap/>
        <w:overflowPunct/>
        <w:topLinePunct w:val="0"/>
        <w:bidi w:val="0"/>
        <w:snapToGrid/>
        <w:spacing w:before="0" w:after="0" w:line="560" w:lineRule="exact"/>
        <w:ind w:firstLine="643" w:firstLineChars="200"/>
        <w:jc w:val="both"/>
        <w:textAlignment w:val="auto"/>
        <w:rPr>
          <w:color w:val="auto"/>
        </w:rPr>
      </w:pPr>
      <w:r>
        <w:rPr>
          <w:color w:val="auto"/>
        </w:rPr>
        <w:t>三、重点工作</w:t>
      </w:r>
    </w:p>
    <w:p>
      <w:pPr>
        <w:pStyle w:val="8"/>
        <w:pageBreakBefore w:val="0"/>
        <w:widowControl w:val="0"/>
        <w:kinsoku/>
        <w:wordWrap/>
        <w:overflowPunct/>
        <w:topLinePunct w:val="0"/>
        <w:bidi w:val="0"/>
        <w:snapToGrid/>
        <w:spacing w:line="560" w:lineRule="exact"/>
        <w:ind w:firstLine="640" w:firstLineChars="200"/>
        <w:jc w:val="both"/>
        <w:textAlignment w:val="auto"/>
        <w:rPr>
          <w:color w:val="auto"/>
        </w:rPr>
      </w:pPr>
      <w:r>
        <w:rPr>
          <w:color w:val="auto"/>
        </w:rPr>
        <w:t>（一）补齐县域商业基础设施短板</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改造升级</w:t>
      </w:r>
      <w:r>
        <w:rPr>
          <w:color w:val="auto"/>
        </w:rPr>
        <w:t>综合商贸服务中心</w:t>
      </w:r>
      <w:r>
        <w:rPr>
          <w:rFonts w:hint="eastAsia"/>
          <w:color w:val="auto"/>
        </w:rPr>
        <w:t>，实现居民多元消费、本地便民生活、连锁服务辐射周边镇村等内容</w:t>
      </w:r>
      <w:r>
        <w:rPr>
          <w:color w:val="auto"/>
        </w:rPr>
        <w:t>，支持升级改造一批商贸中心、大中型超市、集贸市场等，完善冷藏、陈列、结算、食品加工等设施设备。鼓励连锁流通企业、电子商务平台下沉农村，加强数字赋能，发展连锁经营和电子商务，拓展消费新业态新场景，打造乡镇商业集聚区。</w:t>
      </w:r>
    </w:p>
    <w:p>
      <w:pPr>
        <w:pStyle w:val="8"/>
        <w:pageBreakBefore w:val="0"/>
        <w:widowControl w:val="0"/>
        <w:kinsoku/>
        <w:wordWrap/>
        <w:overflowPunct/>
        <w:topLinePunct w:val="0"/>
        <w:bidi w:val="0"/>
        <w:snapToGrid/>
        <w:spacing w:line="560" w:lineRule="exact"/>
        <w:ind w:firstLine="640" w:firstLineChars="200"/>
        <w:jc w:val="both"/>
        <w:textAlignment w:val="auto"/>
        <w:rPr>
          <w:color w:val="auto"/>
        </w:rPr>
      </w:pPr>
      <w:r>
        <w:rPr>
          <w:color w:val="auto"/>
        </w:rPr>
        <w:t>（二）完善</w:t>
      </w:r>
      <w:r>
        <w:rPr>
          <w:rFonts w:hint="eastAsia"/>
          <w:color w:val="auto"/>
          <w:lang w:eastAsia="zh-CN"/>
        </w:rPr>
        <w:t>区</w:t>
      </w:r>
      <w:r>
        <w:rPr>
          <w:color w:val="auto"/>
        </w:rPr>
        <w:t>乡村三级物流配递体系</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color w:val="auto"/>
        </w:rPr>
        <w:t>发挥</w:t>
      </w:r>
      <w:r>
        <w:rPr>
          <w:rFonts w:hint="eastAsia"/>
          <w:color w:val="auto"/>
          <w:lang w:eastAsia="zh-CN"/>
        </w:rPr>
        <w:t>城区</w:t>
      </w:r>
      <w:r>
        <w:rPr>
          <w:color w:val="auto"/>
        </w:rPr>
        <w:t>和乡镇物流枢纽作用，</w:t>
      </w:r>
      <w:r>
        <w:rPr>
          <w:rFonts w:hint="eastAsia"/>
          <w:color w:val="auto"/>
          <w:lang w:eastAsia="zh-CN"/>
        </w:rPr>
        <w:t>对区</w:t>
      </w:r>
      <w:r>
        <w:rPr>
          <w:rFonts w:hint="eastAsia"/>
          <w:color w:val="auto"/>
        </w:rPr>
        <w:t>级物流配送中心和</w:t>
      </w:r>
      <w:r>
        <w:rPr>
          <w:rFonts w:hint="eastAsia"/>
          <w:color w:val="auto"/>
          <w:lang w:eastAsia="zh-CN"/>
        </w:rPr>
        <w:t>部分</w:t>
      </w:r>
      <w:r>
        <w:rPr>
          <w:rFonts w:hint="eastAsia"/>
          <w:color w:val="auto"/>
        </w:rPr>
        <w:t>乡镇快递物流站点升级改造</w:t>
      </w:r>
      <w:r>
        <w:rPr>
          <w:color w:val="auto"/>
        </w:rPr>
        <w:t>，完善仓储、分拣、包装、装卸、运输、配送等设施，增强对乡村的辐射能力。整合</w:t>
      </w:r>
      <w:r>
        <w:rPr>
          <w:rFonts w:hint="eastAsia"/>
          <w:color w:val="auto"/>
          <w:lang w:eastAsia="zh-CN"/>
        </w:rPr>
        <w:t>区</w:t>
      </w:r>
      <w:r>
        <w:rPr>
          <w:color w:val="auto"/>
        </w:rPr>
        <w:t>域邮政、供销、快递、商贸等物流资源，发挥连锁企业自建物流优势，开展日用消费品、农资下乡和农产品进城等物流快递共同配送服务，降低物流成本。</w:t>
      </w:r>
    </w:p>
    <w:p>
      <w:pPr>
        <w:pStyle w:val="8"/>
        <w:pageBreakBefore w:val="0"/>
        <w:widowControl w:val="0"/>
        <w:kinsoku/>
        <w:wordWrap/>
        <w:overflowPunct/>
        <w:topLinePunct w:val="0"/>
        <w:bidi w:val="0"/>
        <w:snapToGrid/>
        <w:spacing w:line="560" w:lineRule="exact"/>
        <w:ind w:firstLine="640" w:firstLineChars="200"/>
        <w:jc w:val="both"/>
        <w:textAlignment w:val="auto"/>
        <w:rPr>
          <w:color w:val="auto"/>
        </w:rPr>
      </w:pPr>
      <w:r>
        <w:rPr>
          <w:color w:val="auto"/>
        </w:rPr>
        <w:t>（三）改善优化县域消费渠道</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color w:val="auto"/>
        </w:rPr>
        <w:t>支持大型流通企业下沉供应链，布局一批县域前置仓、物流仓储等设施，提供直供直销、集中采购、统一配送、库存管理等服务，让农民直购好产品、新产品。鼓励本地商贸流通企业组建联合采购平台，加大农村地区商品投放力度。发展购物、餐饮、亲子、娱乐、农资等多种业态，承接市民下乡和农民进城消费。</w:t>
      </w:r>
    </w:p>
    <w:p>
      <w:pPr>
        <w:pStyle w:val="8"/>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（四）</w:t>
      </w:r>
      <w:r>
        <w:rPr>
          <w:color w:val="auto"/>
        </w:rPr>
        <w:t>增强农村产品上行动能</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color w:val="auto"/>
        </w:rPr>
        <w:t>引导商贸、电商、快递、物流企业围绕农产品上行，建设分拣、预冷、初加工、配送等商品化处理设施，加强标准和品牌应用，提高农村产品商品转化率。整合现有</w:t>
      </w:r>
      <w:r>
        <w:rPr>
          <w:rFonts w:hint="eastAsia"/>
          <w:color w:val="auto"/>
          <w:lang w:eastAsia="zh-CN"/>
        </w:rPr>
        <w:t>区域农村</w:t>
      </w:r>
      <w:r>
        <w:rPr>
          <w:color w:val="auto"/>
        </w:rPr>
        <w:t>电子商务服务网点，统筹产品开发、设计、营销、品牌等服务，拓宽农村产品上行渠道，提高农村电子商务应用水平。</w:t>
      </w:r>
    </w:p>
    <w:p>
      <w:pPr>
        <w:pStyle w:val="8"/>
        <w:pageBreakBefore w:val="0"/>
        <w:widowControl w:val="0"/>
        <w:kinsoku/>
        <w:wordWrap/>
        <w:overflowPunct/>
        <w:topLinePunct w:val="0"/>
        <w:bidi w:val="0"/>
        <w:snapToGrid/>
        <w:spacing w:line="560" w:lineRule="exact"/>
        <w:ind w:firstLine="640" w:firstLineChars="200"/>
        <w:jc w:val="both"/>
        <w:textAlignment w:val="auto"/>
        <w:rPr>
          <w:color w:val="auto"/>
        </w:rPr>
      </w:pPr>
      <w:r>
        <w:rPr>
          <w:color w:val="auto"/>
        </w:rPr>
        <w:t>（五）提高生活服务供给质量</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color w:val="auto"/>
        </w:rPr>
        <w:t>引导农村邮政、供销、电商、商贸流通企业从传统批发、零售向综合性服务转变，整合购物、订餐、家政、职介、租赁、同城配送等服务，提高社区、村镇生活服务的便捷和服务质量。引导商贸流通、电子商务、生活服务业与现代农业、乡村旅游、加工制造等特色产业深度跨界融合，增强服务业推动生产、促进流通、扩大消费的功能。</w:t>
      </w:r>
    </w:p>
    <w:p>
      <w:pPr>
        <w:pStyle w:val="7"/>
        <w:pageBreakBefore w:val="0"/>
        <w:widowControl w:val="0"/>
        <w:kinsoku/>
        <w:wordWrap/>
        <w:overflowPunct/>
        <w:topLinePunct w:val="0"/>
        <w:bidi w:val="0"/>
        <w:snapToGrid/>
        <w:spacing w:before="0" w:after="0" w:line="560" w:lineRule="exact"/>
        <w:ind w:firstLine="643" w:firstLineChars="200"/>
        <w:jc w:val="both"/>
        <w:textAlignment w:val="auto"/>
        <w:rPr>
          <w:color w:val="auto"/>
        </w:rPr>
      </w:pPr>
      <w:r>
        <w:rPr>
          <w:rFonts w:hint="eastAsia"/>
          <w:color w:val="auto"/>
        </w:rPr>
        <w:t>四、项目计划</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（一）</w:t>
      </w:r>
      <w:r>
        <w:rPr>
          <w:color w:val="auto"/>
        </w:rPr>
        <w:t>组织启动阶段(202</w:t>
      </w:r>
      <w:r>
        <w:rPr>
          <w:rFonts w:hint="eastAsia"/>
          <w:color w:val="auto"/>
        </w:rPr>
        <w:t>3</w:t>
      </w:r>
      <w:r>
        <w:rPr>
          <w:color w:val="auto"/>
        </w:rPr>
        <w:t>年</w:t>
      </w:r>
      <w:r>
        <w:rPr>
          <w:rFonts w:hint="eastAsia"/>
          <w:color w:val="auto"/>
        </w:rPr>
        <w:t>4</w:t>
      </w:r>
      <w:r>
        <w:rPr>
          <w:color w:val="auto"/>
        </w:rPr>
        <w:t>月</w:t>
      </w:r>
      <w:r>
        <w:rPr>
          <w:rFonts w:hint="eastAsia"/>
          <w:color w:val="auto"/>
        </w:rPr>
        <w:t>—</w:t>
      </w:r>
      <w:r>
        <w:rPr>
          <w:color w:val="auto"/>
        </w:rPr>
        <w:t>2022年</w:t>
      </w:r>
      <w:r>
        <w:rPr>
          <w:rFonts w:hint="eastAsia"/>
          <w:color w:val="auto"/>
        </w:rPr>
        <w:t>5</w:t>
      </w:r>
      <w:r>
        <w:rPr>
          <w:color w:val="auto"/>
        </w:rPr>
        <w:t>月)</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color w:val="auto"/>
        </w:rPr>
        <w:t>1.制定工作方案。根据上级文件及精神，结合我县实际，</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制定实施方案及各项管理制度，按照奖补资金支持方向组织企业申报实施项目、召开项目评审会议确定要实施的项目，在政府网站及时、准确、全面的公开公示实施方案和各类管理办法、项目资金、项目清单等信息，并报省、市商务部门备案和审批。</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（二）</w:t>
      </w:r>
      <w:r>
        <w:rPr>
          <w:color w:val="auto"/>
        </w:rPr>
        <w:t>全面推进阶段(202</w:t>
      </w:r>
      <w:r>
        <w:rPr>
          <w:rFonts w:hint="eastAsia"/>
          <w:color w:val="auto"/>
        </w:rPr>
        <w:t>3</w:t>
      </w:r>
      <w:r>
        <w:rPr>
          <w:color w:val="auto"/>
        </w:rPr>
        <w:t>年</w:t>
      </w:r>
      <w:r>
        <w:rPr>
          <w:rFonts w:hint="eastAsia"/>
          <w:color w:val="auto"/>
        </w:rPr>
        <w:t>6</w:t>
      </w:r>
      <w:r>
        <w:rPr>
          <w:color w:val="auto"/>
        </w:rPr>
        <w:t>月－202</w:t>
      </w:r>
      <w:r>
        <w:rPr>
          <w:rFonts w:hint="eastAsia"/>
          <w:color w:val="auto"/>
        </w:rPr>
        <w:t>3</w:t>
      </w:r>
      <w:r>
        <w:rPr>
          <w:color w:val="auto"/>
        </w:rPr>
        <w:t>年10月)</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color w:val="auto"/>
        </w:rPr>
        <w:t>1.做好宣传引导。利用微信公众号、快手等各类媒体渠</w:t>
      </w:r>
      <w:r>
        <w:rPr>
          <w:rFonts w:hint="eastAsia"/>
          <w:color w:val="auto"/>
        </w:rPr>
        <w:t>道，大力宣传县域商业体系建设工作相关政策、重要意义等，营造良好的社会环境和舆论氛围。</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color w:val="auto"/>
        </w:rPr>
        <w:t>2.推进项目建设。按照实施方案，遵循公开、公正、公平的原则，选择确定项目承办主体，由项目管理单位，按计划督促项目承办主体推进项目实施，确保项目保质、保量、按期完成。</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3</w:t>
      </w:r>
      <w:r>
        <w:rPr>
          <w:color w:val="auto"/>
        </w:rPr>
        <w:t>.强化监督检查。</w:t>
      </w:r>
      <w:r>
        <w:rPr>
          <w:rFonts w:hint="eastAsia"/>
          <w:color w:val="auto"/>
          <w:lang w:eastAsia="zh-CN"/>
        </w:rPr>
        <w:t>区</w:t>
      </w:r>
      <w:r>
        <w:rPr>
          <w:color w:val="auto"/>
        </w:rPr>
        <w:t>商务局、</w:t>
      </w:r>
      <w:r>
        <w:rPr>
          <w:rFonts w:hint="eastAsia"/>
          <w:color w:val="auto"/>
          <w:lang w:eastAsia="zh-CN"/>
        </w:rPr>
        <w:t>区</w:t>
      </w:r>
      <w:r>
        <w:rPr>
          <w:color w:val="auto"/>
        </w:rPr>
        <w:t>财政局、</w:t>
      </w:r>
      <w:r>
        <w:rPr>
          <w:rFonts w:hint="eastAsia"/>
          <w:color w:val="auto"/>
          <w:lang w:eastAsia="zh-CN"/>
        </w:rPr>
        <w:t>区</w:t>
      </w:r>
      <w:r>
        <w:rPr>
          <w:color w:val="auto"/>
        </w:rPr>
        <w:t>乡村振兴局加强对项目跟踪检查，及时定期对示范项目进展情况进行督导检查；做好示范项目建设的全程动态跟踪和监管，督促项目实施进度，及时上报项目进展情况和年度工作总结，建立项目台账制度，抓好责任落实。</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4</w:t>
      </w:r>
      <w:r>
        <w:rPr>
          <w:color w:val="auto"/>
        </w:rPr>
        <w:t>.组织项目验收。收到</w:t>
      </w:r>
      <w:r>
        <w:rPr>
          <w:rFonts w:hint="eastAsia"/>
          <w:color w:val="auto"/>
          <w:lang w:eastAsia="zh-CN"/>
        </w:rPr>
        <w:t>项目主体</w:t>
      </w:r>
      <w:r>
        <w:rPr>
          <w:color w:val="auto"/>
        </w:rPr>
        <w:t>验收申请后，严格按照有关程序和实施方案，及时组织进行项目审核验收，给出“合格”和“不合格”验收结论，确保项目执行效果和目标的实现。</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（三）</w:t>
      </w:r>
      <w:r>
        <w:rPr>
          <w:color w:val="auto"/>
        </w:rPr>
        <w:t>完善总结阶段(202</w:t>
      </w:r>
      <w:r>
        <w:rPr>
          <w:rFonts w:hint="eastAsia"/>
          <w:color w:val="auto"/>
        </w:rPr>
        <w:t>3</w:t>
      </w:r>
      <w:r>
        <w:rPr>
          <w:color w:val="auto"/>
        </w:rPr>
        <w:t>年11月－202</w:t>
      </w:r>
      <w:r>
        <w:rPr>
          <w:rFonts w:hint="eastAsia"/>
          <w:color w:val="auto"/>
        </w:rPr>
        <w:t>3</w:t>
      </w:r>
      <w:r>
        <w:rPr>
          <w:color w:val="auto"/>
        </w:rPr>
        <w:t>年</w:t>
      </w:r>
      <w:r>
        <w:rPr>
          <w:rFonts w:hint="eastAsia"/>
          <w:color w:val="auto"/>
        </w:rPr>
        <w:t>12</w:t>
      </w:r>
      <w:r>
        <w:rPr>
          <w:color w:val="auto"/>
        </w:rPr>
        <w:t>月)。</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针对县域商业体系建设行动项目完成情况，根据国家、省、市验收标准，成立初评验收小组，自我总结、评价、完善提高，做验收准备工作。</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rFonts w:hint="eastAsia"/>
          <w:color w:val="auto"/>
        </w:rPr>
        <w:t>根据重点工作，明确建设项目内容、选择程序、依据、责任主体等，并填制县域商业建设储备项目清单（附件3）。</w:t>
      </w:r>
    </w:p>
    <w:p>
      <w:pPr>
        <w:pStyle w:val="7"/>
        <w:pageBreakBefore w:val="0"/>
        <w:widowControl w:val="0"/>
        <w:kinsoku/>
        <w:wordWrap/>
        <w:overflowPunct/>
        <w:topLinePunct w:val="0"/>
        <w:bidi w:val="0"/>
        <w:snapToGrid/>
        <w:spacing w:before="0" w:after="0" w:line="560" w:lineRule="exact"/>
        <w:ind w:firstLine="643" w:firstLineChars="200"/>
        <w:jc w:val="both"/>
        <w:textAlignment w:val="auto"/>
        <w:rPr>
          <w:color w:val="auto"/>
        </w:rPr>
      </w:pPr>
      <w:r>
        <w:rPr>
          <w:rFonts w:hint="eastAsia"/>
          <w:color w:val="auto"/>
        </w:rPr>
        <w:t>五</w:t>
      </w:r>
      <w:r>
        <w:rPr>
          <w:color w:val="auto"/>
        </w:rPr>
        <w:t>、保障措施</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color w:val="auto"/>
        </w:rPr>
        <w:t>（一）资金管理制度。制定</w:t>
      </w:r>
      <w:r>
        <w:rPr>
          <w:rFonts w:hint="eastAsia"/>
          <w:color w:val="auto"/>
          <w:lang w:eastAsia="zh-CN"/>
        </w:rPr>
        <w:t>上级县域商业建设行动专项</w:t>
      </w:r>
      <w:r>
        <w:rPr>
          <w:color w:val="auto"/>
        </w:rPr>
        <w:t>资金管理制度，明确资金支持方向、项目类型、具体内容、支持标准等，制定项目的实施期限、支持条件、后续维护运营等要求，完善资金绩效评价指标体系，确保充分发挥资金效能。</w:t>
      </w:r>
    </w:p>
    <w:p>
      <w:pPr>
        <w:pageBreakBefore w:val="0"/>
        <w:widowControl w:val="0"/>
        <w:kinsoku/>
        <w:wordWrap/>
        <w:overflowPunct/>
        <w:topLinePunct w:val="0"/>
        <w:bidi w:val="0"/>
        <w:snapToGrid/>
        <w:spacing w:line="560" w:lineRule="exact"/>
        <w:ind w:firstLine="640" w:firstLineChars="200"/>
        <w:jc w:val="both"/>
        <w:textAlignment w:val="auto"/>
        <w:rPr>
          <w:color w:val="auto"/>
        </w:rPr>
      </w:pPr>
      <w:r>
        <w:rPr>
          <w:color w:val="auto"/>
        </w:rPr>
        <w:t>（二）项目管理制度。提出项目遴选、组织实施、资金拨付、监督考核工作机制，加强项目管理。明确项目验收主体、要件、验收流程等，加强资产监督管理，明确资产权属和管护主体责任，形成长效机制。</w:t>
      </w:r>
    </w:p>
    <w:p>
      <w:pPr>
        <w:pageBreakBefore w:val="0"/>
        <w:widowControl w:val="0"/>
        <w:kinsoku/>
        <w:wordWrap/>
        <w:overflowPunct/>
        <w:topLinePunct w:val="0"/>
        <w:bidi w:val="0"/>
        <w:snapToGrid/>
        <w:spacing w:line="560" w:lineRule="exact"/>
        <w:ind w:firstLine="640" w:firstLineChars="200"/>
        <w:jc w:val="both"/>
        <w:textAlignment w:val="auto"/>
      </w:pPr>
      <w:r>
        <w:rPr>
          <w:color w:val="auto"/>
        </w:rPr>
        <w:t>（三）信息公开机制。资金使用和项目建设，县级必须在政府网站予以公开，项目建设过程中，须在项目建设区公开项目经营主体、资金投入规模、建设时限等相关内容，有关乡镇及相关企业按要求填报项目相关信息数据，并依法保护信息安</w:t>
      </w:r>
      <w:r>
        <w:rPr>
          <w:rFonts w:hint="eastAsia"/>
          <w:color w:val="auto"/>
          <w:lang w:eastAsia="zh-CN"/>
        </w:rPr>
        <w:t>全。</w:t>
      </w:r>
    </w:p>
    <w:sectPr>
      <w:headerReference r:id="rId5" w:type="default"/>
      <w:footerReference r:id="rId6" w:type="default"/>
      <w:pgSz w:w="11906" w:h="16838"/>
      <w:pgMar w:top="1474" w:right="1474" w:bottom="1417" w:left="1474" w:header="851" w:footer="992" w:gutter="0"/>
      <w:cols w:space="0" w:num="1"/>
      <w:docGrid w:type="lines" w:linePitch="43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F19F9981-462F-4159-A343-67085E88FC35}"/>
  </w:font>
  <w:font w:name="楷体">
    <w:panose1 w:val="02010609060101010101"/>
    <w:charset w:val="86"/>
    <w:family w:val="modern"/>
    <w:pitch w:val="default"/>
    <w:sig w:usb0="800002BF" w:usb1="38CF7CFA" w:usb2="00000016" w:usb3="00000000" w:csb0="00040001" w:csb1="00000000"/>
  </w:font>
  <w:font w:name="微软简标宋">
    <w:altName w:val="宋体"/>
    <w:panose1 w:val="00000000000000000000"/>
    <w:charset w:val="00"/>
    <w:family w:val="auto"/>
    <w:pitch w:val="default"/>
    <w:sig w:usb0="00000000" w:usb1="00000000" w:usb2="00000000" w:usb3="00000000" w:csb0="00040001" w:csb1="00000000"/>
  </w:font>
  <w:font w:name="方正小标宋简体">
    <w:panose1 w:val="03000509000000000000"/>
    <w:charset w:val="86"/>
    <w:family w:val="script"/>
    <w:pitch w:val="default"/>
    <w:sig w:usb0="00000001" w:usb1="080E0000" w:usb2="00000000" w:usb3="00000000" w:csb0="00040000" w:csb1="00000000"/>
    <w:embedRegular r:id="rId2" w:fontKey="{22621B5F-B184-431B-A0A5-5EED4108CA15}"/>
  </w:font>
  <w:font w:name="仿宋_GB2312">
    <w:panose1 w:val="02010609030101010101"/>
    <w:charset w:val="86"/>
    <w:family w:val="auto"/>
    <w:pitch w:val="default"/>
    <w:sig w:usb0="00000001" w:usb1="080E0000" w:usb2="00000000" w:usb3="00000000" w:csb0="00040000" w:csb1="00000000"/>
    <w:embedRegular r:id="rId3" w:fontKey="{D1FC894C-5D6D-49E9-8A61-52879B50492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21B5E6"/>
    <w:multiLevelType w:val="singleLevel"/>
    <w:tmpl w:val="F621B5E6"/>
    <w:lvl w:ilvl="0" w:tentative="0">
      <w:start w:val="1"/>
      <w:numFmt w:val="chineseCounting"/>
      <w:suff w:val="nothing"/>
      <w:lvlText w:val="%1、"/>
      <w:lvlJc w:val="left"/>
      <w:rPr>
        <w:rFonts w:hint="eastAsia"/>
      </w:rPr>
    </w:lvl>
  </w:abstractNum>
  <w:abstractNum w:abstractNumId="1">
    <w:nsid w:val="7293D692"/>
    <w:multiLevelType w:val="singleLevel"/>
    <w:tmpl w:val="7293D692"/>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320"/>
  <w:drawingGridVerticalSpacing w:val="218"/>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wYTdkN2EwMzkwZGZjNjk3YWUzMTQ2NGM5ZDBiOTEifQ=="/>
  </w:docVars>
  <w:rsids>
    <w:rsidRoot w:val="006C26F9"/>
    <w:rsid w:val="0007766C"/>
    <w:rsid w:val="000A36DC"/>
    <w:rsid w:val="0024404A"/>
    <w:rsid w:val="00315703"/>
    <w:rsid w:val="00334E46"/>
    <w:rsid w:val="0044656F"/>
    <w:rsid w:val="004F7E69"/>
    <w:rsid w:val="00510EBB"/>
    <w:rsid w:val="005416BE"/>
    <w:rsid w:val="005B3BB6"/>
    <w:rsid w:val="00640F7A"/>
    <w:rsid w:val="006B43EC"/>
    <w:rsid w:val="006C26F9"/>
    <w:rsid w:val="006F6A01"/>
    <w:rsid w:val="007945C4"/>
    <w:rsid w:val="007C4FD0"/>
    <w:rsid w:val="007E72AA"/>
    <w:rsid w:val="00817F48"/>
    <w:rsid w:val="00833ED3"/>
    <w:rsid w:val="00995531"/>
    <w:rsid w:val="009D09CF"/>
    <w:rsid w:val="00A35086"/>
    <w:rsid w:val="00A432AA"/>
    <w:rsid w:val="00A53A7C"/>
    <w:rsid w:val="00B30F42"/>
    <w:rsid w:val="00B5325A"/>
    <w:rsid w:val="00BF558C"/>
    <w:rsid w:val="00C412FF"/>
    <w:rsid w:val="00CC446E"/>
    <w:rsid w:val="00D34BD8"/>
    <w:rsid w:val="00D42F36"/>
    <w:rsid w:val="00D966AA"/>
    <w:rsid w:val="00DF45F1"/>
    <w:rsid w:val="00E440DD"/>
    <w:rsid w:val="00E546F4"/>
    <w:rsid w:val="00E57E5D"/>
    <w:rsid w:val="00EB72E8"/>
    <w:rsid w:val="00EF0D54"/>
    <w:rsid w:val="00F36712"/>
    <w:rsid w:val="00F43204"/>
    <w:rsid w:val="00F859CE"/>
    <w:rsid w:val="00F91647"/>
    <w:rsid w:val="0E763EEF"/>
    <w:rsid w:val="18512847"/>
    <w:rsid w:val="1BFB31F6"/>
    <w:rsid w:val="1C9A2A0F"/>
    <w:rsid w:val="20B71198"/>
    <w:rsid w:val="28A20AF4"/>
    <w:rsid w:val="2DDD09AD"/>
    <w:rsid w:val="304E59DB"/>
    <w:rsid w:val="3EA11FC7"/>
    <w:rsid w:val="40391407"/>
    <w:rsid w:val="507F74A6"/>
    <w:rsid w:val="52F62BC3"/>
    <w:rsid w:val="56B57519"/>
    <w:rsid w:val="5B353327"/>
    <w:rsid w:val="68831B76"/>
    <w:rsid w:val="6E7F06E9"/>
    <w:rsid w:val="6EC111A1"/>
    <w:rsid w:val="70C856BD"/>
    <w:rsid w:val="75227762"/>
    <w:rsid w:val="75D47014"/>
    <w:rsid w:val="7DD26E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pPr>
    <w:rPr>
      <w:rFonts w:ascii="仿宋" w:hAnsi="仿宋" w:eastAsia="仿宋" w:cs="仿宋"/>
      <w:kern w:val="2"/>
      <w:sz w:val="32"/>
      <w:szCs w:val="22"/>
      <w:lang w:val="en-US" w:eastAsia="zh-CN" w:bidi="ar-SA"/>
    </w:rPr>
  </w:style>
  <w:style w:type="paragraph" w:styleId="7">
    <w:name w:val="heading 1"/>
    <w:basedOn w:val="1"/>
    <w:next w:val="1"/>
    <w:link w:val="18"/>
    <w:qFormat/>
    <w:uiPriority w:val="0"/>
    <w:pPr>
      <w:keepNext/>
      <w:keepLines/>
      <w:spacing w:before="340" w:after="330" w:line="480" w:lineRule="auto"/>
      <w:outlineLvl w:val="0"/>
    </w:pPr>
    <w:rPr>
      <w:rFonts w:eastAsia="黑体"/>
      <w:b/>
      <w:bCs/>
      <w:kern w:val="44"/>
      <w:szCs w:val="44"/>
    </w:rPr>
  </w:style>
  <w:style w:type="paragraph" w:styleId="8">
    <w:name w:val="heading 2"/>
    <w:basedOn w:val="1"/>
    <w:next w:val="1"/>
    <w:link w:val="17"/>
    <w:unhideWhenUsed/>
    <w:qFormat/>
    <w:uiPriority w:val="0"/>
    <w:pPr>
      <w:ind w:firstLine="562"/>
      <w:outlineLvl w:val="1"/>
    </w:pPr>
    <w:rPr>
      <w:rFonts w:ascii="宋体" w:hAnsi="宋体" w:eastAsia="楷体"/>
    </w:rPr>
  </w:style>
  <w:style w:type="paragraph" w:styleId="9">
    <w:name w:val="heading 3"/>
    <w:basedOn w:val="1"/>
    <w:next w:val="1"/>
    <w:link w:val="19"/>
    <w:unhideWhenUsed/>
    <w:qFormat/>
    <w:uiPriority w:val="0"/>
    <w:pPr>
      <w:autoSpaceDE w:val="0"/>
      <w:autoSpaceDN w:val="0"/>
      <w:adjustRightInd w:val="0"/>
      <w:outlineLvl w:val="2"/>
    </w:pPr>
    <w:rPr>
      <w:rFonts w:ascii="宋体" w:hAnsi="宋体"/>
      <w:b/>
      <w:szCs w:val="28"/>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1"/>
    <w:next w:val="3"/>
    <w:qFormat/>
    <w:uiPriority w:val="0"/>
    <w:pPr>
      <w:autoSpaceDE w:val="0"/>
      <w:autoSpaceDN w:val="0"/>
      <w:adjustRightInd w:val="0"/>
    </w:pPr>
    <w:rPr>
      <w:rFonts w:hint="eastAsia" w:ascii="宋体" w:hAnsi="Times New Roman" w:eastAsia="宋体" w:cs="Times New Roman"/>
      <w:color w:val="000000"/>
      <w:kern w:val="0"/>
      <w:sz w:val="24"/>
      <w:szCs w:val="24"/>
    </w:rPr>
  </w:style>
  <w:style w:type="paragraph" w:customStyle="1" w:styleId="3">
    <w:name w:val="大标题"/>
    <w:basedOn w:val="1"/>
    <w:next w:val="4"/>
    <w:qFormat/>
    <w:uiPriority w:val="99"/>
    <w:pPr>
      <w:jc w:val="center"/>
    </w:pPr>
    <w:rPr>
      <w:b/>
      <w:bCs/>
      <w:sz w:val="28"/>
      <w:szCs w:val="28"/>
    </w:rPr>
  </w:style>
  <w:style w:type="paragraph" w:styleId="4">
    <w:name w:val="Body Text First Indent 2"/>
    <w:basedOn w:val="5"/>
    <w:next w:val="1"/>
    <w:qFormat/>
    <w:uiPriority w:val="0"/>
    <w:pPr>
      <w:ind w:firstLine="420" w:firstLineChars="200"/>
    </w:pPr>
  </w:style>
  <w:style w:type="paragraph" w:styleId="5">
    <w:name w:val="Body Text Indent"/>
    <w:basedOn w:val="1"/>
    <w:next w:val="6"/>
    <w:qFormat/>
    <w:uiPriority w:val="0"/>
    <w:pPr>
      <w:ind w:firstLine="660"/>
    </w:pPr>
    <w:rPr>
      <w:rFonts w:ascii="微软简标宋" w:hAnsi="微软简标宋"/>
      <w:color w:val="000000"/>
      <w:sz w:val="24"/>
    </w:rPr>
  </w:style>
  <w:style w:type="paragraph" w:styleId="6">
    <w:name w:val="envelope return"/>
    <w:basedOn w:val="1"/>
    <w:qFormat/>
    <w:uiPriority w:val="0"/>
    <w:pPr>
      <w:snapToGrid w:val="0"/>
    </w:pPr>
    <w:rPr>
      <w:rFonts w:ascii="Arial" w:hAnsi="Arial"/>
    </w:rPr>
  </w:style>
  <w:style w:type="paragraph" w:styleId="10">
    <w:name w:val="Normal Indent"/>
    <w:basedOn w:val="1"/>
    <w:qFormat/>
    <w:uiPriority w:val="0"/>
    <w:pPr>
      <w:ind w:firstLine="420"/>
    </w:pPr>
  </w:style>
  <w:style w:type="paragraph" w:styleId="11">
    <w:name w:val="Balloon Text"/>
    <w:basedOn w:val="1"/>
    <w:link w:val="21"/>
    <w:semiHidden/>
    <w:unhideWhenUsed/>
    <w:qFormat/>
    <w:uiPriority w:val="99"/>
    <w:pPr>
      <w:spacing w:line="240" w:lineRule="auto"/>
    </w:pPr>
    <w:rPr>
      <w:sz w:val="18"/>
      <w:szCs w:val="18"/>
    </w:rPr>
  </w:style>
  <w:style w:type="paragraph" w:styleId="12">
    <w:name w:val="footer"/>
    <w:basedOn w:val="1"/>
    <w:link w:val="20"/>
    <w:qFormat/>
    <w:uiPriority w:val="0"/>
    <w:pPr>
      <w:tabs>
        <w:tab w:val="center" w:pos="4153"/>
        <w:tab w:val="right" w:pos="8306"/>
      </w:tabs>
      <w:snapToGrid w:val="0"/>
      <w:spacing w:line="240" w:lineRule="auto"/>
    </w:pPr>
    <w:rPr>
      <w:sz w:val="18"/>
      <w:szCs w:val="18"/>
    </w:rPr>
  </w:style>
  <w:style w:type="paragraph" w:styleId="13">
    <w:name w:val="header"/>
    <w:basedOn w:val="1"/>
    <w:link w:val="22"/>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table" w:styleId="15">
    <w:name w:val="Table Grid"/>
    <w:basedOn w:val="1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7">
    <w:name w:val="标题 2 Char"/>
    <w:basedOn w:val="16"/>
    <w:link w:val="8"/>
    <w:qFormat/>
    <w:uiPriority w:val="0"/>
    <w:rPr>
      <w:rFonts w:ascii="宋体" w:hAnsi="宋体" w:eastAsia="楷体" w:cs="仿宋"/>
      <w:sz w:val="32"/>
    </w:rPr>
  </w:style>
  <w:style w:type="character" w:customStyle="1" w:styleId="18">
    <w:name w:val="标题 1 Char"/>
    <w:basedOn w:val="16"/>
    <w:link w:val="7"/>
    <w:qFormat/>
    <w:uiPriority w:val="9"/>
    <w:rPr>
      <w:rFonts w:eastAsia="黑体"/>
      <w:b/>
      <w:bCs/>
      <w:kern w:val="44"/>
      <w:sz w:val="32"/>
      <w:szCs w:val="44"/>
    </w:rPr>
  </w:style>
  <w:style w:type="character" w:customStyle="1" w:styleId="19">
    <w:name w:val="标题 3 Char"/>
    <w:basedOn w:val="16"/>
    <w:link w:val="9"/>
    <w:qFormat/>
    <w:uiPriority w:val="0"/>
    <w:rPr>
      <w:rFonts w:ascii="宋体" w:hAnsi="宋体" w:eastAsia="仿宋" w:cs="仿宋"/>
      <w:b/>
      <w:sz w:val="32"/>
      <w:szCs w:val="28"/>
    </w:rPr>
  </w:style>
  <w:style w:type="character" w:customStyle="1" w:styleId="20">
    <w:name w:val="页脚 Char"/>
    <w:basedOn w:val="16"/>
    <w:link w:val="12"/>
    <w:qFormat/>
    <w:uiPriority w:val="0"/>
    <w:rPr>
      <w:rFonts w:ascii="仿宋" w:hAnsi="仿宋" w:eastAsia="仿宋" w:cs="仿宋"/>
      <w:sz w:val="18"/>
      <w:szCs w:val="18"/>
    </w:rPr>
  </w:style>
  <w:style w:type="character" w:customStyle="1" w:styleId="21">
    <w:name w:val="批注框文本 Char"/>
    <w:basedOn w:val="16"/>
    <w:link w:val="11"/>
    <w:semiHidden/>
    <w:qFormat/>
    <w:uiPriority w:val="99"/>
    <w:rPr>
      <w:rFonts w:ascii="仿宋" w:hAnsi="仿宋" w:eastAsia="仿宋" w:cs="仿宋"/>
      <w:sz w:val="18"/>
      <w:szCs w:val="18"/>
    </w:rPr>
  </w:style>
  <w:style w:type="character" w:customStyle="1" w:styleId="22">
    <w:name w:val="页眉 Char"/>
    <w:basedOn w:val="16"/>
    <w:link w:val="13"/>
    <w:qFormat/>
    <w:uiPriority w:val="99"/>
    <w:rPr>
      <w:rFonts w:ascii="仿宋" w:hAnsi="仿宋" w:eastAsia="仿宋" w:cs="仿宋"/>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5544</Words>
  <Characters>5810</Characters>
  <Lines>68</Lines>
  <Paragraphs>19</Paragraphs>
  <TotalTime>1</TotalTime>
  <ScaleCrop>false</ScaleCrop>
  <LinksUpToDate>false</LinksUpToDate>
  <CharactersWithSpaces>5821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2023-04-04T07:03:00Z</dcterms:created>
  <dc:creator>小新</dc:creator>
  <cp:lastModifiedBy>周寒梅</cp:lastModifiedBy>
  <cp:lastPrinted>2023-04-25T02:25:00Z</cp:lastPrinted>
  <dcterms:modified xsi:type="dcterms:W3CDTF">2023-04-28T07:44:29Z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651C63C02BD048548C5090AF646BAA3B</vt:lpwstr>
  </property>
</Properties>
</file>