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sz w:val="28"/>
          <w:szCs w:val="28"/>
        </w:rPr>
      </w:pPr>
      <w:r>
        <w:rPr>
          <w:rFonts w:hint="eastAsia" w:ascii="宋体" w:hAnsi="宋体"/>
          <w:sz w:val="28"/>
          <w:szCs w:val="28"/>
        </w:rPr>
        <w:t>附件2：单位决算公开</w:t>
      </w:r>
    </w:p>
    <w:p>
      <w:pPr>
        <w:adjustRightInd w:val="0"/>
        <w:snapToGrid w:val="0"/>
        <w:spacing w:line="360" w:lineRule="auto"/>
        <w:rPr>
          <w:rFonts w:hint="eastAsia" w:ascii="华文中宋" w:hAnsi="华文中宋" w:eastAsia="华文中宋" w:cs="华文中宋"/>
          <w:b/>
          <w:sz w:val="52"/>
          <w:szCs w:val="84"/>
        </w:rPr>
      </w:pPr>
    </w:p>
    <w:p>
      <w:pPr>
        <w:adjustRightInd w:val="0"/>
        <w:snapToGrid w:val="0"/>
        <w:spacing w:line="360" w:lineRule="auto"/>
        <w:jc w:val="center"/>
        <w:rPr>
          <w:rFonts w:ascii="华文中宋" w:hAnsi="华文中宋" w:eastAsia="华文中宋" w:cs="华文中宋"/>
          <w:b/>
          <w:sz w:val="36"/>
          <w:szCs w:val="36"/>
        </w:rPr>
      </w:pPr>
      <w:r>
        <w:rPr>
          <w:rFonts w:hint="eastAsia" w:ascii="华文中宋" w:hAnsi="华文中宋" w:eastAsia="华文中宋" w:cs="华文中宋"/>
          <w:b/>
          <w:sz w:val="36"/>
          <w:szCs w:val="36"/>
        </w:rPr>
        <w:t>池州市贵池</w:t>
      </w:r>
      <w:r>
        <w:rPr>
          <w:rFonts w:hint="eastAsia" w:ascii="华文中宋" w:hAnsi="华文中宋" w:eastAsia="华文中宋" w:cs="华文中宋"/>
          <w:b/>
          <w:sz w:val="36"/>
          <w:szCs w:val="36"/>
          <w:lang w:eastAsia="zh-CN"/>
        </w:rPr>
        <w:t>区墩上街道办事处文广站</w:t>
      </w:r>
      <w:r>
        <w:rPr>
          <w:rFonts w:hint="eastAsia" w:ascii="华文中宋" w:hAnsi="华文中宋" w:eastAsia="华文中宋" w:cs="华文中宋"/>
          <w:b/>
          <w:sz w:val="36"/>
          <w:szCs w:val="36"/>
        </w:rPr>
        <w:t>单位2020年度单位决算</w:t>
      </w: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6"/>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2021年</w:t>
      </w:r>
      <w:r>
        <w:rPr>
          <w:rFonts w:hint="eastAsia" w:ascii="黑体" w:hAnsi="黑体" w:eastAsia="黑体"/>
          <w:bCs/>
          <w:sz w:val="44"/>
          <w:szCs w:val="44"/>
          <w:lang w:val="en-US" w:eastAsia="zh-CN"/>
        </w:rPr>
        <w:t>10</w:t>
      </w:r>
      <w:r>
        <w:rPr>
          <w:rFonts w:hint="eastAsia" w:ascii="黑体" w:hAnsi="黑体" w:eastAsia="黑体"/>
          <w:bCs/>
          <w:sz w:val="44"/>
          <w:szCs w:val="44"/>
        </w:rPr>
        <w:t>月</w:t>
      </w:r>
    </w:p>
    <w:p>
      <w:pPr>
        <w:spacing w:line="520" w:lineRule="exact"/>
        <w:jc w:val="center"/>
        <w:rPr>
          <w:rFonts w:hint="eastAsia" w:ascii="黑体" w:hAnsi="宋体" w:eastAsia="黑体"/>
          <w:bCs/>
          <w:sz w:val="48"/>
          <w:szCs w:val="48"/>
        </w:rPr>
      </w:pPr>
      <w:r>
        <w:rPr>
          <w:rFonts w:hint="eastAsia" w:ascii="黑体" w:hAnsi="宋体" w:eastAsia="黑体"/>
          <w:bCs/>
          <w:sz w:val="48"/>
          <w:szCs w:val="48"/>
        </w:rPr>
        <w:t>目  录</w:t>
      </w:r>
    </w:p>
    <w:p>
      <w:pPr>
        <w:spacing w:line="520" w:lineRule="exact"/>
        <w:rPr>
          <w:rFonts w:hint="eastAsia" w:ascii="宋体" w:hAnsi="宋体"/>
          <w:b/>
          <w:szCs w:val="32"/>
        </w:rPr>
      </w:pPr>
      <w:r>
        <w:rPr>
          <w:rFonts w:hint="eastAsia" w:ascii="宋体" w:hAnsi="宋体"/>
          <w:b/>
          <w:szCs w:val="32"/>
        </w:rPr>
        <w:t>第一部分</w:t>
      </w:r>
      <w:r>
        <w:rPr>
          <w:rFonts w:hint="eastAsia" w:ascii="宋体" w:hAnsi="宋体"/>
          <w:b/>
          <w:szCs w:val="32"/>
          <w:lang w:eastAsia="zh-CN"/>
        </w:rPr>
        <w:t>墩上街道办事处文广站</w:t>
      </w:r>
      <w:r>
        <w:rPr>
          <w:rFonts w:hint="eastAsia" w:ascii="宋体" w:hAnsi="宋体"/>
          <w:b/>
          <w:szCs w:val="32"/>
        </w:rPr>
        <w:t>单位概况</w:t>
      </w:r>
    </w:p>
    <w:p>
      <w:pPr>
        <w:spacing w:line="520" w:lineRule="exact"/>
        <w:rPr>
          <w:rFonts w:hint="eastAsia" w:ascii="宋体" w:hAnsi="宋体"/>
          <w:bCs/>
          <w:szCs w:val="32"/>
        </w:rPr>
      </w:pPr>
      <w:r>
        <w:rPr>
          <w:rFonts w:hint="eastAsia" w:ascii="宋体" w:hAnsi="宋体"/>
          <w:bCs/>
          <w:szCs w:val="32"/>
        </w:rPr>
        <w:t>一、主要职责</w:t>
      </w:r>
    </w:p>
    <w:p>
      <w:pPr>
        <w:tabs>
          <w:tab w:val="left" w:pos="3130"/>
        </w:tabs>
        <w:spacing w:line="520" w:lineRule="exact"/>
        <w:rPr>
          <w:rFonts w:hint="eastAsia" w:ascii="宋体" w:hAnsi="宋体"/>
          <w:bCs/>
          <w:color w:val="0000FF"/>
          <w:szCs w:val="32"/>
        </w:rPr>
      </w:pPr>
      <w:r>
        <w:rPr>
          <w:rFonts w:hint="eastAsia" w:ascii="宋体" w:hAnsi="宋体"/>
          <w:bCs/>
          <w:color w:val="0000FF"/>
          <w:szCs w:val="32"/>
        </w:rPr>
        <w:t>二、单位决算构成</w:t>
      </w:r>
    </w:p>
    <w:p>
      <w:pPr>
        <w:spacing w:line="520" w:lineRule="exact"/>
        <w:rPr>
          <w:rFonts w:hint="eastAsia" w:ascii="宋体" w:hAnsi="宋体"/>
          <w:b/>
          <w:szCs w:val="32"/>
        </w:rPr>
      </w:pPr>
      <w:r>
        <w:rPr>
          <w:rFonts w:hint="eastAsia" w:ascii="宋体" w:hAnsi="宋体"/>
          <w:b/>
          <w:szCs w:val="32"/>
        </w:rPr>
        <w:t xml:space="preserve">第二部分 </w:t>
      </w:r>
      <w:r>
        <w:rPr>
          <w:rFonts w:hint="eastAsia" w:ascii="宋体" w:hAnsi="宋体"/>
          <w:b/>
          <w:szCs w:val="32"/>
          <w:lang w:eastAsia="zh-CN"/>
        </w:rPr>
        <w:t>墩上街道办事处文广站</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决算表</w:t>
      </w:r>
    </w:p>
    <w:p>
      <w:pPr>
        <w:spacing w:line="520" w:lineRule="exact"/>
        <w:rPr>
          <w:rFonts w:hint="eastAsia" w:ascii="宋体" w:hAnsi="宋体"/>
          <w:bCs/>
          <w:szCs w:val="32"/>
        </w:rPr>
      </w:pPr>
      <w:r>
        <w:rPr>
          <w:rFonts w:hint="eastAsia" w:ascii="宋体" w:hAnsi="宋体"/>
          <w:bCs/>
          <w:szCs w:val="32"/>
        </w:rPr>
        <w:t>一、收入支出决算总表</w:t>
      </w:r>
    </w:p>
    <w:p>
      <w:pPr>
        <w:spacing w:line="520" w:lineRule="exact"/>
        <w:rPr>
          <w:rFonts w:hint="eastAsia" w:ascii="宋体" w:hAnsi="宋体"/>
          <w:bCs/>
          <w:szCs w:val="32"/>
        </w:rPr>
      </w:pPr>
      <w:r>
        <w:rPr>
          <w:rFonts w:hint="eastAsia" w:ascii="宋体" w:hAnsi="宋体"/>
          <w:bCs/>
          <w:szCs w:val="32"/>
        </w:rPr>
        <w:t>二、收入决算表</w:t>
      </w:r>
    </w:p>
    <w:p>
      <w:pPr>
        <w:spacing w:line="520" w:lineRule="exact"/>
        <w:rPr>
          <w:rFonts w:hint="eastAsia" w:ascii="宋体" w:hAnsi="宋体"/>
          <w:bCs/>
          <w:szCs w:val="32"/>
        </w:rPr>
      </w:pPr>
      <w:r>
        <w:rPr>
          <w:rFonts w:hint="eastAsia" w:ascii="宋体" w:hAnsi="宋体"/>
          <w:bCs/>
          <w:szCs w:val="32"/>
        </w:rPr>
        <w:t>三、支出决算表</w:t>
      </w:r>
    </w:p>
    <w:p>
      <w:pPr>
        <w:spacing w:line="520" w:lineRule="exact"/>
        <w:rPr>
          <w:rFonts w:hint="eastAsia" w:ascii="宋体" w:hAnsi="宋体"/>
          <w:bCs/>
          <w:szCs w:val="32"/>
        </w:rPr>
      </w:pPr>
      <w:r>
        <w:rPr>
          <w:rFonts w:hint="eastAsia" w:ascii="宋体" w:hAnsi="宋体"/>
          <w:bCs/>
          <w:szCs w:val="32"/>
        </w:rPr>
        <w:t>四、财政拨款收入支出决算总表</w:t>
      </w:r>
    </w:p>
    <w:p>
      <w:pPr>
        <w:spacing w:line="520" w:lineRule="exact"/>
        <w:rPr>
          <w:rFonts w:hint="eastAsia" w:ascii="宋体" w:hAnsi="宋体"/>
          <w:bCs/>
          <w:szCs w:val="32"/>
        </w:rPr>
      </w:pPr>
      <w:r>
        <w:rPr>
          <w:rFonts w:hint="eastAsia" w:ascii="宋体" w:hAnsi="宋体"/>
          <w:bCs/>
          <w:szCs w:val="32"/>
        </w:rPr>
        <w:t>五、一般公共预算财政拨款支出决算表</w:t>
      </w:r>
    </w:p>
    <w:p>
      <w:pPr>
        <w:spacing w:line="520" w:lineRule="exact"/>
        <w:rPr>
          <w:rFonts w:hint="eastAsia" w:ascii="宋体" w:hAnsi="宋体"/>
          <w:bCs/>
          <w:szCs w:val="32"/>
        </w:rPr>
      </w:pPr>
      <w:r>
        <w:rPr>
          <w:rFonts w:hint="eastAsia" w:ascii="宋体" w:hAnsi="宋体"/>
          <w:bCs/>
          <w:szCs w:val="32"/>
        </w:rPr>
        <w:t>六、一般公共预算财政拨款基本支出决算表</w:t>
      </w:r>
    </w:p>
    <w:p>
      <w:pPr>
        <w:spacing w:line="520" w:lineRule="exact"/>
        <w:rPr>
          <w:rFonts w:hint="eastAsia" w:ascii="宋体" w:hAnsi="宋体"/>
          <w:bCs/>
          <w:szCs w:val="32"/>
        </w:rPr>
      </w:pPr>
      <w:r>
        <w:rPr>
          <w:rFonts w:hint="eastAsia" w:ascii="宋体" w:hAnsi="宋体"/>
          <w:bCs/>
          <w:szCs w:val="32"/>
        </w:rPr>
        <w:t>七、政府性基金预算财政拨款收入支出决算表</w:t>
      </w:r>
    </w:p>
    <w:p>
      <w:pPr>
        <w:spacing w:line="520" w:lineRule="exact"/>
        <w:rPr>
          <w:rFonts w:hint="eastAsia" w:ascii="宋体" w:hAnsi="宋体"/>
          <w:bCs/>
          <w:szCs w:val="32"/>
        </w:rPr>
      </w:pPr>
      <w:r>
        <w:rPr>
          <w:rFonts w:hint="eastAsia" w:ascii="宋体" w:hAnsi="宋体"/>
          <w:bCs/>
          <w:szCs w:val="32"/>
        </w:rPr>
        <w:t>八、国有资本经营预算财政拨款支出决算表</w:t>
      </w:r>
    </w:p>
    <w:p>
      <w:pPr>
        <w:spacing w:line="520" w:lineRule="exact"/>
        <w:rPr>
          <w:rFonts w:hint="eastAsia" w:ascii="宋体" w:hAnsi="宋体"/>
          <w:b/>
          <w:szCs w:val="32"/>
        </w:rPr>
      </w:pPr>
      <w:r>
        <w:rPr>
          <w:rFonts w:hint="eastAsia" w:ascii="宋体" w:hAnsi="宋体"/>
          <w:b/>
          <w:szCs w:val="32"/>
        </w:rPr>
        <w:t xml:space="preserve">第三部分 </w:t>
      </w:r>
      <w:r>
        <w:rPr>
          <w:rFonts w:hint="eastAsia" w:ascii="宋体" w:hAnsi="宋体"/>
          <w:b/>
          <w:szCs w:val="32"/>
          <w:lang w:eastAsia="zh-CN"/>
        </w:rPr>
        <w:t>墩上街道办事处文广站</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决算情况说明</w:t>
      </w:r>
    </w:p>
    <w:p>
      <w:pPr>
        <w:spacing w:line="520" w:lineRule="exact"/>
        <w:rPr>
          <w:rFonts w:hint="eastAsia" w:ascii="宋体" w:hAnsi="宋体"/>
          <w:bCs/>
          <w:szCs w:val="32"/>
        </w:rPr>
      </w:pPr>
      <w:r>
        <w:rPr>
          <w:rFonts w:hint="eastAsia" w:ascii="宋体" w:hAnsi="宋体"/>
          <w:bCs/>
          <w:szCs w:val="32"/>
        </w:rPr>
        <w:t>一、收入支出决算总体情况说明</w:t>
      </w:r>
    </w:p>
    <w:p>
      <w:pPr>
        <w:spacing w:line="520" w:lineRule="exact"/>
        <w:rPr>
          <w:rFonts w:hint="eastAsia" w:ascii="宋体" w:hAnsi="宋体"/>
          <w:bCs/>
          <w:szCs w:val="32"/>
        </w:rPr>
      </w:pPr>
      <w:r>
        <w:rPr>
          <w:rFonts w:hint="eastAsia" w:ascii="宋体" w:hAnsi="宋体"/>
          <w:bCs/>
          <w:szCs w:val="32"/>
        </w:rPr>
        <w:t>二、收入决算情况说明</w:t>
      </w:r>
    </w:p>
    <w:p>
      <w:pPr>
        <w:spacing w:line="520" w:lineRule="exact"/>
        <w:rPr>
          <w:rFonts w:hint="eastAsia" w:ascii="宋体" w:hAnsi="宋体"/>
          <w:bCs/>
          <w:szCs w:val="32"/>
        </w:rPr>
      </w:pPr>
      <w:r>
        <w:rPr>
          <w:rFonts w:hint="eastAsia" w:ascii="宋体" w:hAnsi="宋体"/>
          <w:bCs/>
          <w:szCs w:val="32"/>
        </w:rPr>
        <w:t>三、支出决算情况说明</w:t>
      </w:r>
    </w:p>
    <w:p>
      <w:pPr>
        <w:spacing w:line="520" w:lineRule="exact"/>
        <w:rPr>
          <w:rFonts w:hint="eastAsia" w:ascii="宋体" w:hAnsi="宋体"/>
          <w:bCs/>
          <w:szCs w:val="32"/>
        </w:rPr>
      </w:pPr>
      <w:r>
        <w:rPr>
          <w:rFonts w:hint="eastAsia" w:ascii="宋体" w:hAnsi="宋体"/>
          <w:bCs/>
          <w:szCs w:val="32"/>
        </w:rPr>
        <w:t>四、财政拨款收入支出决算总体情况说明</w:t>
      </w:r>
    </w:p>
    <w:p>
      <w:pPr>
        <w:spacing w:line="520" w:lineRule="exact"/>
        <w:rPr>
          <w:rFonts w:hint="eastAsia" w:ascii="宋体" w:hAnsi="宋体"/>
          <w:bCs/>
          <w:szCs w:val="32"/>
        </w:rPr>
      </w:pPr>
      <w:r>
        <w:rPr>
          <w:rFonts w:hint="eastAsia" w:ascii="宋体" w:hAnsi="宋体"/>
          <w:bCs/>
          <w:szCs w:val="32"/>
        </w:rPr>
        <w:t>五、一般公共预算财政拨款支出决算情况说明</w:t>
      </w:r>
    </w:p>
    <w:p>
      <w:pPr>
        <w:spacing w:line="520" w:lineRule="exact"/>
        <w:rPr>
          <w:rFonts w:hint="eastAsia" w:ascii="宋体" w:hAnsi="宋体"/>
          <w:bCs/>
          <w:szCs w:val="32"/>
        </w:rPr>
      </w:pPr>
      <w:r>
        <w:rPr>
          <w:rFonts w:hint="eastAsia" w:ascii="宋体" w:hAnsi="宋体"/>
          <w:bCs/>
          <w:szCs w:val="32"/>
        </w:rPr>
        <w:t>六、一般公共预算财政拨款基本支出决算情况说明</w:t>
      </w:r>
    </w:p>
    <w:p>
      <w:pPr>
        <w:spacing w:line="520" w:lineRule="exact"/>
        <w:rPr>
          <w:rFonts w:hint="eastAsia" w:ascii="宋体" w:hAnsi="宋体"/>
          <w:bCs/>
          <w:szCs w:val="32"/>
        </w:rPr>
      </w:pPr>
      <w:r>
        <w:rPr>
          <w:rFonts w:hint="eastAsia" w:ascii="宋体" w:hAnsi="宋体"/>
          <w:bCs/>
          <w:szCs w:val="32"/>
        </w:rPr>
        <w:t>七、政府性基金财政拨款收入支出决算情况说明</w:t>
      </w:r>
    </w:p>
    <w:p>
      <w:pPr>
        <w:spacing w:line="520" w:lineRule="exact"/>
        <w:rPr>
          <w:rFonts w:hint="eastAsia" w:ascii="宋体" w:hAnsi="宋体"/>
          <w:bCs/>
          <w:szCs w:val="32"/>
        </w:rPr>
      </w:pPr>
      <w:r>
        <w:rPr>
          <w:rFonts w:hint="eastAsia" w:ascii="宋体" w:hAnsi="宋体"/>
          <w:bCs/>
          <w:szCs w:val="32"/>
        </w:rPr>
        <w:t>八、国有资本经营预算财政拨款支出决算情况说明</w:t>
      </w:r>
    </w:p>
    <w:p>
      <w:pPr>
        <w:spacing w:line="520" w:lineRule="exact"/>
        <w:rPr>
          <w:rFonts w:hint="eastAsia" w:ascii="宋体" w:hAnsi="宋体"/>
          <w:bCs/>
          <w:szCs w:val="32"/>
        </w:rPr>
      </w:pPr>
      <w:r>
        <w:rPr>
          <w:rFonts w:hint="eastAsia" w:ascii="宋体" w:hAnsi="宋体"/>
          <w:bCs/>
          <w:szCs w:val="32"/>
        </w:rPr>
        <w:t>九、其他重要事项情况说明</w:t>
      </w:r>
    </w:p>
    <w:p>
      <w:pPr>
        <w:spacing w:line="520" w:lineRule="exact"/>
        <w:rPr>
          <w:rFonts w:hint="eastAsia" w:ascii="宋体" w:hAnsi="宋体"/>
          <w:b/>
          <w:szCs w:val="32"/>
        </w:rPr>
      </w:pPr>
      <w:r>
        <w:rPr>
          <w:rFonts w:hint="eastAsia" w:ascii="宋体" w:hAnsi="宋体"/>
          <w:b/>
          <w:szCs w:val="32"/>
        </w:rPr>
        <w:t>第四部分  名词解释</w:t>
      </w:r>
    </w:p>
    <w:p>
      <w:pPr>
        <w:spacing w:line="520" w:lineRule="exact"/>
        <w:rPr>
          <w:rFonts w:ascii="宋体" w:hAnsi="宋体"/>
          <w:b/>
          <w:szCs w:val="32"/>
        </w:rPr>
      </w:pPr>
      <w:r>
        <w:rPr>
          <w:rFonts w:hint="eastAsia" w:ascii="宋体" w:hAnsi="宋体"/>
          <w:b/>
          <w:szCs w:val="32"/>
        </w:rPr>
        <w:t>第五部分  附件</w:t>
      </w:r>
    </w:p>
    <w:p>
      <w:pPr>
        <w:spacing w:line="520" w:lineRule="exact"/>
        <w:rPr>
          <w:rFonts w:hint="eastAsia" w:ascii="宋体" w:hAnsi="宋体"/>
          <w:b/>
          <w:szCs w:val="32"/>
        </w:rPr>
      </w:pPr>
    </w:p>
    <w:p>
      <w:pPr>
        <w:jc w:val="center"/>
        <w:rPr>
          <w:rFonts w:hint="eastAsia" w:ascii="宋体" w:hAnsi="宋体"/>
          <w:b/>
          <w:sz w:val="36"/>
          <w:szCs w:val="36"/>
        </w:rPr>
      </w:pPr>
      <w:r>
        <w:rPr>
          <w:rFonts w:hint="eastAsia" w:ascii="宋体" w:hAnsi="宋体"/>
          <w:b/>
          <w:sz w:val="36"/>
          <w:szCs w:val="36"/>
          <w:lang w:eastAsia="zh-CN"/>
        </w:rPr>
        <w:t>墩上街道办事处文广站</w:t>
      </w:r>
      <w:r>
        <w:rPr>
          <w:rFonts w:ascii="宋体" w:hAnsi="宋体"/>
          <w:b/>
          <w:sz w:val="36"/>
          <w:szCs w:val="36"/>
        </w:rPr>
        <w:t>2020年</w:t>
      </w:r>
      <w:r>
        <w:rPr>
          <w:rFonts w:hint="eastAsia" w:ascii="宋体" w:hAnsi="宋体"/>
          <w:b/>
          <w:sz w:val="36"/>
          <w:szCs w:val="36"/>
        </w:rPr>
        <w:t>度</w:t>
      </w:r>
      <w:r>
        <w:rPr>
          <w:rFonts w:hint="eastAsia" w:ascii="宋体" w:hAnsi="宋体"/>
          <w:b/>
          <w:color w:val="0000FF"/>
          <w:sz w:val="36"/>
          <w:szCs w:val="36"/>
        </w:rPr>
        <w:t>单位</w:t>
      </w:r>
      <w:r>
        <w:rPr>
          <w:rFonts w:hint="eastAsia" w:ascii="宋体" w:hAnsi="宋体"/>
          <w:b/>
          <w:sz w:val="36"/>
          <w:szCs w:val="36"/>
        </w:rPr>
        <w:t>决算</w:t>
      </w:r>
      <w:r>
        <w:rPr>
          <w:rFonts w:ascii="宋体" w:hAnsi="宋体"/>
          <w:b/>
          <w:sz w:val="36"/>
          <w:szCs w:val="36"/>
        </w:rPr>
        <w:t>情况</w:t>
      </w: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第一部分</w:t>
      </w:r>
      <w:r>
        <w:rPr>
          <w:rFonts w:hint="eastAsia" w:ascii="黑体" w:hAnsi="黑体" w:eastAsia="黑体"/>
          <w:szCs w:val="32"/>
          <w:lang w:eastAsia="zh-CN"/>
        </w:rPr>
        <w:t>墩上办事处文广站</w:t>
      </w:r>
      <w:r>
        <w:rPr>
          <w:rFonts w:hint="eastAsia" w:ascii="黑体" w:hAnsi="黑体" w:eastAsia="黑体"/>
          <w:szCs w:val="32"/>
        </w:rPr>
        <w:t>单位概况</w:t>
      </w:r>
    </w:p>
    <w:p>
      <w:pPr>
        <w:numPr>
          <w:ilvl w:val="0"/>
          <w:numId w:val="1"/>
        </w:numPr>
        <w:ind w:firstLine="640" w:firstLineChars="200"/>
        <w:rPr>
          <w:rFonts w:hint="eastAsia" w:ascii="黑体" w:hAnsi="黑体" w:eastAsia="黑体"/>
          <w:szCs w:val="32"/>
        </w:rPr>
      </w:pPr>
      <w:r>
        <w:rPr>
          <w:rFonts w:hint="eastAsia" w:ascii="黑体" w:hAnsi="黑体" w:eastAsia="黑体"/>
          <w:szCs w:val="32"/>
        </w:rPr>
        <w:t>主要职责</w:t>
      </w:r>
    </w:p>
    <w:p>
      <w:pPr>
        <w:numPr>
          <w:numId w:val="0"/>
        </w:numPr>
        <w:ind w:firstLine="640" w:firstLineChars="200"/>
        <w:rPr>
          <w:rFonts w:hint="eastAsia" w:ascii="仿宋" w:hAnsi="仿宋" w:eastAsia="仿宋" w:cs="仿宋"/>
          <w:szCs w:val="32"/>
          <w:lang w:val="en-US" w:eastAsia="zh-CN"/>
        </w:rPr>
      </w:pPr>
      <w:bookmarkStart w:id="0" w:name="_GoBack"/>
      <w:bookmarkEnd w:id="0"/>
      <w:r>
        <w:rPr>
          <w:rFonts w:hint="eastAsia" w:ascii="仿宋" w:hAnsi="仿宋" w:eastAsia="仿宋" w:cs="仿宋"/>
          <w:szCs w:val="32"/>
          <w:lang w:val="en-US" w:eastAsia="zh-CN"/>
        </w:rPr>
        <w:t>墩上街道办事处文广站位于墩上街道办事处内部，主要负责墩上街道各项文化及广播等各项事务的开展，积极支持农村文化的发展与传播，同时也积极开展各项有利于群众身心的文化活动，为群众创造更多享受精神文化成果的机会，陶冶群众情操，丰富人民群众的业余生活。</w:t>
      </w:r>
    </w:p>
    <w:p>
      <w:pPr>
        <w:ind w:firstLine="640" w:firstLineChars="200"/>
        <w:rPr>
          <w:rFonts w:hint="eastAsia" w:ascii="黑体" w:hAnsi="黑体" w:eastAsia="黑体"/>
          <w:szCs w:val="32"/>
        </w:rPr>
      </w:pPr>
      <w:r>
        <w:rPr>
          <w:rFonts w:hint="eastAsia" w:ascii="黑体" w:hAnsi="黑体" w:eastAsia="黑体"/>
          <w:szCs w:val="32"/>
        </w:rPr>
        <w:t>二、单位决算构成</w:t>
      </w:r>
    </w:p>
    <w:p>
      <w:pPr>
        <w:ind w:firstLine="640" w:firstLineChars="200"/>
        <w:rPr>
          <w:rFonts w:hint="eastAsia" w:ascii="仿宋_GB2312" w:hAnsi="仿宋"/>
          <w:szCs w:val="32"/>
        </w:rPr>
      </w:pPr>
      <w:r>
        <w:rPr>
          <w:rFonts w:hint="eastAsia" w:ascii="仿宋_GB2312" w:hAnsi="仿宋"/>
          <w:szCs w:val="32"/>
          <w:lang w:eastAsia="zh-CN"/>
        </w:rPr>
        <w:t>墩上办事处文广站</w:t>
      </w:r>
      <w:r>
        <w:rPr>
          <w:rFonts w:hint="eastAsia" w:ascii="仿宋_GB2312" w:hAnsi="仿宋"/>
          <w:szCs w:val="32"/>
        </w:rPr>
        <w:t>单位2020年度单位部门决算仅包括单位本级决算，无其他下属单位决算。</w:t>
      </w: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第二部分 </w:t>
      </w:r>
      <w:r>
        <w:rPr>
          <w:rFonts w:hint="eastAsia" w:ascii="黑体" w:hAnsi="黑体" w:eastAsia="黑体"/>
          <w:szCs w:val="32"/>
          <w:lang w:eastAsia="zh-CN"/>
        </w:rPr>
        <w:t>墩上办事处文广站</w:t>
      </w:r>
      <w:r>
        <w:rPr>
          <w:rFonts w:hint="eastAsia" w:ascii="黑体" w:hAnsi="黑体" w:eastAsia="黑体"/>
          <w:szCs w:val="32"/>
        </w:rPr>
        <w:t>单位2020年</w:t>
      </w:r>
      <w:r>
        <w:rPr>
          <w:rFonts w:hint="eastAsia" w:ascii="黑体" w:hAnsi="黑体" w:eastAsia="黑体"/>
          <w:color w:val="000000"/>
          <w:szCs w:val="32"/>
        </w:rPr>
        <w:t>度</w:t>
      </w:r>
      <w:r>
        <w:rPr>
          <w:rFonts w:hint="eastAsia" w:ascii="黑体" w:hAnsi="黑体" w:eastAsia="黑体"/>
          <w:szCs w:val="32"/>
        </w:rPr>
        <w:t>单位决算表</w:t>
      </w:r>
    </w:p>
    <w:p>
      <w:pPr>
        <w:ind w:firstLine="640" w:firstLineChars="200"/>
        <w:jc w:val="center"/>
        <w:rPr>
          <w:rFonts w:hint="eastAsia" w:ascii="黑体" w:hAnsi="黑体" w:eastAsia="黑体"/>
          <w:szCs w:val="32"/>
        </w:rPr>
      </w:pPr>
      <w:r>
        <w:rPr>
          <w:rFonts w:hint="eastAsia" w:ascii="黑体" w:hAnsi="黑体" w:eastAsia="黑体"/>
          <w:szCs w:val="32"/>
        </w:rPr>
        <w:t>收入支出决算总表</w:t>
      </w:r>
    </w:p>
    <w:tbl>
      <w:tblPr>
        <w:tblStyle w:val="7"/>
        <w:tblW w:w="0" w:type="auto"/>
        <w:tblInd w:w="93" w:type="dxa"/>
        <w:tblLayout w:type="fixed"/>
        <w:tblCellMar>
          <w:top w:w="15" w:type="dxa"/>
          <w:left w:w="108" w:type="dxa"/>
          <w:bottom w:w="15" w:type="dxa"/>
          <w:right w:w="108" w:type="dxa"/>
        </w:tblCellMar>
      </w:tblPr>
      <w:tblGrid>
        <w:gridCol w:w="2085"/>
        <w:gridCol w:w="1373"/>
        <w:gridCol w:w="1252"/>
        <w:gridCol w:w="2191"/>
        <w:gridCol w:w="1252"/>
        <w:gridCol w:w="1027"/>
      </w:tblGrid>
      <w:tr>
        <w:tblPrEx>
          <w:tblCellMar>
            <w:top w:w="15" w:type="dxa"/>
            <w:left w:w="108" w:type="dxa"/>
            <w:bottom w:w="15" w:type="dxa"/>
            <w:right w:w="108" w:type="dxa"/>
          </w:tblCellMar>
        </w:tblPrEx>
        <w:trPr>
          <w:trHeight w:val="267" w:hRule="atLeast"/>
        </w:trPr>
        <w:tc>
          <w:tcPr>
            <w:tcW w:w="2085" w:type="dxa"/>
            <w:vAlign w:val="bottom"/>
          </w:tcPr>
          <w:p>
            <w:pPr>
              <w:widowControl/>
              <w:jc w:val="left"/>
              <w:rPr>
                <w:rFonts w:ascii="Arial" w:hAnsi="Arial" w:eastAsia="宋体" w:cs="宋体"/>
                <w:color w:val="000000"/>
                <w:kern w:val="0"/>
                <w:sz w:val="20"/>
              </w:rPr>
            </w:pPr>
          </w:p>
        </w:tc>
        <w:tc>
          <w:tcPr>
            <w:tcW w:w="2625" w:type="dxa"/>
            <w:gridSpan w:val="2"/>
            <w:vAlign w:val="bottom"/>
          </w:tcPr>
          <w:p>
            <w:pPr>
              <w:widowControl/>
              <w:jc w:val="left"/>
              <w:rPr>
                <w:rFonts w:ascii="Arial" w:hAnsi="Arial" w:eastAsia="宋体" w:cs="宋体"/>
                <w:color w:val="000000"/>
                <w:kern w:val="0"/>
                <w:sz w:val="20"/>
              </w:rPr>
            </w:pPr>
          </w:p>
        </w:tc>
        <w:tc>
          <w:tcPr>
            <w:tcW w:w="2191" w:type="dxa"/>
            <w:vAlign w:val="bottom"/>
          </w:tcPr>
          <w:p>
            <w:pPr>
              <w:widowControl/>
              <w:jc w:val="left"/>
              <w:rPr>
                <w:rFonts w:ascii="Arial" w:hAnsi="Arial" w:eastAsia="宋体" w:cs="宋体"/>
                <w:color w:val="000000"/>
                <w:kern w:val="0"/>
                <w:sz w:val="20"/>
              </w:rPr>
            </w:pPr>
          </w:p>
        </w:tc>
        <w:tc>
          <w:tcPr>
            <w:tcW w:w="2279"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公开01表</w:t>
            </w:r>
          </w:p>
        </w:tc>
      </w:tr>
      <w:tr>
        <w:tblPrEx>
          <w:tblCellMar>
            <w:top w:w="15" w:type="dxa"/>
            <w:left w:w="108" w:type="dxa"/>
            <w:bottom w:w="15" w:type="dxa"/>
            <w:right w:w="108" w:type="dxa"/>
          </w:tblCellMar>
        </w:tblPrEx>
        <w:trPr>
          <w:trHeight w:val="248" w:hRule="atLeast"/>
        </w:trPr>
        <w:tc>
          <w:tcPr>
            <w:tcW w:w="2085" w:type="dxa"/>
            <w:tcBorders>
              <w:bottom w:val="single" w:color="auto" w:sz="4" w:space="0"/>
            </w:tcBorders>
            <w:vAlign w:val="bottom"/>
          </w:tcPr>
          <w:p>
            <w:pPr>
              <w:widowControl/>
              <w:jc w:val="left"/>
              <w:rPr>
                <w:rFonts w:ascii="宋体" w:hAnsi="宋体" w:eastAsia="宋体" w:cs="宋体"/>
                <w:color w:val="000000"/>
                <w:kern w:val="0"/>
                <w:sz w:val="20"/>
              </w:rPr>
            </w:pPr>
            <w:r>
              <w:rPr>
                <w:rFonts w:hint="eastAsia" w:ascii="宋体" w:hAnsi="宋体" w:eastAsia="宋体" w:cs="宋体"/>
                <w:kern w:val="0"/>
                <w:sz w:val="20"/>
              </w:rPr>
              <w:t>部门：</w:t>
            </w:r>
          </w:p>
        </w:tc>
        <w:tc>
          <w:tcPr>
            <w:tcW w:w="2625" w:type="dxa"/>
            <w:gridSpan w:val="2"/>
            <w:tcBorders>
              <w:bottom w:val="single" w:color="auto" w:sz="4" w:space="0"/>
            </w:tcBorders>
            <w:vAlign w:val="bottom"/>
          </w:tcPr>
          <w:p>
            <w:pPr>
              <w:widowControl/>
              <w:jc w:val="left"/>
              <w:rPr>
                <w:rFonts w:ascii="Arial" w:hAnsi="Arial" w:eastAsia="宋体" w:cs="宋体"/>
                <w:color w:val="000000"/>
                <w:kern w:val="0"/>
                <w:sz w:val="20"/>
              </w:rPr>
            </w:pPr>
          </w:p>
        </w:tc>
        <w:tc>
          <w:tcPr>
            <w:tcW w:w="2191"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2279"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270" w:hRule="atLeast"/>
        </w:trPr>
        <w:tc>
          <w:tcPr>
            <w:tcW w:w="471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447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支出</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ind w:firstLine="660" w:firstLineChars="3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栏 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一、一般公共预算财政拨款收入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二、政府性基金预算财政拨款收入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0"/>
              </w:rPr>
              <w:t>三、国有资本经营预算财政拨款收入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四、上级补助收入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五、事业收入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六、经营收入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七、附属单位上缴收入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七、文化旅游体育与传媒支出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r>
      <w:tr>
        <w:tblPrEx>
          <w:tblCellMar>
            <w:top w:w="15" w:type="dxa"/>
            <w:left w:w="108" w:type="dxa"/>
            <w:bottom w:w="15" w:type="dxa"/>
            <w:right w:w="108" w:type="dxa"/>
          </w:tblCellMar>
        </w:tblPrEx>
        <w:trPr>
          <w:trHeight w:val="284"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000000"/>
                <w:kern w:val="0"/>
                <w:sz w:val="22"/>
                <w:szCs w:val="22"/>
              </w:rPr>
            </w:pPr>
            <w:r>
              <w:rPr>
                <w:rFonts w:hint="eastAsia" w:ascii="宋体" w:hAnsi="宋体" w:eastAsia="宋体" w:cs="Arial"/>
                <w:color w:val="000000"/>
                <w:sz w:val="22"/>
                <w:szCs w:val="22"/>
              </w:rPr>
              <w:t>八、其他收入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八、社会保障和就业支出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十四、资源勘探信息等支出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十五、商业服务业等支出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十七、援助其他地区支出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十八、自然资源海洋气象等支出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二十、粮油物资储备支出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0"/>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Cs/>
                <w:color w:val="000000"/>
                <w:kern w:val="0"/>
                <w:sz w:val="22"/>
                <w:szCs w:val="22"/>
              </w:rPr>
            </w:pPr>
            <w:r>
              <w:rPr>
                <w:rFonts w:hint="eastAsia" w:ascii="宋体" w:hAnsi="宋体" w:eastAsia="宋体" w:cs="宋体"/>
                <w:color w:val="000000"/>
                <w:kern w:val="0"/>
                <w:sz w:val="22"/>
                <w:szCs w:val="22"/>
              </w:rPr>
              <w:t>二十四、债务还本支出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使用非财政拨款结余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结余分配</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年初结转和结余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年末结转和结余</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62"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9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r>
    </w:tbl>
    <w:p>
      <w:pPr>
        <w:ind w:firstLine="640" w:firstLineChars="200"/>
        <w:jc w:val="center"/>
        <w:rPr>
          <w:rFonts w:hint="eastAsia" w:ascii="黑体" w:hAnsi="黑体" w:eastAsia="黑体"/>
          <w:szCs w:val="32"/>
        </w:rPr>
      </w:pPr>
      <w:r>
        <w:rPr>
          <w:rFonts w:hint="eastAsia" w:ascii="黑体" w:hAnsi="黑体" w:eastAsia="黑体"/>
          <w:szCs w:val="32"/>
        </w:rPr>
        <w:t>收入决算表</w:t>
      </w:r>
    </w:p>
    <w:p>
      <w:pPr>
        <w:ind w:firstLine="640" w:firstLineChars="200"/>
        <w:rPr>
          <w:rFonts w:hint="eastAsia" w:ascii="宋体" w:hAnsi="宋体" w:eastAsia="宋体"/>
          <w:color w:val="FF0000"/>
          <w:sz w:val="20"/>
        </w:rPr>
      </w:pPr>
      <w:r>
        <w:rPr>
          <w:rFonts w:hint="eastAsia" w:ascii="黑体" w:hAnsi="黑体" w:eastAsia="黑体"/>
          <w:szCs w:val="32"/>
        </w:rPr>
        <w:t xml:space="preserve">                                             </w:t>
      </w:r>
    </w:p>
    <w:tbl>
      <w:tblPr>
        <w:tblStyle w:val="7"/>
        <w:tblW w:w="11283" w:type="dxa"/>
        <w:tblInd w:w="93" w:type="dxa"/>
        <w:tblLayout w:type="fixed"/>
        <w:tblCellMar>
          <w:top w:w="15" w:type="dxa"/>
          <w:left w:w="108" w:type="dxa"/>
          <w:bottom w:w="15" w:type="dxa"/>
          <w:right w:w="108" w:type="dxa"/>
        </w:tblCellMar>
      </w:tblPr>
      <w:tblGrid>
        <w:gridCol w:w="422"/>
        <w:gridCol w:w="422"/>
        <w:gridCol w:w="423"/>
        <w:gridCol w:w="1252"/>
        <w:gridCol w:w="939"/>
        <w:gridCol w:w="939"/>
        <w:gridCol w:w="939"/>
        <w:gridCol w:w="939"/>
        <w:gridCol w:w="1252"/>
        <w:gridCol w:w="313"/>
        <w:gridCol w:w="313"/>
        <w:gridCol w:w="939"/>
        <w:gridCol w:w="626"/>
        <w:gridCol w:w="1565"/>
      </w:tblGrid>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hint="eastAsia" w:ascii="宋体" w:hAnsi="宋体" w:eastAsia="宋体" w:cs="宋体"/>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wordWrap w:val="0"/>
              <w:jc w:val="right"/>
              <w:rPr>
                <w:rFonts w:hint="eastAsia" w:ascii="宋体" w:hAnsi="宋体" w:eastAsia="宋体" w:cs="宋体"/>
                <w:kern w:val="0"/>
                <w:sz w:val="20"/>
              </w:rPr>
            </w:pPr>
            <w:r>
              <w:rPr>
                <w:rFonts w:hint="eastAsia" w:ascii="宋体" w:hAnsi="宋体" w:eastAsia="宋体" w:cs="宋体"/>
                <w:kern w:val="0"/>
                <w:sz w:val="20"/>
              </w:rPr>
              <w:t xml:space="preserve"> </w:t>
            </w:r>
          </w:p>
        </w:tc>
        <w:tc>
          <w:tcPr>
            <w:tcW w:w="3443" w:type="dxa"/>
            <w:gridSpan w:val="4"/>
          </w:tcPr>
          <w:p>
            <w:pPr>
              <w:widowControl/>
              <w:tabs>
                <w:tab w:val="right" w:pos="3130"/>
              </w:tabs>
              <w:ind w:right="97" w:firstLine="500" w:firstLineChars="250"/>
              <w:rPr>
                <w:rFonts w:hint="eastAsia" w:ascii="宋体" w:hAnsi="宋体" w:eastAsia="宋体" w:cs="宋体"/>
                <w:kern w:val="0"/>
                <w:sz w:val="20"/>
              </w:rPr>
            </w:pPr>
            <w:r>
              <w:rPr>
                <w:rFonts w:hint="eastAsia" w:ascii="宋体" w:hAnsi="宋体" w:eastAsia="宋体" w:cs="宋体"/>
                <w:kern w:val="0"/>
                <w:sz w:val="20"/>
              </w:rPr>
              <w:t>公开02表</w:t>
            </w:r>
          </w:p>
        </w:tc>
      </w:tr>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ascii="Arial" w:hAnsi="Arial" w:eastAsia="宋体" w:cs="宋体"/>
                <w:kern w:val="0"/>
                <w:sz w:val="20"/>
              </w:rPr>
            </w:pPr>
            <w:r>
              <w:rPr>
                <w:rFonts w:hint="eastAsia" w:ascii="宋体" w:hAnsi="宋体" w:eastAsia="宋体" w:cs="宋体"/>
                <w:kern w:val="0"/>
                <w:sz w:val="20"/>
              </w:rPr>
              <w:t>部门：</w:t>
            </w: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ind w:right="60"/>
              <w:jc w:val="right"/>
              <w:rPr>
                <w:rFonts w:ascii="宋体" w:hAnsi="宋体" w:eastAsia="宋体" w:cs="宋体"/>
                <w:color w:val="000000"/>
                <w:kern w:val="0"/>
                <w:sz w:val="20"/>
              </w:rPr>
            </w:pPr>
          </w:p>
        </w:tc>
        <w:tc>
          <w:tcPr>
            <w:tcW w:w="3443" w:type="dxa"/>
            <w:gridSpan w:val="4"/>
          </w:tcPr>
          <w:p>
            <w:pPr>
              <w:widowControl/>
              <w:ind w:right="448"/>
              <w:rPr>
                <w:rFonts w:hint="eastAsia"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gridAfter w:val="1"/>
          <w:wAfter w:w="1565" w:type="dxa"/>
          <w:trHeight w:val="450" w:hRule="atLeast"/>
        </w:trPr>
        <w:tc>
          <w:tcPr>
            <w:tcW w:w="2519"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本年收入合计</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财政拨款收入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上级补助收入</w:t>
            </w:r>
          </w:p>
        </w:tc>
        <w:tc>
          <w:tcPr>
            <w:tcW w:w="219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事业收入</w:t>
            </w:r>
          </w:p>
        </w:tc>
        <w:tc>
          <w:tcPr>
            <w:tcW w:w="626" w:type="dxa"/>
            <w:gridSpan w:val="2"/>
            <w:vMerge w:val="restart"/>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经营</w:t>
            </w: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附属单位上缴收入</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其他</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r>
      <w:tr>
        <w:tblPrEx>
          <w:tblCellMar>
            <w:top w:w="15" w:type="dxa"/>
            <w:left w:w="108" w:type="dxa"/>
            <w:bottom w:w="15" w:type="dxa"/>
            <w:right w:w="108" w:type="dxa"/>
          </w:tblCellMar>
        </w:tblPrEx>
        <w:trPr>
          <w:gridAfter w:val="1"/>
          <w:wAfter w:w="1565" w:type="dxa"/>
          <w:trHeight w:val="355" w:hRule="atLeast"/>
        </w:trPr>
        <w:tc>
          <w:tcPr>
            <w:tcW w:w="126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小计</w:t>
            </w:r>
          </w:p>
        </w:tc>
        <w:tc>
          <w:tcPr>
            <w:tcW w:w="1252"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其中：教育</w:t>
            </w:r>
          </w:p>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收费</w:t>
            </w: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4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文化旅游体育与传媒支出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文化和旅游</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其他文化和旅游支出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支出决算表</w:t>
      </w:r>
    </w:p>
    <w:tbl>
      <w:tblPr>
        <w:tblStyle w:val="7"/>
        <w:tblW w:w="9420" w:type="dxa"/>
        <w:tblInd w:w="93" w:type="dxa"/>
        <w:tblLayout w:type="fixed"/>
        <w:tblCellMar>
          <w:top w:w="15" w:type="dxa"/>
          <w:left w:w="108" w:type="dxa"/>
          <w:bottom w:w="15" w:type="dxa"/>
          <w:right w:w="108" w:type="dxa"/>
        </w:tblCellMar>
      </w:tblPr>
      <w:tblGrid>
        <w:gridCol w:w="685"/>
        <w:gridCol w:w="922"/>
        <w:gridCol w:w="922"/>
        <w:gridCol w:w="1273"/>
        <w:gridCol w:w="964"/>
        <w:gridCol w:w="936"/>
        <w:gridCol w:w="993"/>
        <w:gridCol w:w="823"/>
        <w:gridCol w:w="950"/>
        <w:gridCol w:w="952"/>
      </w:tblGrid>
      <w:tr>
        <w:tblPrEx>
          <w:tblCellMar>
            <w:top w:w="15" w:type="dxa"/>
            <w:left w:w="108" w:type="dxa"/>
            <w:bottom w:w="15" w:type="dxa"/>
            <w:right w:w="108" w:type="dxa"/>
          </w:tblCellMar>
        </w:tblPrEx>
        <w:trPr>
          <w:trHeight w:val="285" w:hRule="atLeast"/>
        </w:trPr>
        <w:tc>
          <w:tcPr>
            <w:tcW w:w="685"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1273" w:type="dxa"/>
            <w:vAlign w:val="bottom"/>
          </w:tcPr>
          <w:p>
            <w:pPr>
              <w:widowControl/>
              <w:jc w:val="left"/>
              <w:rPr>
                <w:rFonts w:ascii="Arial" w:hAnsi="Arial" w:eastAsia="宋体" w:cs="宋体"/>
                <w:color w:val="000000"/>
                <w:kern w:val="0"/>
                <w:sz w:val="20"/>
              </w:rPr>
            </w:pPr>
          </w:p>
        </w:tc>
        <w:tc>
          <w:tcPr>
            <w:tcW w:w="964" w:type="dxa"/>
            <w:vAlign w:val="bottom"/>
          </w:tcPr>
          <w:p>
            <w:pPr>
              <w:widowControl/>
              <w:jc w:val="left"/>
              <w:rPr>
                <w:rFonts w:ascii="Arial" w:hAnsi="Arial" w:eastAsia="宋体" w:cs="宋体"/>
                <w:color w:val="000000"/>
                <w:kern w:val="0"/>
                <w:sz w:val="20"/>
              </w:rPr>
            </w:pPr>
          </w:p>
        </w:tc>
        <w:tc>
          <w:tcPr>
            <w:tcW w:w="936" w:type="dxa"/>
            <w:vAlign w:val="bottom"/>
          </w:tcPr>
          <w:p>
            <w:pPr>
              <w:widowControl/>
              <w:jc w:val="left"/>
              <w:rPr>
                <w:rFonts w:ascii="Arial" w:hAnsi="Arial" w:eastAsia="宋体" w:cs="宋体"/>
                <w:color w:val="000000"/>
                <w:kern w:val="0"/>
                <w:sz w:val="20"/>
              </w:rPr>
            </w:pPr>
          </w:p>
        </w:tc>
        <w:tc>
          <w:tcPr>
            <w:tcW w:w="993" w:type="dxa"/>
            <w:vAlign w:val="bottom"/>
          </w:tcPr>
          <w:p>
            <w:pPr>
              <w:widowControl/>
              <w:jc w:val="left"/>
              <w:rPr>
                <w:rFonts w:ascii="Arial" w:hAnsi="Arial" w:eastAsia="宋体" w:cs="宋体"/>
                <w:color w:val="000000"/>
                <w:kern w:val="0"/>
                <w:sz w:val="20"/>
              </w:rPr>
            </w:pPr>
          </w:p>
        </w:tc>
        <w:tc>
          <w:tcPr>
            <w:tcW w:w="823" w:type="dxa"/>
            <w:vAlign w:val="bottom"/>
          </w:tcPr>
          <w:p>
            <w:pPr>
              <w:widowControl/>
              <w:jc w:val="left"/>
              <w:rPr>
                <w:rFonts w:ascii="Arial" w:hAnsi="Arial" w:eastAsia="宋体" w:cs="宋体"/>
                <w:color w:val="000000"/>
                <w:kern w:val="0"/>
                <w:sz w:val="20"/>
              </w:rPr>
            </w:pPr>
          </w:p>
        </w:tc>
        <w:tc>
          <w:tcPr>
            <w:tcW w:w="1902"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公开03表</w:t>
            </w:r>
          </w:p>
        </w:tc>
      </w:tr>
      <w:tr>
        <w:tblPrEx>
          <w:tblCellMar>
            <w:top w:w="15" w:type="dxa"/>
            <w:left w:w="108" w:type="dxa"/>
            <w:bottom w:w="15" w:type="dxa"/>
            <w:right w:w="108" w:type="dxa"/>
          </w:tblCellMar>
        </w:tblPrEx>
        <w:trPr>
          <w:trHeight w:val="300" w:hRule="atLeast"/>
        </w:trPr>
        <w:tc>
          <w:tcPr>
            <w:tcW w:w="1607" w:type="dxa"/>
            <w:gridSpan w:val="2"/>
            <w:tcBorders>
              <w:bottom w:val="single" w:color="auto" w:sz="4" w:space="0"/>
            </w:tcBorders>
            <w:vAlign w:val="bottom"/>
          </w:tcPr>
          <w:p>
            <w:pPr>
              <w:widowControl/>
              <w:jc w:val="left"/>
              <w:rPr>
                <w:rFonts w:ascii="Arial" w:hAnsi="Arial" w:eastAsia="宋体" w:cs="宋体"/>
                <w:color w:val="000000"/>
                <w:kern w:val="0"/>
                <w:sz w:val="20"/>
              </w:rPr>
            </w:pPr>
            <w:r>
              <w:rPr>
                <w:rFonts w:hint="eastAsia" w:ascii="宋体" w:hAnsi="宋体" w:eastAsia="宋体" w:cs="宋体"/>
                <w:color w:val="000000"/>
                <w:kern w:val="0"/>
                <w:sz w:val="20"/>
              </w:rPr>
              <w:t>部门：</w:t>
            </w:r>
          </w:p>
        </w:tc>
        <w:tc>
          <w:tcPr>
            <w:tcW w:w="922" w:type="dxa"/>
            <w:tcBorders>
              <w:bottom w:val="single" w:color="auto" w:sz="4" w:space="0"/>
            </w:tcBorders>
            <w:vAlign w:val="bottom"/>
          </w:tcPr>
          <w:p>
            <w:pPr>
              <w:widowControl/>
              <w:jc w:val="left"/>
              <w:rPr>
                <w:rFonts w:ascii="Arial" w:hAnsi="Arial" w:eastAsia="宋体" w:cs="宋体"/>
                <w:color w:val="000000"/>
                <w:kern w:val="0"/>
                <w:sz w:val="20"/>
              </w:rPr>
            </w:pPr>
          </w:p>
        </w:tc>
        <w:tc>
          <w:tcPr>
            <w:tcW w:w="1273" w:type="dxa"/>
            <w:tcBorders>
              <w:bottom w:val="single" w:color="auto" w:sz="4" w:space="0"/>
            </w:tcBorders>
            <w:vAlign w:val="bottom"/>
          </w:tcPr>
          <w:p>
            <w:pPr>
              <w:widowControl/>
              <w:jc w:val="left"/>
              <w:rPr>
                <w:rFonts w:ascii="Arial" w:hAnsi="Arial" w:eastAsia="宋体" w:cs="宋体"/>
                <w:color w:val="000000"/>
                <w:kern w:val="0"/>
                <w:sz w:val="20"/>
              </w:rPr>
            </w:pPr>
          </w:p>
        </w:tc>
        <w:tc>
          <w:tcPr>
            <w:tcW w:w="964" w:type="dxa"/>
            <w:tcBorders>
              <w:bottom w:val="single" w:color="auto" w:sz="4" w:space="0"/>
            </w:tcBorders>
            <w:vAlign w:val="bottom"/>
          </w:tcPr>
          <w:p>
            <w:pPr>
              <w:widowControl/>
              <w:jc w:val="left"/>
              <w:rPr>
                <w:rFonts w:ascii="Arial" w:hAnsi="Arial" w:eastAsia="宋体" w:cs="宋体"/>
                <w:color w:val="000000"/>
                <w:kern w:val="0"/>
                <w:sz w:val="20"/>
              </w:rPr>
            </w:pPr>
          </w:p>
        </w:tc>
        <w:tc>
          <w:tcPr>
            <w:tcW w:w="936"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993" w:type="dxa"/>
            <w:tcBorders>
              <w:bottom w:val="single" w:color="auto" w:sz="4" w:space="0"/>
            </w:tcBorders>
            <w:vAlign w:val="bottom"/>
          </w:tcPr>
          <w:p>
            <w:pPr>
              <w:widowControl/>
              <w:jc w:val="left"/>
              <w:rPr>
                <w:rFonts w:ascii="Arial" w:hAnsi="Arial" w:eastAsia="宋体" w:cs="宋体"/>
                <w:color w:val="000000"/>
                <w:kern w:val="0"/>
                <w:sz w:val="20"/>
              </w:rPr>
            </w:pPr>
          </w:p>
        </w:tc>
        <w:tc>
          <w:tcPr>
            <w:tcW w:w="823" w:type="dxa"/>
            <w:tcBorders>
              <w:bottom w:val="single" w:color="auto" w:sz="4" w:space="0"/>
            </w:tcBorders>
            <w:vAlign w:val="bottom"/>
          </w:tcPr>
          <w:p>
            <w:pPr>
              <w:widowControl/>
              <w:jc w:val="left"/>
              <w:rPr>
                <w:rFonts w:ascii="Arial" w:hAnsi="Arial" w:eastAsia="宋体" w:cs="宋体"/>
                <w:color w:val="000000"/>
                <w:kern w:val="0"/>
                <w:sz w:val="20"/>
              </w:rPr>
            </w:pPr>
          </w:p>
        </w:tc>
        <w:tc>
          <w:tcPr>
            <w:tcW w:w="1902"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450" w:hRule="atLeast"/>
        </w:trPr>
        <w:tc>
          <w:tcPr>
            <w:tcW w:w="3802"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6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本年支出合计</w:t>
            </w:r>
          </w:p>
        </w:tc>
        <w:tc>
          <w:tcPr>
            <w:tcW w:w="9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9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c>
          <w:tcPr>
            <w:tcW w:w="82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上缴上级支出</w:t>
            </w:r>
          </w:p>
        </w:tc>
        <w:tc>
          <w:tcPr>
            <w:tcW w:w="9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经营支出</w:t>
            </w:r>
          </w:p>
        </w:tc>
        <w:tc>
          <w:tcPr>
            <w:tcW w:w="9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对附属单位补助支出</w:t>
            </w:r>
          </w:p>
        </w:tc>
      </w:tr>
      <w:tr>
        <w:tblPrEx>
          <w:tblCellMar>
            <w:top w:w="15" w:type="dxa"/>
            <w:left w:w="108" w:type="dxa"/>
            <w:bottom w:w="15" w:type="dxa"/>
            <w:right w:w="108" w:type="dxa"/>
          </w:tblCellMar>
        </w:tblPrEx>
        <w:trPr>
          <w:trHeight w:val="975"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6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8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6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文化旅游体育与传媒支出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宋体" w:hAnsi="宋体" w:eastAsia="宋体" w:cs="宋体"/>
                <w:color w:val="000000"/>
                <w:kern w:val="0"/>
                <w:sz w:val="22"/>
                <w:szCs w:val="22"/>
                <w:lang w:val="en-US" w:eastAsia="zh-CN"/>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文化和旅游</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2070199</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其他文化和旅游支出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财政拨款收入支出决算总表</w:t>
      </w:r>
    </w:p>
    <w:tbl>
      <w:tblPr>
        <w:tblStyle w:val="7"/>
        <w:tblW w:w="0" w:type="auto"/>
        <w:tblInd w:w="93" w:type="dxa"/>
        <w:tblLayout w:type="fixed"/>
        <w:tblCellMar>
          <w:top w:w="15" w:type="dxa"/>
          <w:left w:w="108" w:type="dxa"/>
          <w:bottom w:w="15" w:type="dxa"/>
          <w:right w:w="108" w:type="dxa"/>
        </w:tblCellMar>
      </w:tblPr>
      <w:tblGrid>
        <w:gridCol w:w="1381"/>
        <w:gridCol w:w="1625"/>
        <w:gridCol w:w="540"/>
        <w:gridCol w:w="470"/>
        <w:gridCol w:w="1894"/>
        <w:gridCol w:w="900"/>
        <w:gridCol w:w="1032"/>
        <w:gridCol w:w="1060"/>
      </w:tblGrid>
      <w:tr>
        <w:tblPrEx>
          <w:tblCellMar>
            <w:top w:w="15" w:type="dxa"/>
            <w:left w:w="108" w:type="dxa"/>
            <w:bottom w:w="15" w:type="dxa"/>
            <w:right w:w="108" w:type="dxa"/>
          </w:tblCellMar>
        </w:tblPrEx>
        <w:trPr>
          <w:trHeight w:val="242" w:hRule="atLeast"/>
        </w:trPr>
        <w:tc>
          <w:tcPr>
            <w:tcW w:w="1381" w:type="dxa"/>
            <w:vAlign w:val="bottom"/>
          </w:tcPr>
          <w:p>
            <w:pPr>
              <w:widowControl/>
              <w:jc w:val="left"/>
              <w:rPr>
                <w:rFonts w:ascii="Arial" w:hAnsi="Arial" w:eastAsia="宋体" w:cs="宋体"/>
                <w:kern w:val="0"/>
                <w:sz w:val="20"/>
              </w:rPr>
            </w:pPr>
          </w:p>
        </w:tc>
        <w:tc>
          <w:tcPr>
            <w:tcW w:w="2165" w:type="dxa"/>
            <w:gridSpan w:val="2"/>
            <w:vAlign w:val="bottom"/>
          </w:tcPr>
          <w:p>
            <w:pPr>
              <w:widowControl/>
              <w:jc w:val="left"/>
              <w:rPr>
                <w:rFonts w:ascii="Arial" w:hAnsi="Arial" w:eastAsia="宋体" w:cs="宋体"/>
                <w:color w:val="000000"/>
                <w:kern w:val="0"/>
                <w:sz w:val="20"/>
              </w:rPr>
            </w:pPr>
          </w:p>
        </w:tc>
        <w:tc>
          <w:tcPr>
            <w:tcW w:w="470" w:type="dxa"/>
            <w:vAlign w:val="bottom"/>
          </w:tcPr>
          <w:p>
            <w:pPr>
              <w:widowControl/>
              <w:jc w:val="left"/>
              <w:rPr>
                <w:rFonts w:ascii="Arial" w:hAnsi="Arial" w:eastAsia="宋体" w:cs="宋体"/>
                <w:color w:val="000000"/>
                <w:kern w:val="0"/>
                <w:sz w:val="20"/>
              </w:rPr>
            </w:pPr>
          </w:p>
        </w:tc>
        <w:tc>
          <w:tcPr>
            <w:tcW w:w="1894" w:type="dxa"/>
            <w:vAlign w:val="bottom"/>
          </w:tcPr>
          <w:p>
            <w:pPr>
              <w:widowControl/>
              <w:jc w:val="left"/>
              <w:rPr>
                <w:rFonts w:ascii="Arial" w:hAnsi="Arial" w:eastAsia="宋体" w:cs="宋体"/>
                <w:color w:val="000000"/>
                <w:kern w:val="0"/>
                <w:sz w:val="20"/>
              </w:rPr>
            </w:pPr>
          </w:p>
        </w:tc>
        <w:tc>
          <w:tcPr>
            <w:tcW w:w="2992" w:type="dxa"/>
            <w:gridSpan w:val="3"/>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公开04表</w:t>
            </w:r>
          </w:p>
        </w:tc>
      </w:tr>
      <w:tr>
        <w:tblPrEx>
          <w:tblCellMar>
            <w:top w:w="15" w:type="dxa"/>
            <w:left w:w="108" w:type="dxa"/>
            <w:bottom w:w="15" w:type="dxa"/>
            <w:right w:w="108" w:type="dxa"/>
          </w:tblCellMar>
        </w:tblPrEx>
        <w:trPr>
          <w:trHeight w:val="254" w:hRule="atLeast"/>
        </w:trPr>
        <w:tc>
          <w:tcPr>
            <w:tcW w:w="1381" w:type="dxa"/>
            <w:tcBorders>
              <w:bottom w:val="single" w:color="auto" w:sz="4" w:space="0"/>
            </w:tcBorders>
            <w:vAlign w:val="bottom"/>
          </w:tcPr>
          <w:p>
            <w:pPr>
              <w:widowControl/>
              <w:jc w:val="left"/>
              <w:rPr>
                <w:rFonts w:ascii="宋体" w:hAnsi="宋体" w:eastAsia="宋体" w:cs="宋体"/>
                <w:kern w:val="0"/>
                <w:sz w:val="20"/>
              </w:rPr>
            </w:pPr>
            <w:r>
              <w:rPr>
                <w:rFonts w:hint="eastAsia" w:ascii="宋体" w:hAnsi="宋体" w:eastAsia="宋体" w:cs="宋体"/>
                <w:kern w:val="0"/>
                <w:sz w:val="20"/>
              </w:rPr>
              <w:t>部门：</w:t>
            </w:r>
          </w:p>
        </w:tc>
        <w:tc>
          <w:tcPr>
            <w:tcW w:w="2165" w:type="dxa"/>
            <w:gridSpan w:val="2"/>
            <w:tcBorders>
              <w:bottom w:val="single" w:color="auto" w:sz="4" w:space="0"/>
            </w:tcBorders>
            <w:vAlign w:val="bottom"/>
          </w:tcPr>
          <w:p>
            <w:pPr>
              <w:widowControl/>
              <w:jc w:val="center"/>
              <w:rPr>
                <w:rFonts w:ascii="宋体" w:hAnsi="宋体" w:eastAsia="宋体" w:cs="宋体"/>
                <w:color w:val="000000"/>
                <w:kern w:val="0"/>
                <w:sz w:val="20"/>
              </w:rPr>
            </w:pPr>
          </w:p>
        </w:tc>
        <w:tc>
          <w:tcPr>
            <w:tcW w:w="470" w:type="dxa"/>
            <w:tcBorders>
              <w:bottom w:val="single" w:color="auto" w:sz="4" w:space="0"/>
            </w:tcBorders>
            <w:vAlign w:val="bottom"/>
          </w:tcPr>
          <w:p>
            <w:pPr>
              <w:widowControl/>
              <w:jc w:val="left"/>
              <w:rPr>
                <w:rFonts w:ascii="Arial" w:hAnsi="Arial" w:eastAsia="宋体" w:cs="宋体"/>
                <w:color w:val="000000"/>
                <w:kern w:val="0"/>
                <w:sz w:val="20"/>
              </w:rPr>
            </w:pPr>
          </w:p>
        </w:tc>
        <w:tc>
          <w:tcPr>
            <w:tcW w:w="1894" w:type="dxa"/>
            <w:tcBorders>
              <w:bottom w:val="single" w:color="auto" w:sz="4" w:space="0"/>
            </w:tcBorders>
            <w:vAlign w:val="bottom"/>
          </w:tcPr>
          <w:p>
            <w:pPr>
              <w:widowControl/>
              <w:jc w:val="left"/>
              <w:rPr>
                <w:rFonts w:ascii="Arial" w:hAnsi="Arial" w:eastAsia="宋体" w:cs="宋体"/>
                <w:color w:val="000000"/>
                <w:kern w:val="0"/>
                <w:sz w:val="20"/>
              </w:rPr>
            </w:pPr>
          </w:p>
        </w:tc>
        <w:tc>
          <w:tcPr>
            <w:tcW w:w="2992" w:type="dxa"/>
            <w:gridSpan w:val="3"/>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300" w:hRule="atLeast"/>
        </w:trPr>
        <w:tc>
          <w:tcPr>
            <w:tcW w:w="35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收入</w:t>
            </w:r>
          </w:p>
        </w:tc>
        <w:tc>
          <w:tcPr>
            <w:tcW w:w="5356"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支出</w:t>
            </w: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一般公共预算财政拨款</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政府性基金预算财政拨款</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国有资本经营预算财政拨款</w:t>
            </w: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FF"/>
                <w:kern w:val="0"/>
                <w:sz w:val="21"/>
                <w:szCs w:val="21"/>
              </w:rPr>
              <w:t>三、国有资本经营预算财政拨款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七</w:t>
            </w:r>
            <w:r>
              <w:rPr>
                <w:rFonts w:hint="eastAsia" w:ascii="宋体" w:hAnsi="宋体" w:eastAsia="宋体" w:cs="宋体"/>
                <w:color w:val="000000"/>
                <w:kern w:val="0"/>
                <w:sz w:val="22"/>
                <w:szCs w:val="22"/>
              </w:rPr>
              <w:t>、</w:t>
            </w:r>
            <w:r>
              <w:rPr>
                <w:rFonts w:hint="eastAsia" w:ascii="宋体" w:hAnsi="宋体" w:eastAsia="宋体" w:cs="宋体"/>
                <w:color w:val="000000"/>
                <w:kern w:val="0"/>
                <w:sz w:val="16"/>
                <w:szCs w:val="16"/>
              </w:rPr>
              <w:t>文化旅游体育与传媒支出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w:t>
            </w:r>
            <w:r>
              <w:rPr>
                <w:rFonts w:hint="eastAsia" w:ascii="宋体" w:hAnsi="宋体" w:eastAsia="宋体" w:cs="宋体"/>
                <w:color w:val="000000"/>
                <w:kern w:val="0"/>
                <w:sz w:val="16"/>
                <w:szCs w:val="16"/>
              </w:rPr>
              <w:t>社会保障和就业支出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9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十四、资源勘探信息等支出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6"/>
                <w:szCs w:val="16"/>
              </w:rPr>
            </w:pPr>
            <w:r>
              <w:rPr>
                <w:rFonts w:hint="eastAsia" w:ascii="宋体" w:hAnsi="宋体" w:eastAsia="宋体" w:cs="宋体"/>
                <w:color w:val="000000"/>
                <w:kern w:val="0"/>
                <w:sz w:val="16"/>
                <w:szCs w:val="16"/>
              </w:rPr>
              <w:t>十五、商业服务业等支出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十七、援助其他地区支出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十八、自然资源海洋气象等支出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1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二十、粮油物资储备支出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二十四、债务还本支出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年初财政拨款结转和结余</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16"/>
                <w:szCs w:val="16"/>
              </w:rPr>
            </w:pPr>
            <w:r>
              <w:rPr>
                <w:rFonts w:hint="eastAsia" w:ascii="宋体" w:hAnsi="宋体" w:eastAsia="宋体" w:cs="宋体"/>
                <w:color w:val="000000"/>
                <w:kern w:val="0"/>
                <w:sz w:val="16"/>
                <w:szCs w:val="16"/>
              </w:rPr>
              <w:t>年末财政拨款结转和结余</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8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 xml:space="preserve"> </w:t>
            </w:r>
            <w:r>
              <w:rPr>
                <w:rFonts w:hint="eastAsia" w:ascii="宋体" w:hAnsi="宋体" w:eastAsia="宋体" w:cs="宋体"/>
                <w:b/>
                <w:bCs/>
                <w:color w:val="0000FF"/>
                <w:kern w:val="0"/>
                <w:sz w:val="22"/>
                <w:szCs w:val="22"/>
              </w:rPr>
              <w:t xml:space="preserve"> </w:t>
            </w:r>
            <w:r>
              <w:rPr>
                <w:rFonts w:hint="eastAsia" w:ascii="宋体" w:hAnsi="宋体" w:eastAsia="宋体" w:cs="宋体"/>
                <w:color w:val="0000FF"/>
                <w:kern w:val="0"/>
                <w:sz w:val="22"/>
                <w:szCs w:val="22"/>
              </w:rPr>
              <w:t>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72.8</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一般公共预算财政拨款支出决算表</w:t>
      </w:r>
    </w:p>
    <w:tbl>
      <w:tblPr>
        <w:tblStyle w:val="7"/>
        <w:tblW w:w="8779" w:type="dxa"/>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ind w:firstLine="7276" w:firstLineChars="3638"/>
              <w:jc w:val="left"/>
              <w:rPr>
                <w:rFonts w:ascii="Arial" w:hAnsi="Arial" w:eastAsia="宋体" w:cs="宋体"/>
                <w:color w:val="000000"/>
                <w:kern w:val="0"/>
                <w:sz w:val="20"/>
              </w:rPr>
            </w:pPr>
            <w:r>
              <w:rPr>
                <w:rFonts w:hint="eastAsia" w:ascii="宋体" w:hAnsi="宋体" w:eastAsia="宋体" w:cs="宋体"/>
                <w:color w:val="000000"/>
                <w:kern w:val="0"/>
                <w:sz w:val="20"/>
              </w:rPr>
              <w:t xml:space="preserve">     公开05表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left"/>
              <w:rPr>
                <w:rFonts w:ascii="Arial" w:hAnsi="Arial" w:eastAsia="宋体" w:cs="宋体"/>
                <w:color w:val="000000"/>
                <w:kern w:val="0"/>
                <w:sz w:val="20"/>
              </w:rPr>
            </w:pPr>
            <w:r>
              <w:rPr>
                <w:rFonts w:hint="eastAsia" w:ascii="宋体" w:hAnsi="宋体" w:eastAsia="宋体" w:cs="宋体"/>
                <w:kern w:val="0"/>
                <w:sz w:val="20"/>
              </w:rPr>
              <w:t xml:space="preserve">部门：                                                                   </w:t>
            </w: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FF"/>
                <w:kern w:val="0"/>
                <w:sz w:val="22"/>
                <w:szCs w:val="22"/>
              </w:rPr>
            </w:pPr>
            <w:r>
              <w:rPr>
                <w:rFonts w:hint="eastAsia" w:ascii="宋体" w:hAnsi="宋体" w:eastAsia="宋体" w:cs="宋体"/>
                <w:color w:val="0000FF"/>
                <w:kern w:val="0"/>
                <w:sz w:val="22"/>
                <w:szCs w:val="22"/>
              </w:rPr>
              <w:t>功能分类</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70"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b/>
                <w:bCs/>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文化旅游体育与传媒支出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文化和旅游</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1"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2070199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其他文化和旅游支出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72.8</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53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03"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jc w:val="center"/>
        <w:rPr>
          <w:rFonts w:hint="eastAsia" w:ascii="黑体" w:hAnsi="黑体" w:eastAsia="黑体"/>
          <w:szCs w:val="32"/>
        </w:rPr>
      </w:pPr>
      <w:r>
        <w:rPr>
          <w:rFonts w:hint="eastAsia" w:ascii="黑体" w:hAnsi="黑体" w:eastAsia="黑体"/>
          <w:szCs w:val="32"/>
        </w:rPr>
        <w:t>一般公共预算财政拨款基本支出决算表</w:t>
      </w:r>
    </w:p>
    <w:tbl>
      <w:tblPr>
        <w:tblStyle w:val="7"/>
        <w:tblW w:w="0" w:type="auto"/>
        <w:tblInd w:w="93" w:type="dxa"/>
        <w:tblLayout w:type="fixed"/>
        <w:tblCellMar>
          <w:top w:w="0" w:type="dxa"/>
          <w:left w:w="108" w:type="dxa"/>
          <w:bottom w:w="0" w:type="dxa"/>
          <w:right w:w="108" w:type="dxa"/>
        </w:tblCellMar>
      </w:tblPr>
      <w:tblGrid>
        <w:gridCol w:w="651"/>
        <w:gridCol w:w="2266"/>
        <w:gridCol w:w="555"/>
        <w:gridCol w:w="651"/>
        <w:gridCol w:w="1638"/>
        <w:gridCol w:w="536"/>
        <w:gridCol w:w="651"/>
        <w:gridCol w:w="2301"/>
        <w:gridCol w:w="469"/>
        <w:gridCol w:w="469"/>
      </w:tblGrid>
      <w:tr>
        <w:tblPrEx>
          <w:tblCellMar>
            <w:top w:w="0" w:type="dxa"/>
            <w:left w:w="108" w:type="dxa"/>
            <w:bottom w:w="0" w:type="dxa"/>
            <w:right w:w="108" w:type="dxa"/>
          </w:tblCellMar>
        </w:tblPrEx>
        <w:trPr>
          <w:gridAfter w:val="1"/>
          <w:wAfter w:w="469" w:type="dxa"/>
          <w:trHeight w:val="225" w:hRule="atLeast"/>
        </w:trPr>
        <w:tc>
          <w:tcPr>
            <w:tcW w:w="651"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2266"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555"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1638"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536"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2770" w:type="dxa"/>
            <w:gridSpan w:val="2"/>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p>
            <w:pPr>
              <w:widowControl/>
              <w:ind w:right="97"/>
              <w:jc w:val="right"/>
              <w:rPr>
                <w:rFonts w:ascii="宋体" w:hAnsi="宋体" w:eastAsia="宋体" w:cs="宋体"/>
                <w:color w:val="000000"/>
                <w:kern w:val="0"/>
                <w:sz w:val="20"/>
              </w:rPr>
            </w:pPr>
            <w:r>
              <w:rPr>
                <w:rFonts w:hint="eastAsia" w:ascii="宋体" w:hAnsi="宋体" w:eastAsia="宋体" w:cs="宋体"/>
                <w:color w:val="000000"/>
                <w:kern w:val="0"/>
                <w:sz w:val="20"/>
              </w:rPr>
              <w:t>公开06表</w:t>
            </w:r>
          </w:p>
        </w:tc>
      </w:tr>
      <w:tr>
        <w:tblPrEx>
          <w:tblCellMar>
            <w:top w:w="0" w:type="dxa"/>
            <w:left w:w="108" w:type="dxa"/>
            <w:bottom w:w="0" w:type="dxa"/>
            <w:right w:w="108" w:type="dxa"/>
          </w:tblCellMar>
        </w:tblPrEx>
        <w:trPr>
          <w:gridAfter w:val="1"/>
          <w:wAfter w:w="469" w:type="dxa"/>
          <w:trHeight w:val="240" w:hRule="atLeast"/>
        </w:trPr>
        <w:tc>
          <w:tcPr>
            <w:tcW w:w="2917" w:type="dxa"/>
            <w:gridSpan w:val="2"/>
            <w:tcBorders>
              <w:top w:val="nil"/>
              <w:left w:val="nil"/>
              <w:bottom w:val="nil"/>
              <w:right w:val="nil"/>
            </w:tcBorders>
            <w:vAlign w:val="center"/>
          </w:tcPr>
          <w:p>
            <w:pPr>
              <w:widowControl/>
              <w:jc w:val="left"/>
              <w:rPr>
                <w:rFonts w:ascii="Arial" w:hAnsi="Arial" w:eastAsia="宋体" w:cs="Arial"/>
                <w:color w:val="000000"/>
                <w:kern w:val="0"/>
                <w:sz w:val="20"/>
              </w:rPr>
            </w:pPr>
            <w:r>
              <w:rPr>
                <w:rFonts w:ascii="Arial" w:hAnsi="Arial" w:eastAsia="宋体" w:cs="Arial"/>
                <w:color w:val="000000"/>
                <w:kern w:val="0"/>
                <w:sz w:val="20"/>
              </w:rPr>
              <w:t>部门：</w:t>
            </w:r>
          </w:p>
        </w:tc>
        <w:tc>
          <w:tcPr>
            <w:tcW w:w="555"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1638"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536"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2770" w:type="dxa"/>
            <w:gridSpan w:val="2"/>
            <w:tcBorders>
              <w:top w:val="nil"/>
              <w:left w:val="nil"/>
              <w:bottom w:val="nil"/>
              <w:right w:val="nil"/>
            </w:tcBorders>
            <w:vAlign w:val="center"/>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0" w:type="dxa"/>
            <w:left w:w="108" w:type="dxa"/>
            <w:bottom w:w="0" w:type="dxa"/>
            <w:right w:w="108" w:type="dxa"/>
          </w:tblCellMar>
        </w:tblPrEx>
        <w:trPr>
          <w:gridAfter w:val="1"/>
          <w:wAfter w:w="469" w:type="dxa"/>
          <w:trHeight w:val="495" w:hRule="atLeast"/>
        </w:trPr>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26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55"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1638"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3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301"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469" w:type="dxa"/>
            <w:tcBorders>
              <w:top w:val="single" w:color="auto" w:sz="8" w:space="0"/>
              <w:left w:val="nil"/>
              <w:bottom w:val="single" w:color="auto" w:sz="4" w:space="0"/>
              <w:right w:val="single" w:color="auto" w:sz="8"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72.8</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债务利息及费用支出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基本工资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20.3</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津贴补贴</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31.29</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印刷费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0.05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咨询费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伙食补助费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4.95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手续费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绩效工资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4.81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水费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机关事业单位基本养老保险费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6.58</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房屋建筑物购建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职业年金缴费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0.45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邮电费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职工基本医疗保险缴费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2.87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取暖费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公务员医疗补助缴费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物业管理费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基础设施建设</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其他社会保障缴费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差旅费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大型修缮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住房公积金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因公出国（境）费用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信息网络及软件购置更新</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维修（护）费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物资储备</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租赁费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土地补偿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对个人和家庭的补助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会议费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安置补助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离休费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培训费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地上附着物和青苗补偿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公务接待费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拆迁补偿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退职（役）费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专用材料费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公务用车购置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抚恤金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被装购置费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其他交通工具购置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30305</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生活补助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专用燃料费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文物和陈列品购置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救济费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劳务费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无形资产购置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委托业务费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助学金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工会经费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奖励金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福利费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资本金注入</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个人农业生产补贴</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公务用车运行维护费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政府投资基金股权投资</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30311</w:t>
            </w:r>
          </w:p>
        </w:tc>
        <w:tc>
          <w:tcPr>
            <w:tcW w:w="2266"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代缴社会保险费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费用补贴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对其他个人和家庭的补助支出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30240</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税金及附加费用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利息补贴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30299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赠与</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国家赔偿费用支出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对民间非营利组织和群众性自治组织补贴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trHeight w:val="222" w:hRule="atLeast"/>
        </w:trPr>
        <w:tc>
          <w:tcPr>
            <w:tcW w:w="2917"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469" w:type="dxa"/>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2917" w:type="dxa"/>
            <w:gridSpan w:val="2"/>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人员经费合计</w:t>
            </w:r>
          </w:p>
        </w:tc>
        <w:tc>
          <w:tcPr>
            <w:tcW w:w="555" w:type="dxa"/>
            <w:tcBorders>
              <w:top w:val="nil"/>
              <w:left w:val="nil"/>
              <w:bottom w:val="single" w:color="auto" w:sz="8"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72.8</w:t>
            </w:r>
          </w:p>
        </w:tc>
        <w:tc>
          <w:tcPr>
            <w:tcW w:w="5777" w:type="dxa"/>
            <w:gridSpan w:val="5"/>
            <w:tcBorders>
              <w:top w:val="single" w:color="auto" w:sz="4" w:space="0"/>
              <w:left w:val="nil"/>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公用经费合计</w:t>
            </w:r>
          </w:p>
        </w:tc>
        <w:tc>
          <w:tcPr>
            <w:tcW w:w="469" w:type="dxa"/>
            <w:tcBorders>
              <w:top w:val="nil"/>
              <w:left w:val="nil"/>
              <w:bottom w:val="single" w:color="auto" w:sz="8"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bl>
    <w:p>
      <w:pPr>
        <w:rPr>
          <w:rFonts w:hint="eastAsia"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r>
        <w:rPr>
          <w:rFonts w:hint="eastAsia" w:ascii="黑体" w:hAnsi="黑体" w:eastAsia="黑体"/>
          <w:szCs w:val="32"/>
        </w:rPr>
        <w:t>政府性基金预算财政拨款收入支出决算表</w:t>
      </w:r>
    </w:p>
    <w:p>
      <w:pPr>
        <w:jc w:val="right"/>
        <w:rPr>
          <w:rFonts w:hint="eastAsia" w:ascii="黑体" w:hAnsi="黑体" w:eastAsia="黑体"/>
          <w:sz w:val="20"/>
        </w:rPr>
      </w:pPr>
      <w:r>
        <w:rPr>
          <w:rFonts w:hint="eastAsia" w:ascii="黑体" w:hAnsi="黑体" w:eastAsia="黑体"/>
          <w:sz w:val="20"/>
        </w:rPr>
        <w:t xml:space="preserve">                                                                                  </w:t>
      </w:r>
      <w:r>
        <w:rPr>
          <w:rFonts w:hint="eastAsia" w:ascii="宋体" w:hAnsi="宋体" w:eastAsia="宋体" w:cs="宋体"/>
          <w:color w:val="000000"/>
          <w:kern w:val="0"/>
          <w:sz w:val="20"/>
        </w:rPr>
        <w:t>公开07表</w:t>
      </w:r>
    </w:p>
    <w:tbl>
      <w:tblPr>
        <w:tblStyle w:val="7"/>
        <w:tblW w:w="0" w:type="auto"/>
        <w:tblInd w:w="93" w:type="dxa"/>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CellMar>
            <w:top w:w="0" w:type="dxa"/>
            <w:left w:w="108" w:type="dxa"/>
            <w:bottom w:w="0" w:type="dxa"/>
            <w:right w:w="108" w:type="dxa"/>
          </w:tblCellMar>
        </w:tblPrEx>
        <w:trPr>
          <w:trHeight w:val="255" w:hRule="atLeast"/>
        </w:trPr>
        <w:tc>
          <w:tcPr>
            <w:tcW w:w="860" w:type="dxa"/>
            <w:gridSpan w:val="2"/>
            <w:tcBorders>
              <w:top w:val="nil"/>
              <w:left w:val="nil"/>
              <w:bottom w:val="nil"/>
              <w:right w:val="nil"/>
            </w:tcBorders>
            <w:vAlign w:val="bottom"/>
          </w:tcPr>
          <w:p>
            <w:pPr>
              <w:widowControl/>
              <w:jc w:val="left"/>
              <w:rPr>
                <w:rFonts w:ascii="宋体" w:hAnsi="宋体" w:eastAsia="宋体" w:cs="Arial"/>
                <w:color w:val="000000"/>
                <w:kern w:val="0"/>
                <w:sz w:val="20"/>
              </w:rPr>
            </w:pPr>
            <w:r>
              <w:rPr>
                <w:rFonts w:hint="eastAsia" w:ascii="宋体" w:hAnsi="宋体" w:eastAsia="宋体" w:cs="Arial"/>
                <w:color w:val="000000"/>
                <w:kern w:val="0"/>
                <w:sz w:val="20"/>
              </w:rPr>
              <w:t>部门：</w:t>
            </w: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6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82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1760" w:type="dxa"/>
            <w:gridSpan w:val="2"/>
            <w:tcBorders>
              <w:top w:val="nil"/>
              <w:left w:val="nil"/>
              <w:bottom w:val="nil"/>
              <w:right w:val="nil"/>
            </w:tcBorders>
            <w:vAlign w:val="bottom"/>
          </w:tcPr>
          <w:p>
            <w:pPr>
              <w:widowControl/>
              <w:jc w:val="right"/>
              <w:rPr>
                <w:rFonts w:ascii="宋体" w:hAnsi="宋体" w:eastAsia="宋体" w:cs="Arial"/>
                <w:color w:val="000000"/>
                <w:kern w:val="0"/>
                <w:sz w:val="20"/>
              </w:rPr>
            </w:pPr>
            <w:r>
              <w:rPr>
                <w:rFonts w:hint="eastAsia" w:ascii="宋体" w:hAnsi="宋体" w:eastAsia="宋体" w:cs="Arial"/>
                <w:color w:val="000000"/>
                <w:kern w:val="0"/>
                <w:sz w:val="20"/>
              </w:rPr>
              <w:t>单位：万元</w:t>
            </w:r>
          </w:p>
        </w:tc>
      </w:tr>
      <w:tr>
        <w:tblPrEx>
          <w:tblCellMar>
            <w:top w:w="0" w:type="dxa"/>
            <w:left w:w="108" w:type="dxa"/>
            <w:bottom w:w="0" w:type="dxa"/>
            <w:right w:w="108" w:type="dxa"/>
          </w:tblCellMar>
        </w:tblPrEx>
        <w:trPr>
          <w:trHeight w:val="465" w:hRule="atLeast"/>
        </w:trPr>
        <w:tc>
          <w:tcPr>
            <w:tcW w:w="1290" w:type="dxa"/>
            <w:gridSpan w:val="3"/>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Arial"/>
                <w:color w:val="0000FF"/>
                <w:kern w:val="0"/>
                <w:sz w:val="22"/>
                <w:szCs w:val="22"/>
              </w:rPr>
            </w:pPr>
            <w:r>
              <w:rPr>
                <w:rFonts w:hint="eastAsia" w:ascii="宋体" w:hAnsi="宋体" w:eastAsia="宋体" w:cs="Arial"/>
                <w:color w:val="0000FF"/>
                <w:kern w:val="0"/>
                <w:sz w:val="22"/>
                <w:szCs w:val="22"/>
              </w:rPr>
              <w:t>功能分类</w:t>
            </w:r>
          </w:p>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540"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168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年初结转和结余</w:t>
            </w:r>
          </w:p>
        </w:tc>
        <w:tc>
          <w:tcPr>
            <w:tcW w:w="134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本年收入</w:t>
            </w:r>
          </w:p>
        </w:tc>
        <w:tc>
          <w:tcPr>
            <w:tcW w:w="129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c>
          <w:tcPr>
            <w:tcW w:w="3040" w:type="dxa"/>
            <w:gridSpan w:val="4"/>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年末结转和结余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5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64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c>
          <w:tcPr>
            <w:tcW w:w="4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82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1760" w:type="dxa"/>
            <w:gridSpan w:val="2"/>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r>
      <w:tr>
        <w:tblPrEx>
          <w:tblCellMar>
            <w:top w:w="0" w:type="dxa"/>
            <w:left w:w="108" w:type="dxa"/>
            <w:bottom w:w="0" w:type="dxa"/>
            <w:right w:w="108" w:type="dxa"/>
          </w:tblCellMar>
        </w:tblPrEx>
        <w:trPr>
          <w:trHeight w:val="312"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w:t>
            </w: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540" w:type="dxa"/>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r>
      <w:tr>
        <w:tblPrEx>
          <w:tblCellMar>
            <w:top w:w="0" w:type="dxa"/>
            <w:left w:w="108" w:type="dxa"/>
            <w:bottom w:w="0" w:type="dxa"/>
            <w:right w:w="108" w:type="dxa"/>
          </w:tblCellMar>
        </w:tblPrEx>
        <w:trPr>
          <w:trHeight w:val="50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9"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bl>
    <w:p>
      <w:pPr>
        <w:rPr>
          <w:rFonts w:hint="eastAsia" w:ascii="黑体" w:hAnsi="黑体" w:eastAsia="黑体"/>
          <w:sz w:val="20"/>
        </w:rPr>
      </w:pPr>
    </w:p>
    <w:p>
      <w:pPr>
        <w:jc w:val="center"/>
        <w:rPr>
          <w:rFonts w:hint="eastAsia" w:ascii="黑体" w:hAnsi="黑体" w:eastAsia="黑体"/>
          <w:szCs w:val="32"/>
        </w:rPr>
      </w:pPr>
    </w:p>
    <w:p>
      <w:pPr>
        <w:rPr>
          <w:rFonts w:hint="eastAsia" w:eastAsia="楷体_GB2312"/>
          <w:sz w:val="20"/>
          <w:lang w:eastAsia="zh-CN"/>
        </w:rPr>
      </w:pPr>
      <w:r>
        <w:rPr>
          <w:rFonts w:hint="eastAsia"/>
          <w:szCs w:val="32"/>
          <w:lang w:eastAsia="zh-CN"/>
        </w:rPr>
        <w:t>池州市贵池区人民政府墩上街道文广站</w:t>
      </w:r>
      <w:r>
        <w:rPr>
          <w:szCs w:val="32"/>
        </w:rPr>
        <w:t>没有政府性基金收入，也没有使用政府性基金安排的支出，故本表无数据</w:t>
      </w:r>
      <w:r>
        <w:rPr>
          <w:rFonts w:hint="eastAsia"/>
          <w:szCs w:val="32"/>
          <w:lang w:eastAsia="zh-CN"/>
        </w:rPr>
        <w:t>。</w:t>
      </w:r>
    </w:p>
    <w:p>
      <w:pPr>
        <w:jc w:val="left"/>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r>
        <w:rPr>
          <w:rFonts w:hint="eastAsia" w:ascii="黑体" w:hAnsi="黑体" w:eastAsia="黑体"/>
          <w:szCs w:val="32"/>
        </w:rPr>
        <w:t>国有资本经营预算财政拨款支出决算表</w:t>
      </w:r>
    </w:p>
    <w:tbl>
      <w:tblPr>
        <w:tblStyle w:val="7"/>
        <w:tblW w:w="0" w:type="auto"/>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jc w:val="right"/>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公开08表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部门：                                                             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功能分类</w:t>
            </w:r>
          </w:p>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454"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池州市贵池区人民政府墩上街道办事处文广站</w:t>
      </w:r>
      <w:r>
        <w:rPr>
          <w:szCs w:val="32"/>
        </w:rPr>
        <w:t>没有</w:t>
      </w:r>
      <w:r>
        <w:rPr>
          <w:rFonts w:hint="eastAsia"/>
          <w:szCs w:val="32"/>
          <w:lang w:eastAsia="zh-CN"/>
        </w:rPr>
        <w:t>使用国有资本经营预算安排的</w:t>
      </w:r>
      <w:r>
        <w:rPr>
          <w:szCs w:val="32"/>
        </w:rPr>
        <w:t>支出，故本表无数据</w:t>
      </w:r>
      <w:r>
        <w:rPr>
          <w:rFonts w:hint="eastAsia"/>
          <w:szCs w:val="32"/>
          <w:lang w:eastAsia="zh-CN"/>
        </w:rPr>
        <w:t>。</w:t>
      </w:r>
    </w:p>
    <w:p>
      <w:pPr>
        <w:ind w:firstLine="640" w:firstLineChars="200"/>
        <w:rPr>
          <w:rFonts w:hint="eastAsia" w:ascii="黑体" w:hAnsi="黑体" w:eastAsia="黑体"/>
          <w:szCs w:val="32"/>
        </w:rPr>
      </w:pPr>
      <w:r>
        <w:rPr>
          <w:rFonts w:hint="eastAsia" w:ascii="黑体" w:hAnsi="黑体" w:eastAsia="黑体"/>
          <w:szCs w:val="32"/>
        </w:rPr>
        <w:t xml:space="preserve">第三部分 </w:t>
      </w:r>
      <w:r>
        <w:rPr>
          <w:rFonts w:hint="eastAsia" w:ascii="黑体" w:hAnsi="黑体" w:eastAsia="黑体"/>
          <w:szCs w:val="32"/>
          <w:lang w:eastAsia="zh-CN"/>
        </w:rPr>
        <w:t>墩上街道办事处文广站</w:t>
      </w:r>
      <w:r>
        <w:rPr>
          <w:rFonts w:hint="eastAsia" w:ascii="黑体" w:hAnsi="黑体" w:eastAsia="黑体"/>
          <w:szCs w:val="32"/>
        </w:rPr>
        <w:t>单位2020年度单位决算情况说明</w:t>
      </w:r>
    </w:p>
    <w:p>
      <w:pPr>
        <w:ind w:firstLine="640" w:firstLineChars="200"/>
        <w:rPr>
          <w:rFonts w:hint="eastAsia" w:ascii="黑体" w:hAnsi="黑体" w:eastAsia="黑体"/>
          <w:szCs w:val="32"/>
        </w:rPr>
      </w:pPr>
      <w:r>
        <w:rPr>
          <w:rFonts w:hint="eastAsia" w:ascii="黑体" w:hAnsi="黑体" w:eastAsia="黑体"/>
          <w:szCs w:val="32"/>
        </w:rPr>
        <w:t>一、收入支出决算总体情况说明</w:t>
      </w:r>
    </w:p>
    <w:p>
      <w:pPr>
        <w:ind w:firstLine="640" w:firstLineChars="200"/>
        <w:rPr>
          <w:rFonts w:hint="eastAsia" w:ascii="仿宋_GB2312" w:hAnsi="仿宋"/>
          <w:szCs w:val="32"/>
        </w:rPr>
      </w:pPr>
      <w:r>
        <w:rPr>
          <w:rFonts w:hint="eastAsia" w:ascii="仿宋_GB2312" w:hAnsi="仿宋"/>
          <w:szCs w:val="32"/>
        </w:rPr>
        <w:t>2020年度收入总计</w:t>
      </w:r>
      <w:r>
        <w:rPr>
          <w:rFonts w:hint="eastAsia" w:ascii="仿宋_GB2312" w:hAnsi="仿宋"/>
          <w:szCs w:val="32"/>
          <w:lang w:val="en-US" w:eastAsia="zh-CN"/>
        </w:rPr>
        <w:t>72.8</w:t>
      </w:r>
      <w:r>
        <w:rPr>
          <w:rFonts w:hint="eastAsia" w:ascii="仿宋_GB2312" w:hAnsi="仿宋"/>
          <w:szCs w:val="32"/>
        </w:rPr>
        <w:t>万元（含使用非财政拨款结转结余和年初结转结余）、支出总计</w:t>
      </w:r>
      <w:r>
        <w:rPr>
          <w:rFonts w:hint="eastAsia" w:ascii="仿宋_GB2312" w:hAnsi="仿宋"/>
          <w:szCs w:val="32"/>
          <w:lang w:val="en-US" w:eastAsia="zh-CN"/>
        </w:rPr>
        <w:t>72.8</w:t>
      </w:r>
      <w:r>
        <w:rPr>
          <w:rFonts w:hint="eastAsia" w:ascii="仿宋_GB2312" w:hAnsi="仿宋"/>
          <w:szCs w:val="32"/>
        </w:rPr>
        <w:t>万元（含结余分配和年末结转结余）。与2019年相比，收、支总计各增加</w:t>
      </w:r>
      <w:r>
        <w:rPr>
          <w:rFonts w:hint="eastAsia" w:ascii="仿宋_GB2312" w:hAnsi="仿宋"/>
          <w:szCs w:val="32"/>
          <w:lang w:val="en-US" w:eastAsia="zh-CN"/>
        </w:rPr>
        <w:t>49.85</w:t>
      </w:r>
      <w:r>
        <w:rPr>
          <w:rFonts w:hint="eastAsia" w:ascii="仿宋_GB2312" w:hAnsi="仿宋"/>
          <w:szCs w:val="32"/>
        </w:rPr>
        <w:t>万元，增长</w:t>
      </w:r>
      <w:r>
        <w:rPr>
          <w:rFonts w:hint="eastAsia" w:ascii="仿宋_GB2312" w:hAnsi="仿宋"/>
          <w:szCs w:val="32"/>
          <w:lang w:val="en-US" w:eastAsia="zh-CN"/>
        </w:rPr>
        <w:t>217.2</w:t>
      </w:r>
      <w:r>
        <w:rPr>
          <w:rFonts w:hint="eastAsia" w:ascii="仿宋_GB2312" w:hAnsi="仿宋"/>
          <w:szCs w:val="32"/>
        </w:rPr>
        <w:t>%，主要原因：</w:t>
      </w:r>
      <w:r>
        <w:rPr>
          <w:rFonts w:hint="eastAsia" w:ascii="仿宋_GB2312" w:hAnsi="仿宋"/>
          <w:szCs w:val="32"/>
          <w:lang w:eastAsia="zh-CN"/>
        </w:rPr>
        <w:t>人员的增加及人员工资的变动</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二、收入决算情况说明</w:t>
      </w:r>
    </w:p>
    <w:p>
      <w:pPr>
        <w:ind w:firstLine="640" w:firstLineChars="200"/>
        <w:rPr>
          <w:rFonts w:hint="eastAsia" w:ascii="仿宋_GB2312" w:hAnsi="仿宋"/>
          <w:szCs w:val="32"/>
        </w:rPr>
      </w:pPr>
      <w:r>
        <w:rPr>
          <w:rFonts w:hint="eastAsia" w:ascii="仿宋_GB2312" w:hAnsi="仿宋"/>
          <w:szCs w:val="32"/>
        </w:rPr>
        <w:t>2020年度收入合计</w:t>
      </w:r>
      <w:r>
        <w:rPr>
          <w:rFonts w:hint="eastAsia" w:ascii="仿宋_GB2312" w:hAnsi="仿宋"/>
          <w:szCs w:val="32"/>
          <w:lang w:val="en-US" w:eastAsia="zh-CN"/>
        </w:rPr>
        <w:t>72.8</w:t>
      </w:r>
      <w:r>
        <w:rPr>
          <w:rFonts w:hint="eastAsia" w:ascii="仿宋_GB2312" w:hAnsi="仿宋"/>
          <w:szCs w:val="32"/>
        </w:rPr>
        <w:t>万元，其中：财政拨款收入</w:t>
      </w:r>
      <w:r>
        <w:rPr>
          <w:rFonts w:hint="eastAsia" w:ascii="仿宋_GB2312" w:hAnsi="仿宋"/>
          <w:szCs w:val="32"/>
          <w:lang w:val="en-US" w:eastAsia="zh-CN"/>
        </w:rPr>
        <w:t>72.8</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%；事业收入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%；其他收入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三、支出决算情况说明</w:t>
      </w:r>
    </w:p>
    <w:p>
      <w:pPr>
        <w:ind w:firstLine="640" w:firstLineChars="200"/>
        <w:rPr>
          <w:rFonts w:hint="eastAsia" w:ascii="仿宋_GB2312" w:hAnsi="仿宋"/>
          <w:szCs w:val="32"/>
        </w:rPr>
      </w:pPr>
      <w:r>
        <w:rPr>
          <w:rFonts w:hint="eastAsia" w:ascii="仿宋_GB2312" w:hAnsi="仿宋"/>
          <w:szCs w:val="32"/>
        </w:rPr>
        <w:t>2020年度支出合计</w:t>
      </w:r>
      <w:r>
        <w:rPr>
          <w:rFonts w:hint="eastAsia" w:ascii="仿宋_GB2312" w:hAnsi="仿宋"/>
          <w:szCs w:val="32"/>
          <w:lang w:val="en-US" w:eastAsia="zh-CN"/>
        </w:rPr>
        <w:t>72.8</w:t>
      </w:r>
      <w:r>
        <w:rPr>
          <w:rFonts w:hint="eastAsia" w:ascii="仿宋_GB2312" w:hAnsi="仿宋"/>
          <w:szCs w:val="32"/>
        </w:rPr>
        <w:t>万元，其中：基本支出</w:t>
      </w:r>
      <w:r>
        <w:rPr>
          <w:rFonts w:hint="eastAsia" w:ascii="仿宋_GB2312" w:hAnsi="仿宋"/>
          <w:szCs w:val="32"/>
          <w:lang w:val="en-US" w:eastAsia="zh-CN"/>
        </w:rPr>
        <w:t>72.8</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四、</w:t>
      </w:r>
      <w:r>
        <w:rPr>
          <w:rFonts w:hint="eastAsia" w:ascii="黑体" w:eastAsia="黑体"/>
          <w:szCs w:val="32"/>
        </w:rPr>
        <w:t>财政拨款收入支出决算总体情况说明</w:t>
      </w:r>
    </w:p>
    <w:p>
      <w:pPr>
        <w:ind w:firstLine="640" w:firstLineChars="200"/>
        <w:rPr>
          <w:rFonts w:hint="eastAsia" w:ascii="仿宋_GB2312" w:hAnsi="仿宋"/>
          <w:szCs w:val="32"/>
        </w:rPr>
      </w:pPr>
      <w:r>
        <w:rPr>
          <w:rFonts w:hint="eastAsia" w:ascii="仿宋_GB2312" w:hAnsi="仿宋"/>
          <w:szCs w:val="32"/>
        </w:rPr>
        <w:t>2020年度财政拨款收入总计</w:t>
      </w:r>
      <w:r>
        <w:rPr>
          <w:rFonts w:hint="eastAsia" w:ascii="仿宋_GB2312" w:hAnsi="仿宋"/>
          <w:szCs w:val="32"/>
          <w:lang w:val="en-US" w:eastAsia="zh-CN"/>
        </w:rPr>
        <w:t>72.8</w:t>
      </w:r>
      <w:r>
        <w:rPr>
          <w:rFonts w:hint="eastAsia" w:ascii="仿宋_GB2312" w:hAnsi="仿宋"/>
          <w:szCs w:val="32"/>
        </w:rPr>
        <w:t>万元（含年初财政拨款结转结余），支出总计</w:t>
      </w:r>
      <w:r>
        <w:rPr>
          <w:rFonts w:hint="eastAsia" w:ascii="仿宋_GB2312" w:hAnsi="仿宋"/>
          <w:szCs w:val="32"/>
          <w:lang w:val="en-US" w:eastAsia="zh-CN"/>
        </w:rPr>
        <w:t>72.8</w:t>
      </w:r>
      <w:r>
        <w:rPr>
          <w:rFonts w:hint="eastAsia" w:ascii="仿宋_GB2312" w:hAnsi="仿宋"/>
          <w:szCs w:val="32"/>
        </w:rPr>
        <w:t>万元（含年末财政拨款结转和结余）。与2019年相比，财政拨款收、支总计各增加</w:t>
      </w:r>
      <w:r>
        <w:rPr>
          <w:rFonts w:hint="eastAsia" w:ascii="仿宋_GB2312" w:hAnsi="仿宋"/>
          <w:szCs w:val="32"/>
          <w:lang w:val="en-US" w:eastAsia="zh-CN"/>
        </w:rPr>
        <w:t>49.85</w:t>
      </w:r>
      <w:r>
        <w:rPr>
          <w:rFonts w:hint="eastAsia" w:ascii="仿宋_GB2312" w:hAnsi="仿宋"/>
          <w:szCs w:val="32"/>
        </w:rPr>
        <w:t>万元，增长</w:t>
      </w:r>
      <w:r>
        <w:rPr>
          <w:rFonts w:hint="eastAsia" w:ascii="仿宋_GB2312" w:hAnsi="仿宋"/>
          <w:szCs w:val="32"/>
          <w:lang w:val="en-US" w:eastAsia="zh-CN"/>
        </w:rPr>
        <w:t>217.2</w:t>
      </w:r>
      <w:r>
        <w:rPr>
          <w:rFonts w:hint="eastAsia" w:ascii="仿宋_GB2312" w:hAnsi="仿宋"/>
          <w:szCs w:val="32"/>
        </w:rPr>
        <w:t>%，主要原因：</w:t>
      </w:r>
      <w:r>
        <w:rPr>
          <w:rFonts w:hint="eastAsia" w:ascii="仿宋_GB2312" w:hAnsi="仿宋"/>
          <w:szCs w:val="32"/>
          <w:lang w:eastAsia="zh-CN"/>
        </w:rPr>
        <w:t>人员的增加及人员工资的变动</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五、一般公共预算财政拨款支出决算情况说明</w:t>
      </w:r>
    </w:p>
    <w:p>
      <w:pPr>
        <w:ind w:firstLine="643" w:firstLineChars="200"/>
        <w:rPr>
          <w:rFonts w:hint="eastAsia" w:ascii="仿宋_GB2312" w:hAnsi="仿宋"/>
          <w:b/>
          <w:bCs/>
          <w:szCs w:val="32"/>
        </w:rPr>
      </w:pPr>
      <w:r>
        <w:rPr>
          <w:rFonts w:hint="eastAsia" w:ascii="仿宋_GB2312" w:hAnsi="仿宋"/>
          <w:b/>
          <w:bCs/>
          <w:szCs w:val="32"/>
        </w:rPr>
        <w:t>（一）一般公共预算财政拨款支出决算总体情况。</w:t>
      </w:r>
    </w:p>
    <w:p>
      <w:pPr>
        <w:ind w:firstLine="640" w:firstLineChars="200"/>
        <w:rPr>
          <w:rFonts w:hint="eastAsia" w:ascii="仿宋_GB2312" w:hAnsi="仿宋" w:eastAsia="仿宋_GB2312"/>
          <w:szCs w:val="32"/>
          <w:lang w:eastAsia="zh-CN"/>
        </w:rPr>
      </w:pPr>
      <w:r>
        <w:rPr>
          <w:rFonts w:hint="eastAsia" w:ascii="仿宋_GB2312" w:hAnsi="仿宋"/>
          <w:szCs w:val="32"/>
        </w:rPr>
        <w:t>2020年度一般公共预算财政拨款支出</w:t>
      </w:r>
      <w:r>
        <w:rPr>
          <w:rFonts w:hint="eastAsia" w:ascii="仿宋_GB2312" w:hAnsi="仿宋"/>
          <w:szCs w:val="32"/>
          <w:lang w:val="en-US" w:eastAsia="zh-CN"/>
        </w:rPr>
        <w:t>72.8</w:t>
      </w:r>
      <w:r>
        <w:rPr>
          <w:rFonts w:hint="eastAsia" w:ascii="仿宋_GB2312" w:hAnsi="仿宋"/>
          <w:szCs w:val="32"/>
        </w:rPr>
        <w:t>万元，占本年支出的</w:t>
      </w:r>
      <w:r>
        <w:rPr>
          <w:rFonts w:hint="eastAsia" w:ascii="仿宋_GB2312" w:hAnsi="仿宋"/>
          <w:szCs w:val="32"/>
          <w:lang w:val="en-US" w:eastAsia="zh-CN"/>
        </w:rPr>
        <w:t>100</w:t>
      </w:r>
      <w:r>
        <w:rPr>
          <w:rFonts w:hint="eastAsia" w:ascii="仿宋_GB2312" w:hAnsi="仿宋"/>
          <w:szCs w:val="32"/>
        </w:rPr>
        <w:t>%。与2019年相比，一般公共预算财政拨款支出增加</w:t>
      </w:r>
      <w:r>
        <w:rPr>
          <w:rFonts w:hint="eastAsia" w:ascii="仿宋_GB2312" w:hAnsi="仿宋"/>
          <w:szCs w:val="32"/>
          <w:lang w:val="en-US" w:eastAsia="zh-CN"/>
        </w:rPr>
        <w:t>49.85</w:t>
      </w:r>
      <w:r>
        <w:rPr>
          <w:rFonts w:hint="eastAsia" w:ascii="仿宋_GB2312" w:hAnsi="仿宋"/>
          <w:szCs w:val="32"/>
        </w:rPr>
        <w:t>万元，增长</w:t>
      </w:r>
      <w:r>
        <w:rPr>
          <w:rFonts w:hint="eastAsia" w:ascii="仿宋_GB2312" w:hAnsi="仿宋"/>
          <w:szCs w:val="32"/>
          <w:lang w:val="en-US" w:eastAsia="zh-CN"/>
        </w:rPr>
        <w:t>217.2</w:t>
      </w:r>
      <w:r>
        <w:rPr>
          <w:rFonts w:hint="eastAsia" w:ascii="仿宋_GB2312" w:hAnsi="仿宋"/>
          <w:szCs w:val="32"/>
        </w:rPr>
        <w:t>%。主要原因</w:t>
      </w:r>
      <w:r>
        <w:rPr>
          <w:rFonts w:hint="eastAsia" w:ascii="仿宋_GB2312" w:hAnsi="仿宋"/>
          <w:szCs w:val="32"/>
          <w:lang w:eastAsia="zh-CN"/>
        </w:rPr>
        <w:t>人员的增加及人员工资的变动。</w:t>
      </w:r>
    </w:p>
    <w:p>
      <w:pPr>
        <w:ind w:firstLine="643" w:firstLineChars="200"/>
        <w:rPr>
          <w:rFonts w:hint="eastAsia" w:ascii="仿宋_GB2312" w:hAnsi="仿宋"/>
          <w:b/>
          <w:szCs w:val="32"/>
        </w:rPr>
      </w:pPr>
      <w:r>
        <w:rPr>
          <w:rFonts w:hint="eastAsia" w:ascii="仿宋_GB2312" w:hAnsi="仿宋"/>
          <w:b/>
          <w:szCs w:val="32"/>
        </w:rPr>
        <w:t>（二）一般公共预算财政拨款支出决算结构情况。</w:t>
      </w:r>
    </w:p>
    <w:p>
      <w:pPr>
        <w:ind w:firstLine="640" w:firstLineChars="200"/>
        <w:rPr>
          <w:rFonts w:hint="eastAsia" w:ascii="楷体_GB2312" w:hAnsi="仿宋" w:eastAsia="仿宋_GB2312"/>
          <w:szCs w:val="32"/>
          <w:lang w:val="en-US" w:eastAsia="zh-CN"/>
        </w:rPr>
      </w:pPr>
      <w:r>
        <w:rPr>
          <w:rFonts w:hint="eastAsia" w:ascii="仿宋_GB2312" w:hAnsi="仿宋"/>
          <w:szCs w:val="32"/>
        </w:rPr>
        <w:t>2020年度一般公共预算财政拨款支出</w:t>
      </w:r>
      <w:r>
        <w:rPr>
          <w:rFonts w:hint="eastAsia" w:ascii="仿宋_GB2312" w:hAnsi="仿宋"/>
          <w:szCs w:val="32"/>
          <w:lang w:val="en-US" w:eastAsia="zh-CN"/>
        </w:rPr>
        <w:t>72.8</w:t>
      </w:r>
      <w:r>
        <w:rPr>
          <w:rFonts w:hint="eastAsia" w:ascii="仿宋_GB2312" w:hAnsi="仿宋"/>
          <w:szCs w:val="32"/>
        </w:rPr>
        <w:t>万元，主要用于以下方面：</w:t>
      </w:r>
      <w:r>
        <w:rPr>
          <w:rFonts w:hint="eastAsia" w:ascii="仿宋_GB2312" w:hAnsi="仿宋"/>
          <w:b/>
          <w:szCs w:val="32"/>
        </w:rPr>
        <w:t>文化体育与传媒（类）</w:t>
      </w:r>
      <w:r>
        <w:rPr>
          <w:rFonts w:hint="eastAsia" w:ascii="仿宋_GB2312" w:hAnsi="仿宋"/>
          <w:szCs w:val="32"/>
        </w:rPr>
        <w:t>支出</w:t>
      </w:r>
      <w:r>
        <w:rPr>
          <w:rFonts w:hint="eastAsia" w:ascii="仿宋_GB2312" w:hAnsi="仿宋"/>
          <w:szCs w:val="32"/>
          <w:lang w:val="en-US" w:eastAsia="zh-CN"/>
        </w:rPr>
        <w:t>72.8</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w:t>
      </w:r>
      <w:r>
        <w:rPr>
          <w:rFonts w:hint="eastAsia" w:ascii="仿宋_GB2312" w:hAnsi="仿宋"/>
          <w:szCs w:val="32"/>
          <w:lang w:val="en-US" w:eastAsia="zh-CN"/>
        </w:rPr>
        <w:t>.</w:t>
      </w:r>
    </w:p>
    <w:p>
      <w:pPr>
        <w:ind w:firstLine="643" w:firstLineChars="200"/>
        <w:rPr>
          <w:rFonts w:hint="eastAsia" w:ascii="仿宋_GB2312" w:hAnsi="仿宋"/>
          <w:b/>
          <w:bCs/>
          <w:szCs w:val="32"/>
        </w:rPr>
      </w:pPr>
      <w:r>
        <w:rPr>
          <w:rFonts w:hint="eastAsia" w:ascii="仿宋_GB2312" w:hAnsi="仿宋"/>
          <w:b/>
          <w:bCs/>
          <w:szCs w:val="32"/>
        </w:rPr>
        <w:t>（三）一般公共预算财政拨款支出决算具体情况。</w:t>
      </w:r>
    </w:p>
    <w:p>
      <w:pPr>
        <w:ind w:firstLine="640" w:firstLineChars="200"/>
        <w:rPr>
          <w:rFonts w:hint="eastAsia" w:ascii="仿宋_GB2312" w:hAnsi="仿宋"/>
          <w:szCs w:val="32"/>
        </w:rPr>
      </w:pPr>
      <w:r>
        <w:rPr>
          <w:rFonts w:hint="eastAsia" w:ascii="仿宋_GB2312" w:hAnsi="仿宋"/>
          <w:szCs w:val="32"/>
        </w:rPr>
        <w:t>2020年度一般公共预算财政拨款支出年初预算为</w:t>
      </w:r>
      <w:r>
        <w:rPr>
          <w:rFonts w:hint="eastAsia" w:ascii="仿宋_GB2312" w:hAnsi="仿宋"/>
          <w:szCs w:val="32"/>
          <w:lang w:val="en-US" w:eastAsia="zh-CN"/>
        </w:rPr>
        <w:t>50</w:t>
      </w:r>
      <w:r>
        <w:rPr>
          <w:rFonts w:hint="eastAsia" w:ascii="仿宋_GB2312" w:hAnsi="仿宋"/>
          <w:szCs w:val="32"/>
        </w:rPr>
        <w:t>万元，支出决算为</w:t>
      </w:r>
      <w:r>
        <w:rPr>
          <w:rFonts w:hint="eastAsia" w:ascii="仿宋_GB2312" w:hAnsi="仿宋"/>
          <w:szCs w:val="32"/>
          <w:lang w:val="en-US" w:eastAsia="zh-CN"/>
        </w:rPr>
        <w:t>72.8</w:t>
      </w:r>
      <w:r>
        <w:rPr>
          <w:rFonts w:hint="eastAsia" w:ascii="仿宋_GB2312" w:hAnsi="仿宋"/>
          <w:szCs w:val="32"/>
        </w:rPr>
        <w:t>万元，完成年初预算的</w:t>
      </w:r>
      <w:r>
        <w:rPr>
          <w:rFonts w:hint="eastAsia" w:ascii="仿宋_GB2312" w:hAnsi="仿宋"/>
          <w:szCs w:val="32"/>
          <w:lang w:val="en-US" w:eastAsia="zh-CN"/>
        </w:rPr>
        <w:t>145.6</w:t>
      </w:r>
      <w:r>
        <w:rPr>
          <w:rFonts w:hint="eastAsia" w:ascii="仿宋_GB2312" w:hAnsi="仿宋"/>
          <w:szCs w:val="32"/>
        </w:rPr>
        <w:t>%。决算数大于预算数的主要原因:</w:t>
      </w:r>
      <w:r>
        <w:rPr>
          <w:rFonts w:hint="eastAsia" w:ascii="仿宋_GB2312" w:hAnsi="仿宋"/>
          <w:szCs w:val="32"/>
          <w:lang w:eastAsia="zh-CN"/>
        </w:rPr>
        <w:t>人员的增加及工资变动</w:t>
      </w:r>
      <w:r>
        <w:rPr>
          <w:rFonts w:hint="eastAsia" w:ascii="仿宋_GB2312" w:hAnsi="仿宋"/>
          <w:szCs w:val="32"/>
        </w:rPr>
        <w:t>。其中:基本支出</w:t>
      </w:r>
      <w:r>
        <w:rPr>
          <w:rFonts w:hint="eastAsia" w:ascii="仿宋_GB2312" w:hAnsi="仿宋"/>
          <w:szCs w:val="32"/>
          <w:lang w:val="en-US" w:eastAsia="zh-CN"/>
        </w:rPr>
        <w:t>72.8</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%。具体情况如下：</w:t>
      </w:r>
    </w:p>
    <w:p>
      <w:pPr>
        <w:spacing w:line="600" w:lineRule="exact"/>
        <w:ind w:firstLine="643" w:firstLineChars="200"/>
        <w:rPr>
          <w:rFonts w:eastAsia="仿宋_GB2312"/>
          <w:szCs w:val="32"/>
        </w:rPr>
      </w:pPr>
      <w:r>
        <w:rPr>
          <w:rFonts w:hint="eastAsia"/>
          <w:b/>
          <w:bCs/>
          <w:szCs w:val="32"/>
          <w:lang w:val="en-US" w:eastAsia="zh-CN"/>
        </w:rPr>
        <w:t>1</w:t>
      </w:r>
      <w:r>
        <w:rPr>
          <w:rFonts w:eastAsia="仿宋_GB2312"/>
          <w:b/>
          <w:bCs/>
          <w:szCs w:val="32"/>
        </w:rPr>
        <w:t>.</w:t>
      </w:r>
      <w:r>
        <w:rPr>
          <w:rFonts w:hint="eastAsia" w:eastAsia="仿宋_GB2312"/>
          <w:b/>
          <w:bCs/>
          <w:szCs w:val="32"/>
          <w:lang w:eastAsia="zh-CN"/>
        </w:rPr>
        <w:t>文化旅游体育与传媒支出</w:t>
      </w:r>
      <w:r>
        <w:rPr>
          <w:rFonts w:eastAsia="仿宋_GB2312"/>
          <w:b/>
          <w:bCs/>
          <w:szCs w:val="32"/>
        </w:rPr>
        <w:t>（类）</w:t>
      </w:r>
      <w:r>
        <w:rPr>
          <w:rFonts w:hint="eastAsia" w:eastAsia="仿宋_GB2312"/>
          <w:b/>
          <w:bCs/>
          <w:szCs w:val="32"/>
          <w:lang w:eastAsia="zh-CN"/>
        </w:rPr>
        <w:t>文化和旅游</w:t>
      </w:r>
      <w:r>
        <w:rPr>
          <w:rFonts w:eastAsia="仿宋_GB2312"/>
          <w:b/>
          <w:bCs/>
          <w:szCs w:val="32"/>
        </w:rPr>
        <w:t>（款）</w:t>
      </w:r>
      <w:r>
        <w:rPr>
          <w:rFonts w:hint="eastAsia" w:eastAsia="仿宋_GB2312"/>
          <w:b/>
          <w:bCs/>
          <w:szCs w:val="32"/>
          <w:lang w:eastAsia="zh-CN"/>
        </w:rPr>
        <w:t>其他文化和旅游支出</w:t>
      </w:r>
      <w:r>
        <w:rPr>
          <w:rFonts w:eastAsia="仿宋_GB2312"/>
          <w:b/>
          <w:bCs/>
          <w:szCs w:val="32"/>
        </w:rPr>
        <w:t>（项）</w:t>
      </w:r>
      <w:r>
        <w:rPr>
          <w:rFonts w:eastAsia="仿宋_GB2312"/>
          <w:szCs w:val="32"/>
        </w:rPr>
        <w:t>。年初预算为</w:t>
      </w:r>
      <w:r>
        <w:rPr>
          <w:rFonts w:hint="eastAsia"/>
          <w:szCs w:val="32"/>
          <w:lang w:val="en-US" w:eastAsia="zh-CN"/>
        </w:rPr>
        <w:t>50</w:t>
      </w:r>
      <w:r>
        <w:rPr>
          <w:rFonts w:eastAsia="仿宋_GB2312"/>
          <w:szCs w:val="32"/>
        </w:rPr>
        <w:t>万元，支出决算为</w:t>
      </w:r>
      <w:r>
        <w:rPr>
          <w:rFonts w:hint="eastAsia"/>
          <w:szCs w:val="32"/>
          <w:lang w:val="en-US" w:eastAsia="zh-CN"/>
        </w:rPr>
        <w:t>72.8</w:t>
      </w:r>
      <w:r>
        <w:rPr>
          <w:rFonts w:eastAsia="仿宋_GB2312"/>
          <w:szCs w:val="32"/>
        </w:rPr>
        <w:t>万元，完成年初预算的</w:t>
      </w:r>
      <w:r>
        <w:rPr>
          <w:rFonts w:hint="eastAsia"/>
          <w:szCs w:val="32"/>
          <w:lang w:val="en-US" w:eastAsia="zh-CN"/>
        </w:rPr>
        <w:t>145.6</w:t>
      </w:r>
      <w:r>
        <w:rPr>
          <w:rFonts w:eastAsia="仿宋_GB2312"/>
          <w:szCs w:val="32"/>
        </w:rPr>
        <w:t>%，决算数</w:t>
      </w:r>
      <w:r>
        <w:rPr>
          <w:rFonts w:hint="eastAsia"/>
          <w:szCs w:val="32"/>
          <w:lang w:eastAsia="zh-CN"/>
        </w:rPr>
        <w:t>大于</w:t>
      </w:r>
      <w:r>
        <w:rPr>
          <w:rFonts w:eastAsia="仿宋_GB2312"/>
          <w:szCs w:val="32"/>
        </w:rPr>
        <w:t>预算数的主要原因是</w:t>
      </w:r>
      <w:r>
        <w:rPr>
          <w:rFonts w:hint="eastAsia"/>
          <w:szCs w:val="32"/>
          <w:lang w:eastAsia="zh-CN"/>
        </w:rPr>
        <w:t>人员工资的增加</w:t>
      </w:r>
      <w:r>
        <w:rPr>
          <w:rFonts w:eastAsia="仿宋_GB2312"/>
          <w:szCs w:val="32"/>
        </w:rPr>
        <w:t>。</w:t>
      </w:r>
    </w:p>
    <w:p>
      <w:pPr>
        <w:ind w:firstLine="640" w:firstLineChars="200"/>
        <w:rPr>
          <w:rFonts w:hint="eastAsia" w:ascii="黑体" w:hAnsi="仿宋" w:eastAsia="黑体"/>
          <w:szCs w:val="32"/>
        </w:rPr>
      </w:pPr>
      <w:r>
        <w:rPr>
          <w:rFonts w:hint="eastAsia" w:ascii="黑体" w:hAnsi="仿宋" w:eastAsia="黑体"/>
          <w:szCs w:val="32"/>
        </w:rPr>
        <w:t>六、一般公共预算财政拨款基本支出决算情况说明</w:t>
      </w:r>
    </w:p>
    <w:p>
      <w:pPr>
        <w:ind w:firstLine="640" w:firstLineChars="200"/>
        <w:rPr>
          <w:rFonts w:hint="eastAsia" w:ascii="仿宋_GB2312" w:hAnsi="仿宋"/>
          <w:szCs w:val="32"/>
        </w:rPr>
      </w:pPr>
      <w:r>
        <w:rPr>
          <w:rFonts w:hint="eastAsia" w:ascii="仿宋_GB2312" w:hAnsi="仿宋"/>
          <w:szCs w:val="32"/>
        </w:rPr>
        <w:t>2020年度财政拨款基本支出</w:t>
      </w:r>
      <w:r>
        <w:rPr>
          <w:rFonts w:hint="eastAsia" w:ascii="仿宋_GB2312" w:hAnsi="仿宋"/>
          <w:szCs w:val="32"/>
          <w:lang w:val="en-US" w:eastAsia="zh-CN"/>
        </w:rPr>
        <w:t>72.8</w:t>
      </w:r>
      <w:r>
        <w:rPr>
          <w:rFonts w:hint="eastAsia" w:ascii="仿宋_GB2312" w:hAnsi="仿宋"/>
          <w:szCs w:val="32"/>
        </w:rPr>
        <w:t>万元，其中</w:t>
      </w:r>
      <w:r>
        <w:rPr>
          <w:rFonts w:hint="eastAsia" w:ascii="仿宋_GB2312" w:hAnsi="仿宋"/>
          <w:color w:val="FF0000"/>
          <w:szCs w:val="32"/>
        </w:rPr>
        <w:t>：</w:t>
      </w:r>
      <w:r>
        <w:rPr>
          <w:rFonts w:hint="eastAsia" w:ascii="仿宋_GB2312" w:hAnsi="仿宋"/>
          <w:szCs w:val="32"/>
        </w:rPr>
        <w:t>人员经费</w:t>
      </w:r>
      <w:r>
        <w:rPr>
          <w:rFonts w:hint="eastAsia" w:ascii="仿宋_GB2312" w:hAnsi="仿宋"/>
          <w:szCs w:val="32"/>
          <w:lang w:val="en-US" w:eastAsia="zh-CN"/>
        </w:rPr>
        <w:t>72.8</w:t>
      </w:r>
      <w:r>
        <w:rPr>
          <w:rFonts w:hint="eastAsia" w:ascii="仿宋_GB2312" w:hAnsi="仿宋"/>
          <w:szCs w:val="32"/>
        </w:rPr>
        <w:t>万元，主要包括:基本工资、津贴补贴、奖金、伙食补助费、绩效工资、机关事业单位基本养老保险费、职业年金缴费、职工基本医疗保险缴费、其他社会保障缴费。</w:t>
      </w:r>
    </w:p>
    <w:p>
      <w:pPr>
        <w:ind w:firstLine="640" w:firstLineChars="200"/>
        <w:rPr>
          <w:rFonts w:hint="eastAsia" w:ascii="黑体" w:hAnsi="黑体" w:eastAsia="黑体"/>
          <w:szCs w:val="32"/>
        </w:rPr>
      </w:pPr>
      <w:r>
        <w:rPr>
          <w:rFonts w:hint="eastAsia" w:ascii="黑体" w:hAnsi="仿宋" w:eastAsia="黑体"/>
          <w:szCs w:val="32"/>
        </w:rPr>
        <w:t>七、</w:t>
      </w:r>
      <w:r>
        <w:rPr>
          <w:rFonts w:hint="eastAsia" w:ascii="黑体" w:hAnsi="黑体" w:eastAsia="黑体"/>
          <w:szCs w:val="32"/>
        </w:rPr>
        <w:t>政府性基金财政拨款收入支出决算情况说明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池州市贵池区人民政府墩上街道办事处文广站</w:t>
      </w:r>
      <w:r>
        <w:rPr>
          <w:rFonts w:hint="eastAsia" w:ascii="楷体_GB2312" w:hAnsi="仿宋" w:eastAsia="楷体_GB2312"/>
          <w:szCs w:val="32"/>
        </w:rPr>
        <w:t>没有政府性基金收入，也没有使用政府性基金安排的支出。</w:t>
      </w:r>
    </w:p>
    <w:p>
      <w:pPr>
        <w:ind w:firstLine="640" w:firstLineChars="200"/>
        <w:rPr>
          <w:rFonts w:hint="eastAsia" w:ascii="黑体" w:hAnsi="黑体" w:eastAsia="黑体"/>
          <w:szCs w:val="32"/>
        </w:rPr>
      </w:pPr>
      <w:r>
        <w:rPr>
          <w:rFonts w:hint="eastAsia" w:ascii="黑体" w:hAnsi="黑体" w:eastAsia="黑体"/>
          <w:szCs w:val="32"/>
        </w:rPr>
        <w:t>八、国有资本经营预算财政拨款支出情况说明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池州市贵池区人民政府墩上街道办事处文广站</w:t>
      </w:r>
      <w:r>
        <w:rPr>
          <w:rFonts w:hint="eastAsia" w:ascii="楷体_GB2312" w:hAnsi="仿宋" w:eastAsia="楷体_GB2312"/>
          <w:szCs w:val="32"/>
        </w:rPr>
        <w:t>没有使用国有资本经营预算财政拨款安排的支出。</w:t>
      </w:r>
    </w:p>
    <w:p>
      <w:pPr>
        <w:ind w:firstLine="640" w:firstLineChars="200"/>
        <w:rPr>
          <w:rFonts w:hint="eastAsia" w:ascii="楷体_GB2312" w:hAnsi="仿宋" w:eastAsia="楷体_GB2312"/>
          <w:szCs w:val="32"/>
        </w:rPr>
      </w:pPr>
    </w:p>
    <w:p>
      <w:pPr>
        <w:adjustRightInd w:val="0"/>
        <w:snapToGrid w:val="0"/>
        <w:spacing w:line="600" w:lineRule="exact"/>
        <w:ind w:firstLine="640" w:firstLineChars="200"/>
        <w:rPr>
          <w:rFonts w:hint="eastAsia" w:ascii="黑体" w:hAnsi="黑体" w:eastAsia="黑体"/>
          <w:szCs w:val="32"/>
        </w:rPr>
      </w:pPr>
      <w:r>
        <w:rPr>
          <w:rFonts w:hint="eastAsia" w:ascii="黑体" w:hAnsi="黑体" w:eastAsia="黑体"/>
          <w:szCs w:val="32"/>
        </w:rPr>
        <w:t>九、其他重要事项情况说明</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（一）机关运行经费支出情况。</w:t>
      </w:r>
    </w:p>
    <w:p>
      <w:pPr>
        <w:adjustRightInd w:val="0"/>
        <w:snapToGrid w:val="0"/>
        <w:spacing w:line="600" w:lineRule="exact"/>
        <w:ind w:firstLine="640" w:firstLineChars="200"/>
        <w:rPr>
          <w:rFonts w:hint="default" w:ascii="仿宋_GB2312" w:hAnsi="仿宋" w:eastAsia="仿宋_GB2312"/>
          <w:szCs w:val="32"/>
          <w:lang w:val="en-US" w:eastAsia="zh-CN"/>
        </w:rPr>
      </w:pPr>
      <w:r>
        <w:rPr>
          <w:rFonts w:hint="eastAsia" w:ascii="仿宋_GB2312" w:hAnsi="仿宋"/>
          <w:szCs w:val="32"/>
        </w:rPr>
        <w:t>2020年度，</w:t>
      </w:r>
      <w:r>
        <w:rPr>
          <w:rFonts w:hint="eastAsia" w:ascii="仿宋_GB2312" w:hAnsi="仿宋"/>
          <w:szCs w:val="32"/>
          <w:lang w:eastAsia="zh-CN"/>
        </w:rPr>
        <w:t>墩上文广站</w:t>
      </w:r>
      <w:r>
        <w:rPr>
          <w:rFonts w:hint="eastAsia" w:ascii="仿宋_GB2312" w:hAnsi="仿宋"/>
          <w:szCs w:val="32"/>
        </w:rPr>
        <w:t>机关运行经费支出</w:t>
      </w:r>
      <w:r>
        <w:rPr>
          <w:rFonts w:hint="eastAsia" w:ascii="仿宋_GB2312" w:hAnsi="仿宋"/>
          <w:szCs w:val="32"/>
          <w:lang w:val="en-US" w:eastAsia="zh-CN"/>
        </w:rPr>
        <w:t>0</w:t>
      </w:r>
      <w:r>
        <w:rPr>
          <w:rFonts w:hint="eastAsia" w:ascii="仿宋_GB2312" w:hAnsi="仿宋"/>
          <w:szCs w:val="32"/>
        </w:rPr>
        <w:t>万元</w:t>
      </w:r>
      <w:r>
        <w:rPr>
          <w:rFonts w:hint="eastAsia" w:ascii="仿宋_GB2312" w:hAnsi="仿宋"/>
          <w:szCs w:val="32"/>
          <w:lang w:val="en-US" w:eastAsia="zh-CN"/>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（二）政府采购支出情况。</w:t>
      </w:r>
    </w:p>
    <w:p>
      <w:pPr>
        <w:adjustRightInd w:val="0"/>
        <w:snapToGrid w:val="0"/>
        <w:spacing w:line="600" w:lineRule="exact"/>
        <w:ind w:firstLine="640" w:firstLineChars="200"/>
        <w:rPr>
          <w:rFonts w:hint="eastAsia" w:ascii="仿宋_GB2312" w:hAnsi="楷体"/>
          <w:szCs w:val="32"/>
        </w:rPr>
      </w:pPr>
      <w:r>
        <w:rPr>
          <w:rFonts w:hint="eastAsia" w:ascii="仿宋_GB2312" w:hAnsi="仿宋"/>
          <w:szCs w:val="32"/>
        </w:rPr>
        <w:t xml:space="preserve">2020年度， </w:t>
      </w:r>
      <w:r>
        <w:rPr>
          <w:rFonts w:hint="eastAsia" w:ascii="仿宋_GB2312" w:hAnsi="仿宋"/>
          <w:szCs w:val="32"/>
          <w:lang w:eastAsia="zh-CN"/>
        </w:rPr>
        <w:t>墩上文广站</w:t>
      </w:r>
      <w:r>
        <w:rPr>
          <w:rFonts w:hint="eastAsia" w:ascii="仿宋_GB2312" w:hAnsi="仿宋"/>
          <w:szCs w:val="32"/>
        </w:rPr>
        <w:t>单位政府采购支出总额</w:t>
      </w:r>
      <w:r>
        <w:rPr>
          <w:rFonts w:hint="eastAsia" w:ascii="仿宋_GB2312" w:hAnsi="仿宋"/>
          <w:szCs w:val="32"/>
          <w:lang w:val="en-US" w:eastAsia="zh-CN"/>
        </w:rPr>
        <w:t>0</w:t>
      </w:r>
      <w:r>
        <w:rPr>
          <w:rFonts w:hint="eastAsia" w:ascii="仿宋_GB2312" w:hAnsi="仿宋"/>
          <w:szCs w:val="32"/>
        </w:rPr>
        <w:t>万元，其中：政府采购货物支出</w:t>
      </w:r>
      <w:r>
        <w:rPr>
          <w:rFonts w:hint="eastAsia" w:ascii="仿宋_GB2312" w:hAnsi="仿宋"/>
          <w:szCs w:val="32"/>
          <w:lang w:val="en-US" w:eastAsia="zh-CN"/>
        </w:rPr>
        <w:t>0</w:t>
      </w:r>
      <w:r>
        <w:rPr>
          <w:rFonts w:hint="eastAsia" w:ascii="仿宋_GB2312" w:hAnsi="仿宋"/>
          <w:szCs w:val="32"/>
        </w:rPr>
        <w:t>万元、政府采购工程支出</w:t>
      </w:r>
      <w:r>
        <w:rPr>
          <w:rFonts w:hint="eastAsia" w:ascii="仿宋_GB2312" w:hAnsi="仿宋"/>
          <w:szCs w:val="32"/>
          <w:lang w:val="en-US" w:eastAsia="zh-CN"/>
        </w:rPr>
        <w:t>0</w:t>
      </w:r>
      <w:r>
        <w:rPr>
          <w:rFonts w:hint="eastAsia" w:ascii="仿宋_GB2312" w:hAnsi="仿宋"/>
          <w:szCs w:val="32"/>
        </w:rPr>
        <w:t>万元、政府采购服务支出</w:t>
      </w:r>
      <w:r>
        <w:rPr>
          <w:rFonts w:hint="eastAsia" w:ascii="仿宋_GB2312" w:hAnsi="仿宋"/>
          <w:szCs w:val="32"/>
          <w:lang w:val="en-US" w:eastAsia="zh-CN"/>
        </w:rPr>
        <w:t>0</w:t>
      </w:r>
      <w:r>
        <w:rPr>
          <w:rFonts w:hint="eastAsia" w:ascii="仿宋_GB2312" w:hAnsi="仿宋"/>
          <w:szCs w:val="32"/>
        </w:rPr>
        <w:t>万元。授予中小企业合同金额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%，其中：授予小微企业合同金额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（三）国有资产占有使用情况。</w:t>
      </w:r>
    </w:p>
    <w:p>
      <w:pPr>
        <w:spacing w:line="560" w:lineRule="exact"/>
        <w:ind w:firstLine="640" w:firstLineChars="200"/>
        <w:rPr>
          <w:rFonts w:hint="eastAsia" w:ascii="仿宋_GB2312" w:hAnsi="仿宋"/>
          <w:b/>
          <w:bCs/>
          <w:szCs w:val="32"/>
          <w:highlight w:val="yellow"/>
        </w:rPr>
      </w:pPr>
      <w:r>
        <w:rPr>
          <w:rFonts w:hint="eastAsia" w:ascii="仿宋_GB2312" w:hAnsi="楷体"/>
          <w:szCs w:val="32"/>
        </w:rPr>
        <w:t>截至2020年12月31日，</w:t>
      </w:r>
      <w:r>
        <w:rPr>
          <w:rFonts w:hint="eastAsia" w:ascii="仿宋_GB2312" w:hAnsi="仿宋"/>
          <w:szCs w:val="32"/>
        </w:rPr>
        <w:t xml:space="preserve"> </w:t>
      </w:r>
      <w:r>
        <w:rPr>
          <w:rFonts w:hint="eastAsia" w:ascii="仿宋_GB2312" w:hAnsi="仿宋"/>
          <w:szCs w:val="32"/>
          <w:lang w:eastAsia="zh-CN"/>
        </w:rPr>
        <w:t>墩上文广站</w:t>
      </w:r>
      <w:r>
        <w:rPr>
          <w:rFonts w:hint="eastAsia" w:ascii="仿宋_GB2312" w:hAnsi="仿宋"/>
          <w:szCs w:val="32"/>
        </w:rPr>
        <w:t>单位共有车辆</w:t>
      </w:r>
      <w:r>
        <w:rPr>
          <w:rFonts w:hint="eastAsia" w:ascii="仿宋_GB2312" w:hAnsi="仿宋"/>
          <w:szCs w:val="32"/>
          <w:lang w:val="en-US" w:eastAsia="zh-CN"/>
        </w:rPr>
        <w:t>0</w:t>
      </w:r>
      <w:r>
        <w:rPr>
          <w:rFonts w:hint="eastAsia" w:ascii="仿宋_GB2312" w:hAnsi="仿宋"/>
          <w:szCs w:val="32"/>
        </w:rPr>
        <w:t>辆</w:t>
      </w:r>
      <w:r>
        <w:rPr>
          <w:rFonts w:hint="eastAsia" w:ascii="仿宋_GB2312" w:hAnsi="仿宋"/>
          <w:szCs w:val="32"/>
          <w:lang w:val="en-US" w:eastAsia="zh-CN"/>
        </w:rPr>
        <w:t>0</w:t>
      </w:r>
      <w:r>
        <w:rPr>
          <w:rFonts w:hint="eastAsia" w:ascii="仿宋_GB2312" w:hAnsi="仿宋"/>
          <w:szCs w:val="32"/>
        </w:rPr>
        <w:t>；单价50万元以上的通用设备</w:t>
      </w:r>
      <w:r>
        <w:rPr>
          <w:rFonts w:hint="eastAsia" w:ascii="仿宋_GB2312" w:hAnsi="仿宋"/>
          <w:szCs w:val="32"/>
          <w:lang w:val="en-US" w:eastAsia="zh-CN"/>
        </w:rPr>
        <w:t>0</w:t>
      </w:r>
      <w:r>
        <w:rPr>
          <w:rFonts w:hint="eastAsia" w:ascii="仿宋_GB2312" w:hAnsi="仿宋"/>
          <w:szCs w:val="32"/>
        </w:rPr>
        <w:t>台（套），单价100万元以上专用设备</w:t>
      </w:r>
      <w:r>
        <w:rPr>
          <w:rFonts w:hint="eastAsia" w:ascii="仿宋_GB2312" w:hAnsi="仿宋"/>
          <w:szCs w:val="32"/>
          <w:lang w:val="en-US" w:eastAsia="zh-CN"/>
        </w:rPr>
        <w:t>0</w:t>
      </w:r>
      <w:r>
        <w:rPr>
          <w:rFonts w:hint="eastAsia" w:ascii="仿宋_GB2312" w:hAnsi="仿宋"/>
          <w:szCs w:val="32"/>
        </w:rPr>
        <w:t>台（套）。</w:t>
      </w:r>
      <w:r>
        <w:rPr>
          <w:rFonts w:ascii="仿宋_GB2312" w:hAnsi="仿宋"/>
          <w:szCs w:val="32"/>
        </w:rPr>
        <w:br w:type="textWrapping"/>
      </w:r>
      <w:r>
        <w:rPr>
          <w:rFonts w:hint="eastAsia" w:ascii="仿宋_GB2312" w:hAnsi="仿宋"/>
          <w:szCs w:val="32"/>
        </w:rPr>
        <w:t xml:space="preserve"> </w:t>
      </w:r>
      <w:r>
        <w:rPr>
          <w:rFonts w:hint="eastAsia" w:ascii="仿宋_GB2312" w:hAnsi="仿宋"/>
          <w:b/>
          <w:bCs/>
          <w:i/>
          <w:iCs/>
          <w:szCs w:val="32"/>
        </w:rPr>
        <w:t xml:space="preserve"> </w:t>
      </w:r>
      <w:r>
        <w:rPr>
          <w:rFonts w:hint="eastAsia" w:ascii="仿宋_GB2312" w:hAnsi="仿宋"/>
          <w:szCs w:val="32"/>
        </w:rPr>
        <w:t xml:space="preserve"> </w:t>
      </w:r>
      <w:r>
        <w:rPr>
          <w:rFonts w:hint="eastAsia" w:ascii="仿宋_GB2312" w:hAnsi="楷体"/>
          <w:b/>
          <w:szCs w:val="32"/>
        </w:rPr>
        <w:t>（四）关于2020年度预算绩效情况说明</w:t>
      </w:r>
    </w:p>
    <w:p>
      <w:pPr>
        <w:spacing w:line="560" w:lineRule="exact"/>
        <w:ind w:firstLine="643" w:firstLineChars="200"/>
        <w:rPr>
          <w:rFonts w:ascii="方正仿宋_GBK" w:hAnsi="仿宋_GB2312" w:eastAsia="方正仿宋_GBK" w:cs="仿宋_GB2312"/>
          <w:bCs/>
          <w:szCs w:val="32"/>
        </w:rPr>
      </w:pPr>
      <w:r>
        <w:rPr>
          <w:rFonts w:hint="eastAsia" w:ascii="仿宋_GB2312" w:hAnsi="仿宋"/>
          <w:b/>
          <w:szCs w:val="32"/>
        </w:rPr>
        <w:t>1</w:t>
      </w:r>
      <w:r>
        <w:rPr>
          <w:rFonts w:ascii="仿宋_GB2312" w:hAnsi="仿宋"/>
          <w:b/>
          <w:szCs w:val="32"/>
        </w:rPr>
        <w:t>.</w:t>
      </w:r>
      <w:r>
        <w:rPr>
          <w:rFonts w:hint="eastAsia" w:ascii="方正仿宋_GBK" w:hAnsi="仿宋_GB2312" w:eastAsia="方正仿宋_GBK" w:cs="仿宋_GB2312"/>
          <w:b/>
          <w:bCs/>
          <w:szCs w:val="32"/>
        </w:rPr>
        <w:t>预算绩效管理工作开展情况。</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2"/>
        </w:numPr>
        <w:spacing w:line="560" w:lineRule="exact"/>
        <w:ind w:firstLine="640" w:firstLineChars="200"/>
        <w:rPr>
          <w:rFonts w:hint="eastAsia" w:ascii="方正仿宋_GBK" w:hAnsi="仿宋_GB2312" w:eastAsia="方正仿宋_GBK" w:cs="仿宋_GB2312"/>
          <w:b/>
          <w:bCs/>
          <w:szCs w:val="32"/>
        </w:rPr>
      </w:pPr>
      <w:r>
        <w:rPr>
          <w:rFonts w:hint="eastAsia" w:ascii="方正仿宋_GBK" w:hAnsi="仿宋_GB2312" w:eastAsia="方正仿宋_GBK" w:cs="仿宋_GB2312"/>
          <w:b/>
          <w:bCs/>
          <w:szCs w:val="32"/>
        </w:rPr>
        <w:t>部门决算中项目绩效自评结果。</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color w:val="FF0000"/>
          <w:szCs w:val="32"/>
        </w:rPr>
        <w:t xml:space="preserve"> </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30"/>
        <w:rPr>
          <w:rFonts w:hint="eastAsia" w:ascii="楷体_GB2312" w:hAnsi="楷体_GB2312" w:eastAsia="楷体_GB2312" w:cs="楷体_GB2312"/>
          <w:szCs w:val="32"/>
        </w:rPr>
      </w:pPr>
      <w:r>
        <w:rPr>
          <w:rFonts w:hint="eastAsia" w:ascii="仿宋_GB2312" w:hAnsi="仿宋"/>
          <w:b/>
          <w:szCs w:val="32"/>
        </w:rPr>
        <w:t>3</w:t>
      </w:r>
      <w:r>
        <w:rPr>
          <w:rFonts w:ascii="仿宋_GB2312" w:hAnsi="仿宋"/>
          <w:b/>
          <w:szCs w:val="32"/>
        </w:rPr>
        <w:t>.</w:t>
      </w:r>
      <w:r>
        <w:rPr>
          <w:rFonts w:hint="eastAsia" w:ascii="方正仿宋_GBK" w:hAnsi="仿宋_GB2312" w:eastAsia="方正仿宋_GBK" w:cs="仿宋_GB2312"/>
          <w:b/>
          <w:color w:val="000000"/>
          <w:szCs w:val="32"/>
        </w:rPr>
        <w:t>部门评价项目绩效评价结果。</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ind w:firstLine="640"/>
        <w:rPr>
          <w:rFonts w:hint="eastAsia" w:ascii="黑体" w:hAnsi="黑体" w:eastAsia="黑体"/>
          <w:szCs w:val="32"/>
        </w:rPr>
      </w:pPr>
      <w:r>
        <w:rPr>
          <w:rFonts w:hint="eastAsia" w:ascii="黑体" w:hAnsi="黑体" w:eastAsia="黑体"/>
          <w:szCs w:val="32"/>
        </w:rPr>
        <w:t>第四部分 名词解释</w:t>
      </w:r>
    </w:p>
    <w:p>
      <w:pPr>
        <w:adjustRightInd w:val="0"/>
        <w:snapToGrid w:val="0"/>
        <w:spacing w:line="600" w:lineRule="exact"/>
        <w:ind w:left="425" w:firstLine="206" w:firstLineChars="64"/>
        <w:rPr>
          <w:rFonts w:hint="eastAsia" w:ascii="仿宋_GB2312" w:hAnsi="仿宋"/>
          <w:szCs w:val="32"/>
        </w:rPr>
      </w:pPr>
      <w:r>
        <w:rPr>
          <w:rFonts w:hint="eastAsia" w:ascii="仿宋_GB2312" w:hAnsi="仿宋"/>
          <w:b/>
          <w:szCs w:val="32"/>
        </w:rPr>
        <w:t>一、财政拨款收入：</w:t>
      </w:r>
      <w:r>
        <w:rPr>
          <w:rFonts w:hint="eastAsia" w:ascii="仿宋_GB2312" w:hAnsi="仿宋"/>
          <w:szCs w:val="32"/>
        </w:rPr>
        <w:t>指单位从同级财政部门取得的财政预算资金。</w:t>
      </w:r>
    </w:p>
    <w:p>
      <w:pPr>
        <w:adjustRightInd w:val="0"/>
        <w:snapToGrid w:val="0"/>
        <w:spacing w:line="600" w:lineRule="exact"/>
        <w:ind w:firstLine="643" w:firstLineChars="200"/>
        <w:rPr>
          <w:rFonts w:hint="eastAsia" w:ascii="仿宋_GB2312" w:hAnsi="仿宋"/>
          <w:szCs w:val="32"/>
        </w:rPr>
      </w:pPr>
      <w:r>
        <w:rPr>
          <w:rFonts w:hint="eastAsia" w:ascii="仿宋_GB2312" w:hAnsi="仿宋"/>
          <w:b/>
          <w:bCs/>
          <w:szCs w:val="32"/>
        </w:rPr>
        <w:t>二、事业收入：</w:t>
      </w:r>
      <w:r>
        <w:rPr>
          <w:rFonts w:hint="eastAsia" w:ascii="仿宋_GB2312" w:hAnsi="仿宋"/>
          <w:szCs w:val="32"/>
        </w:rPr>
        <w:t>指事业单位开展专业业务活动及辅助活动所取得的收入。</w:t>
      </w:r>
    </w:p>
    <w:p>
      <w:pPr>
        <w:pStyle w:val="6"/>
        <w:adjustRightInd w:val="0"/>
        <w:snapToGrid w:val="0"/>
        <w:spacing w:line="600" w:lineRule="exact"/>
        <w:ind w:firstLine="630" w:firstLineChars="196"/>
        <w:rPr>
          <w:rFonts w:ascii="仿宋_GB2312" w:hAnsi="黑体"/>
          <w:b/>
          <w:bCs/>
          <w:szCs w:val="32"/>
        </w:rPr>
      </w:pPr>
      <w:r>
        <w:rPr>
          <w:rFonts w:hint="eastAsia" w:ascii="仿宋_GB2312" w:hAnsi="黑体" w:eastAsia="仿宋_GB2312"/>
          <w:b/>
          <w:sz w:val="32"/>
          <w:szCs w:val="32"/>
        </w:rPr>
        <w:t>三、</w:t>
      </w:r>
      <w:r>
        <w:rPr>
          <w:rFonts w:hint="eastAsia" w:ascii="仿宋_GB2312" w:hAnsi="黑体" w:eastAsia="仿宋_GB2312"/>
          <w:b/>
          <w:bCs/>
          <w:sz w:val="32"/>
          <w:szCs w:val="32"/>
        </w:rPr>
        <w:t>上级补助收入：</w:t>
      </w:r>
      <w:r>
        <w:rPr>
          <w:rFonts w:hint="eastAsia" w:ascii="仿宋_GB2312" w:hAnsi="黑体" w:eastAsia="仿宋_GB2312"/>
          <w:bCs/>
          <w:sz w:val="32"/>
          <w:szCs w:val="32"/>
        </w:rPr>
        <w:t>指</w:t>
      </w:r>
      <w:r>
        <w:rPr>
          <w:rFonts w:hint="eastAsia" w:ascii="仿宋_GB2312" w:hAnsi="仿宋" w:eastAsia="仿宋_GB2312" w:cs="Times New Roman"/>
          <w:kern w:val="2"/>
          <w:sz w:val="32"/>
          <w:szCs w:val="32"/>
        </w:rPr>
        <w:t>事业单位从主管部门和上级单位取得的非财政补助收入。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四、附属单位上缴收入：</w:t>
      </w:r>
      <w:r>
        <w:rPr>
          <w:rFonts w:hint="eastAsia" w:ascii="仿宋_GB2312" w:hAnsi="黑体" w:eastAsia="仿宋_GB2312"/>
          <w:bCs/>
          <w:sz w:val="32"/>
          <w:szCs w:val="32"/>
        </w:rPr>
        <w:t>指事业单位附属独立核算单位按照有关规定上缴的收入。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五、经营收入</w:t>
      </w:r>
      <w:r>
        <w:rPr>
          <w:rFonts w:hint="eastAsia"/>
          <w:b/>
          <w:bCs/>
          <w:color w:val="383535"/>
        </w:rPr>
        <w:t>：</w:t>
      </w:r>
      <w:r>
        <w:rPr>
          <w:rFonts w:hint="eastAsia" w:ascii="仿宋_GB2312" w:hAnsi="黑体" w:eastAsia="仿宋_GB2312"/>
          <w:bCs/>
          <w:sz w:val="32"/>
          <w:szCs w:val="32"/>
        </w:rPr>
        <w:t>指事业单位在专业业务活动及其辅助活动之外开展非独立核算经营活动取得的收入。</w:t>
      </w:r>
    </w:p>
    <w:p>
      <w:pPr>
        <w:pStyle w:val="6"/>
        <w:adjustRightInd w:val="0"/>
        <w:snapToGrid w:val="0"/>
        <w:spacing w:line="600" w:lineRule="exact"/>
        <w:ind w:firstLine="630" w:firstLineChars="196"/>
        <w:rPr>
          <w:rFonts w:hint="eastAsia" w:ascii="仿宋_GB2312" w:hAnsi="黑体"/>
          <w:b/>
          <w:bCs/>
          <w:szCs w:val="32"/>
        </w:rPr>
      </w:pPr>
      <w:r>
        <w:rPr>
          <w:rFonts w:hint="eastAsia" w:ascii="仿宋_GB2312" w:hAnsi="黑体" w:eastAsia="仿宋_GB2312"/>
          <w:b/>
          <w:sz w:val="32"/>
          <w:szCs w:val="32"/>
        </w:rPr>
        <w:t>六、</w:t>
      </w:r>
      <w:r>
        <w:rPr>
          <w:rFonts w:hint="eastAsia" w:ascii="仿宋_GB2312" w:hAnsi="黑体" w:eastAsia="仿宋_GB2312"/>
          <w:b/>
          <w:bCs/>
          <w:sz w:val="32"/>
          <w:szCs w:val="32"/>
        </w:rPr>
        <w:t>其他收入：</w:t>
      </w:r>
      <w:r>
        <w:rPr>
          <w:rFonts w:hint="eastAsia" w:ascii="仿宋_GB2312" w:hAnsi="黑体" w:eastAsia="仿宋_GB2312"/>
          <w:bCs/>
          <w:sz w:val="32"/>
          <w:szCs w:val="32"/>
        </w:rPr>
        <w:t>指除财政拨款收入、事业收入、上级补助收入、附属单位上缴收入、经营收入以外的各项收入。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七、使用非财政拨款结余：</w:t>
      </w:r>
      <w:r>
        <w:rPr>
          <w:rFonts w:hint="eastAsia" w:ascii="仿宋_GB2312" w:hAnsi="黑体" w:eastAsia="仿宋_GB2312"/>
          <w:bCs/>
          <w:sz w:val="32"/>
          <w:szCs w:val="32"/>
        </w:rPr>
        <w:t>指事业单位使用以前年度积累的非财政拨款结余弥补当年收支差额的金额。</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八、年初结转和结余：</w:t>
      </w:r>
      <w:r>
        <w:rPr>
          <w:rFonts w:hint="eastAsia" w:ascii="仿宋_GB2312" w:hAnsi="黑体" w:eastAsia="仿宋_GB2312"/>
          <w:bCs/>
          <w:sz w:val="32"/>
          <w:szCs w:val="32"/>
        </w:rPr>
        <w:t>指以前年度安排、结转到本年仍按原规定用途继续使用的资金。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九、结余分配：</w:t>
      </w:r>
      <w:r>
        <w:rPr>
          <w:rFonts w:hint="eastAsia" w:ascii="仿宋_GB2312" w:hAnsi="黑体" w:eastAsia="仿宋_GB2312"/>
          <w:bCs/>
          <w:sz w:val="32"/>
          <w:szCs w:val="32"/>
        </w:rPr>
        <w:t>指事业单位按照会计制度规定缴纳的所得税以及从非财政拨款结余中提取的职工福利基金、事业基金等。</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
          <w:sz w:val="32"/>
          <w:szCs w:val="32"/>
        </w:rPr>
      </w:pPr>
      <w:r>
        <w:rPr>
          <w:rFonts w:hint="eastAsia" w:ascii="仿宋_GB2312" w:hAnsi="黑体" w:eastAsia="仿宋_GB2312"/>
          <w:b/>
          <w:bCs/>
          <w:sz w:val="32"/>
          <w:szCs w:val="32"/>
        </w:rPr>
        <w:t>十、年末结转和结余：</w:t>
      </w:r>
      <w:r>
        <w:rPr>
          <w:rFonts w:hint="eastAsia" w:ascii="仿宋_GB2312" w:hAnsi="黑体" w:eastAsia="仿宋_GB2312"/>
          <w:bCs/>
          <w:sz w:val="32"/>
          <w:szCs w:val="32"/>
        </w:rPr>
        <w:t>指单位本年度或以前年度预算安排、因客观条件发生变化未全部执行或未执行，结转到以后年度继续使用的资金，或项目已经完成等产生的结余资金。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sz w:val="32"/>
          <w:szCs w:val="32"/>
        </w:rPr>
      </w:pPr>
      <w:r>
        <w:rPr>
          <w:rFonts w:hint="eastAsia" w:ascii="仿宋_GB2312" w:hAnsi="黑体" w:eastAsia="仿宋_GB2312"/>
          <w:b/>
          <w:sz w:val="32"/>
          <w:szCs w:val="32"/>
        </w:rPr>
        <w:t>十一、基本支出：</w:t>
      </w:r>
      <w:r>
        <w:rPr>
          <w:rFonts w:hint="eastAsia" w:ascii="仿宋_GB2312" w:hAnsi="黑体" w:eastAsia="仿宋_GB2312"/>
          <w:sz w:val="32"/>
          <w:szCs w:val="32"/>
        </w:rPr>
        <w:t>指单位为保障其机构正常运转、完成日常工作任务而发生的人员支出和公用支出。</w:t>
      </w:r>
    </w:p>
    <w:p>
      <w:pPr>
        <w:pStyle w:val="6"/>
        <w:spacing w:before="0" w:beforeAutospacing="0" w:after="0" w:afterAutospacing="0" w:line="600" w:lineRule="exact"/>
        <w:ind w:firstLine="630" w:firstLineChars="196"/>
        <w:jc w:val="both"/>
        <w:rPr>
          <w:rFonts w:hint="eastAsia" w:ascii="仿宋_GB2312" w:hAnsi="黑体" w:eastAsia="仿宋_GB2312"/>
          <w:sz w:val="32"/>
          <w:szCs w:val="32"/>
        </w:rPr>
      </w:pPr>
      <w:r>
        <w:rPr>
          <w:rFonts w:hint="eastAsia" w:ascii="仿宋_GB2312" w:hAnsi="黑体" w:eastAsia="仿宋_GB2312"/>
          <w:b/>
          <w:sz w:val="32"/>
          <w:szCs w:val="32"/>
        </w:rPr>
        <w:t>十二、项目支出：</w:t>
      </w:r>
      <w:r>
        <w:rPr>
          <w:rFonts w:hint="eastAsia" w:ascii="仿宋_GB2312" w:hAnsi="黑体" w:eastAsia="仿宋_GB2312"/>
          <w:sz w:val="32"/>
          <w:szCs w:val="32"/>
        </w:rPr>
        <w:t>指单位为完成特定行政任务和事业发展目标在基本支出之外所发生的支出。</w:t>
      </w:r>
      <w:r>
        <w:rPr>
          <w:rFonts w:hint="eastAsia"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仿宋_GB2312" w:hAnsi="黑体" w:eastAsia="仿宋_GB2312"/>
          <w:b/>
          <w:sz w:val="32"/>
          <w:szCs w:val="32"/>
        </w:rPr>
        <w:t>十三、经营支出：</w:t>
      </w:r>
      <w:r>
        <w:rPr>
          <w:rFonts w:hint="eastAsia" w:ascii="仿宋_GB2312" w:hAnsi="黑体" w:eastAsia="仿宋_GB2312"/>
          <w:sz w:val="32"/>
          <w:szCs w:val="32"/>
        </w:rPr>
        <w:t>指事业单位在专业业务活动及其辅助活动之外开展非独立核算经营活动发生的支出。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十四、“三公”经费：</w:t>
      </w:r>
      <w:r>
        <w:rPr>
          <w:rFonts w:hint="eastAsia" w:ascii="仿宋_GB2312" w:hAnsi="黑体" w:eastAsia="仿宋_GB2312"/>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hAnsi="黑体" w:eastAsia="仿宋_GB2312"/>
          <w:sz w:val="32"/>
          <w:szCs w:val="32"/>
        </w:rPr>
        <w:t>）</w:t>
      </w:r>
      <w:r>
        <w:rPr>
          <w:rFonts w:hint="eastAsia" w:ascii="仿宋_GB2312" w:hAnsi="黑体" w:eastAsia="仿宋_GB2312"/>
          <w:sz w:val="32"/>
          <w:szCs w:val="32"/>
        </w:rPr>
        <w:t>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十五、机关运行经费</w:t>
      </w:r>
      <w:r>
        <w:rPr>
          <w:rFonts w:hint="eastAsia" w:ascii="仿宋_GB2312" w:hAnsi="黑体" w:eastAsia="仿宋_GB2312"/>
          <w:sz w:val="32"/>
          <w:szCs w:val="32"/>
        </w:rPr>
        <w:t>：</w:t>
      </w:r>
      <w:r>
        <w:rPr>
          <w:rFonts w:hint="eastAsia" w:ascii="仿宋_GB2312" w:eastAsia="仿宋_GB2312"/>
          <w:sz w:val="32"/>
          <w:szCs w:val="32"/>
        </w:rPr>
        <w:t>指为保障行政单位（含参照公务员法管理的事业单位）运行用于购买货物和服务的各项资金</w:t>
      </w:r>
      <w:r>
        <w:rPr>
          <w:rFonts w:hint="eastAsia" w:ascii="仿宋_GB2312" w:hAnsi="Times New Roman" w:eastAsia="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ind w:left="1700" w:leftChars="250" w:hanging="900" w:hangingChars="249"/>
        <w:jc w:val="center"/>
        <w:rPr>
          <w:rFonts w:hint="eastAsia"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spacing w:line="580" w:lineRule="exact"/>
        <w:ind w:firstLine="64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448CD"/>
    <w:multiLevelType w:val="singleLevel"/>
    <w:tmpl w:val="2C4448CD"/>
    <w:lvl w:ilvl="0" w:tentative="0">
      <w:start w:val="1"/>
      <w:numFmt w:val="chineseCounting"/>
      <w:suff w:val="nothing"/>
      <w:lvlText w:val="%1、"/>
      <w:lvlJc w:val="left"/>
      <w:rPr>
        <w:rFonts w:hint="eastAsia"/>
      </w:rPr>
    </w:lvl>
  </w:abstractNum>
  <w:abstractNum w:abstractNumId="1">
    <w:nsid w:val="60FA2513"/>
    <w:multiLevelType w:val="singleLevel"/>
    <w:tmpl w:val="60FA2513"/>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89"/>
    <w:rsid w:val="00123189"/>
    <w:rsid w:val="0053471F"/>
    <w:rsid w:val="00DF3645"/>
    <w:rsid w:val="00EE128F"/>
    <w:rsid w:val="0A614A8A"/>
    <w:rsid w:val="0E837418"/>
    <w:rsid w:val="178F7589"/>
    <w:rsid w:val="1A1676A3"/>
    <w:rsid w:val="22C234D5"/>
    <w:rsid w:val="23B3762A"/>
    <w:rsid w:val="262B7726"/>
    <w:rsid w:val="2DB615D2"/>
    <w:rsid w:val="33B01612"/>
    <w:rsid w:val="342310B1"/>
    <w:rsid w:val="346A2812"/>
    <w:rsid w:val="38CA2E69"/>
    <w:rsid w:val="404A7CAA"/>
    <w:rsid w:val="40F6385C"/>
    <w:rsid w:val="597B5C05"/>
    <w:rsid w:val="5DB41E54"/>
    <w:rsid w:val="5E0849DD"/>
    <w:rsid w:val="5FB30C7D"/>
    <w:rsid w:val="60424FF3"/>
    <w:rsid w:val="61CC378A"/>
    <w:rsid w:val="635A5E4D"/>
    <w:rsid w:val="670D074F"/>
    <w:rsid w:val="6D551437"/>
    <w:rsid w:val="6E1215E7"/>
    <w:rsid w:val="76E301B5"/>
    <w:rsid w:val="7E267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qFormat/>
    <w:uiPriority w:val="0"/>
    <w:pPr>
      <w:jc w:val="center"/>
    </w:pPr>
    <w:rPr>
      <w:rFonts w:eastAsia="黑体"/>
      <w:sz w:val="36"/>
    </w:rPr>
  </w:style>
  <w:style w:type="paragraph" w:styleId="3">
    <w:name w:val="Balloon Text"/>
    <w:basedOn w:val="1"/>
    <w:link w:val="14"/>
    <w:semiHidden/>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bCs/>
    </w:rPr>
  </w:style>
  <w:style w:type="character" w:styleId="11">
    <w:name w:val="page number"/>
    <w:basedOn w:val="9"/>
    <w:qFormat/>
    <w:uiPriority w:val="0"/>
  </w:style>
  <w:style w:type="paragraph" w:customStyle="1" w:styleId="12">
    <w:name w:val="正文（无条数）"/>
    <w:basedOn w:val="1"/>
    <w:qFormat/>
    <w:uiPriority w:val="0"/>
    <w:pPr>
      <w:adjustRightInd w:val="0"/>
      <w:snapToGrid w:val="0"/>
      <w:spacing w:line="360" w:lineRule="auto"/>
      <w:ind w:firstLine="200" w:firstLineChars="200"/>
    </w:pPr>
    <w:rPr>
      <w:rFonts w:ascii="仿宋_GB2312"/>
      <w:color w:val="000000"/>
      <w:szCs w:val="32"/>
    </w:rPr>
  </w:style>
  <w:style w:type="character" w:customStyle="1" w:styleId="13">
    <w:name w:val="正文文本 Char"/>
    <w:basedOn w:val="9"/>
    <w:link w:val="2"/>
    <w:qFormat/>
    <w:uiPriority w:val="0"/>
    <w:rPr>
      <w:rFonts w:ascii="Times New Roman" w:hAnsi="Times New Roman" w:eastAsia="黑体" w:cs="Times New Roman"/>
      <w:sz w:val="36"/>
      <w:szCs w:val="20"/>
    </w:rPr>
  </w:style>
  <w:style w:type="character" w:customStyle="1" w:styleId="14">
    <w:name w:val="批注框文本 Char"/>
    <w:basedOn w:val="9"/>
    <w:link w:val="3"/>
    <w:semiHidden/>
    <w:qFormat/>
    <w:uiPriority w:val="0"/>
    <w:rPr>
      <w:rFonts w:ascii="Times New Roman" w:hAnsi="Times New Roman" w:cs="Times New Roman"/>
      <w:sz w:val="18"/>
      <w:szCs w:val="18"/>
    </w:rPr>
  </w:style>
  <w:style w:type="character" w:customStyle="1" w:styleId="15">
    <w:name w:val="页眉 Char"/>
    <w:basedOn w:val="9"/>
    <w:link w:val="5"/>
    <w:qFormat/>
    <w:uiPriority w:val="0"/>
    <w:rPr>
      <w:rFonts w:ascii="Times New Roman" w:hAnsi="Times New Roman" w:cs="Times New Roman"/>
      <w:sz w:val="18"/>
      <w:szCs w:val="20"/>
    </w:rPr>
  </w:style>
  <w:style w:type="character" w:customStyle="1" w:styleId="16">
    <w:name w:val="页脚 Char"/>
    <w:basedOn w:val="9"/>
    <w:link w:val="4"/>
    <w:qFormat/>
    <w:uiPriority w:val="0"/>
    <w:rPr>
      <w:rFonts w:ascii="Times New Roman" w:hAnsi="Times New Roman" w:cs="Times New Roman"/>
      <w:sz w:val="1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1625</Words>
  <Characters>9266</Characters>
  <Lines>77</Lines>
  <Paragraphs>21</Paragraphs>
  <TotalTime>5</TotalTime>
  <ScaleCrop>false</ScaleCrop>
  <LinksUpToDate>false</LinksUpToDate>
  <CharactersWithSpaces>10870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2021-09-30T06:45:00Z</dcterms:created>
  <dc:creator>LENOVO</dc:creator>
  <cp:lastModifiedBy>在成长路上</cp:lastModifiedBy>
  <dcterms:modified xsi:type="dcterms:W3CDTF">2022-09-12T00:56:22Z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