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sz w:val="28"/>
          <w:szCs w:val="28"/>
        </w:rPr>
      </w:pPr>
      <w:r>
        <w:rPr>
          <w:rFonts w:hint="eastAsia" w:ascii="宋体" w:hAnsi="宋体"/>
          <w:sz w:val="28"/>
          <w:szCs w:val="28"/>
        </w:rPr>
        <w:t>附件2：单位决算公开</w:t>
      </w:r>
    </w:p>
    <w:p>
      <w:pPr>
        <w:adjustRightInd w:val="0"/>
        <w:snapToGrid w:val="0"/>
        <w:spacing w:line="360" w:lineRule="auto"/>
        <w:rPr>
          <w:rFonts w:hint="eastAsia" w:ascii="华文中宋" w:hAnsi="华文中宋" w:eastAsia="华文中宋" w:cs="华文中宋"/>
          <w:b/>
          <w:sz w:val="52"/>
          <w:szCs w:val="84"/>
        </w:rPr>
      </w:pPr>
    </w:p>
    <w:p>
      <w:pPr>
        <w:adjustRightInd w:val="0"/>
        <w:snapToGrid w:val="0"/>
        <w:spacing w:line="360" w:lineRule="auto"/>
        <w:jc w:val="center"/>
        <w:rPr>
          <w:rFonts w:ascii="华文中宋" w:hAnsi="华文中宋" w:eastAsia="华文中宋" w:cs="华文中宋"/>
          <w:b/>
          <w:sz w:val="36"/>
          <w:szCs w:val="36"/>
        </w:rPr>
      </w:pPr>
      <w:r>
        <w:rPr>
          <w:rFonts w:hint="eastAsia" w:ascii="华文中宋" w:hAnsi="华文中宋" w:eastAsia="华文中宋" w:cs="华文中宋"/>
          <w:b/>
          <w:sz w:val="36"/>
          <w:szCs w:val="36"/>
        </w:rPr>
        <w:t>池州市贵池区</w:t>
      </w:r>
      <w:r>
        <w:rPr>
          <w:rFonts w:hint="eastAsia" w:ascii="华文中宋" w:hAnsi="华文中宋" w:eastAsia="华文中宋" w:cs="华文中宋"/>
          <w:b/>
          <w:sz w:val="36"/>
          <w:szCs w:val="36"/>
          <w:lang w:eastAsia="zh-CN"/>
        </w:rPr>
        <w:t>人民政府墩上街道办事处（本级）</w:t>
      </w:r>
      <w:r>
        <w:rPr>
          <w:rFonts w:hint="eastAsia" w:ascii="华文中宋" w:hAnsi="华文中宋" w:eastAsia="华文中宋" w:cs="华文中宋"/>
          <w:b/>
          <w:sz w:val="36"/>
          <w:szCs w:val="36"/>
        </w:rPr>
        <w:t>单位2020年度单位决算</w:t>
      </w: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pStyle w:val="6"/>
        <w:adjustRightInd w:val="0"/>
        <w:snapToGrid w:val="0"/>
        <w:spacing w:before="0" w:beforeAutospacing="0" w:after="0" w:afterAutospacing="0" w:line="360" w:lineRule="auto"/>
        <w:jc w:val="center"/>
        <w:rPr>
          <w:rFonts w:hint="eastAsia" w:ascii="黑体" w:hAnsi="黑体" w:eastAsia="黑体"/>
          <w:bCs/>
          <w:sz w:val="44"/>
          <w:szCs w:val="44"/>
        </w:rPr>
      </w:pPr>
      <w:r>
        <w:rPr>
          <w:rFonts w:hint="eastAsia" w:ascii="黑体" w:hAnsi="黑体" w:eastAsia="黑体"/>
          <w:bCs/>
          <w:sz w:val="44"/>
          <w:szCs w:val="44"/>
        </w:rPr>
        <w:t>2021年</w:t>
      </w:r>
      <w:r>
        <w:rPr>
          <w:rFonts w:hint="eastAsia" w:ascii="黑体" w:hAnsi="黑体" w:eastAsia="黑体"/>
          <w:bCs/>
          <w:sz w:val="44"/>
          <w:szCs w:val="44"/>
          <w:lang w:val="en-US" w:eastAsia="zh-CN"/>
        </w:rPr>
        <w:t>10</w:t>
      </w:r>
      <w:r>
        <w:rPr>
          <w:rFonts w:hint="eastAsia" w:ascii="黑体" w:hAnsi="黑体" w:eastAsia="黑体"/>
          <w:bCs/>
          <w:sz w:val="44"/>
          <w:szCs w:val="44"/>
        </w:rPr>
        <w:t>月</w:t>
      </w:r>
    </w:p>
    <w:p>
      <w:pPr>
        <w:spacing w:line="520" w:lineRule="exact"/>
        <w:jc w:val="center"/>
        <w:rPr>
          <w:rFonts w:hint="eastAsia" w:ascii="黑体" w:hAnsi="宋体" w:eastAsia="黑体"/>
          <w:bCs/>
          <w:sz w:val="48"/>
          <w:szCs w:val="48"/>
        </w:rPr>
      </w:pPr>
      <w:r>
        <w:rPr>
          <w:rFonts w:hint="eastAsia" w:ascii="黑体" w:hAnsi="宋体" w:eastAsia="黑体"/>
          <w:bCs/>
          <w:sz w:val="48"/>
          <w:szCs w:val="48"/>
        </w:rPr>
        <w:t>目  录</w:t>
      </w:r>
    </w:p>
    <w:p>
      <w:pPr>
        <w:spacing w:line="520" w:lineRule="exact"/>
        <w:rPr>
          <w:rFonts w:hint="eastAsia" w:ascii="宋体" w:hAnsi="宋体"/>
          <w:b/>
          <w:szCs w:val="32"/>
        </w:rPr>
      </w:pPr>
      <w:r>
        <w:rPr>
          <w:rFonts w:hint="eastAsia" w:ascii="宋体" w:hAnsi="宋体"/>
          <w:b/>
          <w:szCs w:val="32"/>
        </w:rPr>
        <w:t>第一部分</w:t>
      </w:r>
      <w:r>
        <w:rPr>
          <w:rFonts w:hint="eastAsia" w:ascii="宋体" w:hAnsi="宋体"/>
          <w:b/>
          <w:szCs w:val="32"/>
          <w:lang w:eastAsia="zh-CN"/>
        </w:rPr>
        <w:t>池州市贵池区人民政府墩上街道办事处（本级）</w:t>
      </w:r>
      <w:r>
        <w:rPr>
          <w:rFonts w:hint="eastAsia" w:ascii="宋体" w:hAnsi="宋体"/>
          <w:b/>
          <w:szCs w:val="32"/>
        </w:rPr>
        <w:t>单位概况</w:t>
      </w:r>
    </w:p>
    <w:p>
      <w:pPr>
        <w:spacing w:line="520" w:lineRule="exact"/>
        <w:rPr>
          <w:rFonts w:hint="eastAsia" w:ascii="宋体" w:hAnsi="宋体"/>
          <w:bCs/>
          <w:szCs w:val="32"/>
        </w:rPr>
      </w:pPr>
      <w:r>
        <w:rPr>
          <w:rFonts w:hint="eastAsia" w:ascii="宋体" w:hAnsi="宋体"/>
          <w:bCs/>
          <w:szCs w:val="32"/>
        </w:rPr>
        <w:t>一、主要职责</w:t>
      </w:r>
    </w:p>
    <w:p>
      <w:pPr>
        <w:tabs>
          <w:tab w:val="left" w:pos="3130"/>
        </w:tabs>
        <w:spacing w:line="520" w:lineRule="exact"/>
        <w:rPr>
          <w:rFonts w:hint="eastAsia" w:ascii="宋体" w:hAnsi="宋体"/>
          <w:bCs/>
          <w:color w:val="0000FF"/>
          <w:szCs w:val="32"/>
        </w:rPr>
      </w:pPr>
      <w:r>
        <w:rPr>
          <w:rFonts w:hint="eastAsia" w:ascii="宋体" w:hAnsi="宋体"/>
          <w:bCs/>
          <w:color w:val="0000FF"/>
          <w:szCs w:val="32"/>
        </w:rPr>
        <w:t>二、单位决算构成</w:t>
      </w:r>
    </w:p>
    <w:p>
      <w:pPr>
        <w:spacing w:line="520" w:lineRule="exact"/>
        <w:rPr>
          <w:rFonts w:hint="eastAsia" w:ascii="宋体" w:hAnsi="宋体"/>
          <w:b/>
          <w:szCs w:val="32"/>
        </w:rPr>
      </w:pPr>
      <w:r>
        <w:rPr>
          <w:rFonts w:hint="eastAsia" w:ascii="宋体" w:hAnsi="宋体"/>
          <w:b/>
          <w:szCs w:val="32"/>
        </w:rPr>
        <w:t xml:space="preserve">第二部分 </w:t>
      </w:r>
      <w:r>
        <w:rPr>
          <w:rFonts w:hint="eastAsia" w:ascii="宋体" w:hAnsi="宋体"/>
          <w:b/>
          <w:szCs w:val="32"/>
          <w:lang w:eastAsia="zh-CN"/>
        </w:rPr>
        <w:t>池州市贵池区人民政府墩上街道办事处（本级）</w:t>
      </w:r>
      <w:r>
        <w:rPr>
          <w:rFonts w:hint="eastAsia" w:ascii="宋体" w:hAnsi="宋体"/>
          <w:b/>
          <w:szCs w:val="32"/>
        </w:rPr>
        <w:t>单位2020年度</w:t>
      </w:r>
      <w:r>
        <w:rPr>
          <w:rFonts w:hint="eastAsia" w:ascii="宋体" w:hAnsi="宋体"/>
          <w:b/>
          <w:color w:val="0000FF"/>
          <w:szCs w:val="32"/>
        </w:rPr>
        <w:t>单位</w:t>
      </w:r>
      <w:r>
        <w:rPr>
          <w:rFonts w:hint="eastAsia" w:ascii="宋体" w:hAnsi="宋体"/>
          <w:b/>
          <w:szCs w:val="32"/>
        </w:rPr>
        <w:t>决算表</w:t>
      </w:r>
    </w:p>
    <w:p>
      <w:pPr>
        <w:spacing w:line="520" w:lineRule="exact"/>
        <w:rPr>
          <w:rFonts w:hint="eastAsia" w:ascii="宋体" w:hAnsi="宋体"/>
          <w:bCs/>
          <w:szCs w:val="32"/>
        </w:rPr>
      </w:pPr>
      <w:r>
        <w:rPr>
          <w:rFonts w:hint="eastAsia" w:ascii="宋体" w:hAnsi="宋体"/>
          <w:bCs/>
          <w:szCs w:val="32"/>
        </w:rPr>
        <w:t>一、收入支出决算总表</w:t>
      </w:r>
    </w:p>
    <w:p>
      <w:pPr>
        <w:spacing w:line="520" w:lineRule="exact"/>
        <w:rPr>
          <w:rFonts w:hint="eastAsia" w:ascii="宋体" w:hAnsi="宋体"/>
          <w:bCs/>
          <w:szCs w:val="32"/>
        </w:rPr>
      </w:pPr>
      <w:r>
        <w:rPr>
          <w:rFonts w:hint="eastAsia" w:ascii="宋体" w:hAnsi="宋体"/>
          <w:bCs/>
          <w:szCs w:val="32"/>
        </w:rPr>
        <w:t>二、收入决算表</w:t>
      </w:r>
    </w:p>
    <w:p>
      <w:pPr>
        <w:spacing w:line="520" w:lineRule="exact"/>
        <w:rPr>
          <w:rFonts w:hint="eastAsia" w:ascii="宋体" w:hAnsi="宋体"/>
          <w:bCs/>
          <w:szCs w:val="32"/>
        </w:rPr>
      </w:pPr>
      <w:r>
        <w:rPr>
          <w:rFonts w:hint="eastAsia" w:ascii="宋体" w:hAnsi="宋体"/>
          <w:bCs/>
          <w:szCs w:val="32"/>
        </w:rPr>
        <w:t>三、支出决算表</w:t>
      </w:r>
    </w:p>
    <w:p>
      <w:pPr>
        <w:spacing w:line="520" w:lineRule="exact"/>
        <w:rPr>
          <w:rFonts w:hint="eastAsia" w:ascii="宋体" w:hAnsi="宋体"/>
          <w:bCs/>
          <w:szCs w:val="32"/>
        </w:rPr>
      </w:pPr>
      <w:r>
        <w:rPr>
          <w:rFonts w:hint="eastAsia" w:ascii="宋体" w:hAnsi="宋体"/>
          <w:bCs/>
          <w:szCs w:val="32"/>
        </w:rPr>
        <w:t>四、财政拨款收入支出决算总表</w:t>
      </w:r>
    </w:p>
    <w:p>
      <w:pPr>
        <w:spacing w:line="520" w:lineRule="exact"/>
        <w:rPr>
          <w:rFonts w:hint="eastAsia" w:ascii="宋体" w:hAnsi="宋体"/>
          <w:bCs/>
          <w:szCs w:val="32"/>
        </w:rPr>
      </w:pPr>
      <w:r>
        <w:rPr>
          <w:rFonts w:hint="eastAsia" w:ascii="宋体" w:hAnsi="宋体"/>
          <w:bCs/>
          <w:szCs w:val="32"/>
        </w:rPr>
        <w:t>五、一般公共预算财政拨款支出决算表</w:t>
      </w:r>
    </w:p>
    <w:p>
      <w:pPr>
        <w:spacing w:line="520" w:lineRule="exact"/>
        <w:rPr>
          <w:rFonts w:hint="eastAsia" w:ascii="宋体" w:hAnsi="宋体"/>
          <w:bCs/>
          <w:szCs w:val="32"/>
        </w:rPr>
      </w:pPr>
      <w:r>
        <w:rPr>
          <w:rFonts w:hint="eastAsia" w:ascii="宋体" w:hAnsi="宋体"/>
          <w:bCs/>
          <w:szCs w:val="32"/>
        </w:rPr>
        <w:t>六、一般公共预算财政拨款基本支出决算表</w:t>
      </w:r>
    </w:p>
    <w:p>
      <w:pPr>
        <w:spacing w:line="520" w:lineRule="exact"/>
        <w:rPr>
          <w:rFonts w:hint="eastAsia" w:ascii="宋体" w:hAnsi="宋体"/>
          <w:bCs/>
          <w:szCs w:val="32"/>
        </w:rPr>
      </w:pPr>
      <w:r>
        <w:rPr>
          <w:rFonts w:hint="eastAsia" w:ascii="宋体" w:hAnsi="宋体"/>
          <w:bCs/>
          <w:szCs w:val="32"/>
        </w:rPr>
        <w:t>七、政府性基金预算财政拨款收入支出决算表</w:t>
      </w:r>
    </w:p>
    <w:p>
      <w:pPr>
        <w:spacing w:line="520" w:lineRule="exact"/>
        <w:rPr>
          <w:rFonts w:hint="eastAsia" w:ascii="宋体" w:hAnsi="宋体"/>
          <w:bCs/>
          <w:szCs w:val="32"/>
        </w:rPr>
      </w:pPr>
      <w:r>
        <w:rPr>
          <w:rFonts w:hint="eastAsia" w:ascii="宋体" w:hAnsi="宋体"/>
          <w:bCs/>
          <w:szCs w:val="32"/>
        </w:rPr>
        <w:t>八、国有资本经营预算财政拨款支出决算表</w:t>
      </w:r>
    </w:p>
    <w:p>
      <w:pPr>
        <w:spacing w:line="520" w:lineRule="exact"/>
        <w:rPr>
          <w:rFonts w:hint="eastAsia" w:ascii="宋体" w:hAnsi="宋体"/>
          <w:b/>
          <w:szCs w:val="32"/>
        </w:rPr>
      </w:pPr>
      <w:r>
        <w:rPr>
          <w:rFonts w:hint="eastAsia" w:ascii="宋体" w:hAnsi="宋体"/>
          <w:b/>
          <w:szCs w:val="32"/>
        </w:rPr>
        <w:t>第三部分</w:t>
      </w:r>
      <w:r>
        <w:rPr>
          <w:rFonts w:hint="eastAsia" w:ascii="宋体" w:hAnsi="宋体"/>
          <w:b/>
          <w:szCs w:val="32"/>
          <w:lang w:eastAsia="zh-CN"/>
        </w:rPr>
        <w:t>池州市贵池区人民政府墩上街道办事处（本级）</w:t>
      </w:r>
      <w:r>
        <w:rPr>
          <w:rFonts w:hint="eastAsia" w:ascii="宋体" w:hAnsi="宋体"/>
          <w:b/>
          <w:szCs w:val="32"/>
        </w:rPr>
        <w:t>单位2020年度</w:t>
      </w:r>
      <w:r>
        <w:rPr>
          <w:rFonts w:hint="eastAsia" w:ascii="宋体" w:hAnsi="宋体"/>
          <w:b/>
          <w:color w:val="0000FF"/>
          <w:szCs w:val="32"/>
        </w:rPr>
        <w:t>单位</w:t>
      </w:r>
      <w:r>
        <w:rPr>
          <w:rFonts w:hint="eastAsia" w:ascii="宋体" w:hAnsi="宋体"/>
          <w:b/>
          <w:szCs w:val="32"/>
        </w:rPr>
        <w:t>决算情况说明</w:t>
      </w:r>
    </w:p>
    <w:p>
      <w:pPr>
        <w:spacing w:line="520" w:lineRule="exact"/>
        <w:rPr>
          <w:rFonts w:hint="eastAsia" w:ascii="宋体" w:hAnsi="宋体"/>
          <w:bCs/>
          <w:szCs w:val="32"/>
        </w:rPr>
      </w:pPr>
      <w:r>
        <w:rPr>
          <w:rFonts w:hint="eastAsia" w:ascii="宋体" w:hAnsi="宋体"/>
          <w:bCs/>
          <w:szCs w:val="32"/>
        </w:rPr>
        <w:t>一、收入支出决算总体情况说明</w:t>
      </w:r>
    </w:p>
    <w:p>
      <w:pPr>
        <w:spacing w:line="520" w:lineRule="exact"/>
        <w:rPr>
          <w:rFonts w:hint="eastAsia" w:ascii="宋体" w:hAnsi="宋体"/>
          <w:bCs/>
          <w:szCs w:val="32"/>
        </w:rPr>
      </w:pPr>
      <w:r>
        <w:rPr>
          <w:rFonts w:hint="eastAsia" w:ascii="宋体" w:hAnsi="宋体"/>
          <w:bCs/>
          <w:szCs w:val="32"/>
        </w:rPr>
        <w:t>二、收入决算情况说明</w:t>
      </w:r>
    </w:p>
    <w:p>
      <w:pPr>
        <w:spacing w:line="520" w:lineRule="exact"/>
        <w:rPr>
          <w:rFonts w:hint="eastAsia" w:ascii="宋体" w:hAnsi="宋体"/>
          <w:bCs/>
          <w:szCs w:val="32"/>
        </w:rPr>
      </w:pPr>
      <w:r>
        <w:rPr>
          <w:rFonts w:hint="eastAsia" w:ascii="宋体" w:hAnsi="宋体"/>
          <w:bCs/>
          <w:szCs w:val="32"/>
        </w:rPr>
        <w:t>三、支出决算情况说明</w:t>
      </w:r>
    </w:p>
    <w:p>
      <w:pPr>
        <w:spacing w:line="520" w:lineRule="exact"/>
        <w:rPr>
          <w:rFonts w:hint="eastAsia" w:ascii="宋体" w:hAnsi="宋体"/>
          <w:bCs/>
          <w:szCs w:val="32"/>
        </w:rPr>
      </w:pPr>
      <w:r>
        <w:rPr>
          <w:rFonts w:hint="eastAsia" w:ascii="宋体" w:hAnsi="宋体"/>
          <w:bCs/>
          <w:szCs w:val="32"/>
        </w:rPr>
        <w:t>四、财政拨款收入支出决算总体情况说明</w:t>
      </w:r>
    </w:p>
    <w:p>
      <w:pPr>
        <w:spacing w:line="520" w:lineRule="exact"/>
        <w:rPr>
          <w:rFonts w:hint="eastAsia" w:ascii="宋体" w:hAnsi="宋体"/>
          <w:bCs/>
          <w:szCs w:val="32"/>
        </w:rPr>
      </w:pPr>
      <w:r>
        <w:rPr>
          <w:rFonts w:hint="eastAsia" w:ascii="宋体" w:hAnsi="宋体"/>
          <w:bCs/>
          <w:szCs w:val="32"/>
        </w:rPr>
        <w:t>五、一般公共预算财政拨款支出决算情况说明</w:t>
      </w:r>
    </w:p>
    <w:p>
      <w:pPr>
        <w:spacing w:line="520" w:lineRule="exact"/>
        <w:rPr>
          <w:rFonts w:hint="eastAsia" w:ascii="宋体" w:hAnsi="宋体"/>
          <w:bCs/>
          <w:szCs w:val="32"/>
        </w:rPr>
      </w:pPr>
      <w:r>
        <w:rPr>
          <w:rFonts w:hint="eastAsia" w:ascii="宋体" w:hAnsi="宋体"/>
          <w:bCs/>
          <w:szCs w:val="32"/>
        </w:rPr>
        <w:t>六、一般公共预算财政拨款基本支出决算情况说明</w:t>
      </w:r>
    </w:p>
    <w:p>
      <w:pPr>
        <w:spacing w:line="520" w:lineRule="exact"/>
        <w:rPr>
          <w:rFonts w:hint="eastAsia" w:ascii="宋体" w:hAnsi="宋体"/>
          <w:bCs/>
          <w:szCs w:val="32"/>
        </w:rPr>
      </w:pPr>
      <w:r>
        <w:rPr>
          <w:rFonts w:hint="eastAsia" w:ascii="宋体" w:hAnsi="宋体"/>
          <w:bCs/>
          <w:szCs w:val="32"/>
        </w:rPr>
        <w:t>七、政府性基金财政拨款收入支出决算情况说明</w:t>
      </w:r>
    </w:p>
    <w:p>
      <w:pPr>
        <w:spacing w:line="520" w:lineRule="exact"/>
        <w:rPr>
          <w:rFonts w:hint="eastAsia" w:ascii="宋体" w:hAnsi="宋体"/>
          <w:bCs/>
          <w:szCs w:val="32"/>
        </w:rPr>
      </w:pPr>
      <w:r>
        <w:rPr>
          <w:rFonts w:hint="eastAsia" w:ascii="宋体" w:hAnsi="宋体"/>
          <w:bCs/>
          <w:szCs w:val="32"/>
        </w:rPr>
        <w:t>八、国有资本经营预算财政拨款支出决算情况说明</w:t>
      </w:r>
    </w:p>
    <w:p>
      <w:pPr>
        <w:spacing w:line="520" w:lineRule="exact"/>
        <w:rPr>
          <w:rFonts w:hint="eastAsia" w:ascii="宋体" w:hAnsi="宋体"/>
          <w:bCs/>
          <w:szCs w:val="32"/>
        </w:rPr>
      </w:pPr>
      <w:r>
        <w:rPr>
          <w:rFonts w:hint="eastAsia" w:ascii="宋体" w:hAnsi="宋体"/>
          <w:bCs/>
          <w:szCs w:val="32"/>
        </w:rPr>
        <w:t>九、其他重要事项情况说明</w:t>
      </w:r>
    </w:p>
    <w:p>
      <w:pPr>
        <w:spacing w:line="520" w:lineRule="exact"/>
        <w:rPr>
          <w:rFonts w:hint="eastAsia" w:ascii="宋体" w:hAnsi="宋体"/>
          <w:b/>
          <w:szCs w:val="32"/>
        </w:rPr>
      </w:pPr>
      <w:r>
        <w:rPr>
          <w:rFonts w:hint="eastAsia" w:ascii="宋体" w:hAnsi="宋体"/>
          <w:b/>
          <w:szCs w:val="32"/>
        </w:rPr>
        <w:t>第四部分  名词解释</w:t>
      </w:r>
    </w:p>
    <w:p>
      <w:pPr>
        <w:spacing w:line="520" w:lineRule="exact"/>
        <w:rPr>
          <w:rFonts w:ascii="宋体" w:hAnsi="宋体"/>
          <w:b/>
          <w:szCs w:val="32"/>
        </w:rPr>
      </w:pPr>
      <w:r>
        <w:rPr>
          <w:rFonts w:hint="eastAsia" w:ascii="宋体" w:hAnsi="宋体"/>
          <w:b/>
          <w:szCs w:val="32"/>
        </w:rPr>
        <w:t>第五部分  附件</w:t>
      </w:r>
    </w:p>
    <w:p>
      <w:pPr>
        <w:spacing w:line="520" w:lineRule="exact"/>
        <w:rPr>
          <w:rFonts w:hint="eastAsia" w:ascii="宋体" w:hAnsi="宋体"/>
          <w:b/>
          <w:szCs w:val="32"/>
        </w:rPr>
      </w:pPr>
    </w:p>
    <w:p>
      <w:pPr>
        <w:jc w:val="center"/>
        <w:rPr>
          <w:rFonts w:hint="eastAsia" w:ascii="宋体" w:hAnsi="宋体"/>
          <w:b/>
          <w:sz w:val="36"/>
          <w:szCs w:val="36"/>
        </w:rPr>
      </w:pPr>
      <w:r>
        <w:rPr>
          <w:rFonts w:hint="eastAsia" w:ascii="宋体" w:hAnsi="宋体"/>
          <w:b/>
          <w:sz w:val="36"/>
          <w:szCs w:val="36"/>
          <w:lang w:eastAsia="zh-CN"/>
        </w:rPr>
        <w:t>池州市贵池区人民政府墩上街道办事处（本级）</w:t>
      </w:r>
      <w:r>
        <w:rPr>
          <w:rFonts w:hint="eastAsia" w:ascii="宋体" w:hAnsi="宋体"/>
          <w:b/>
          <w:sz w:val="36"/>
          <w:szCs w:val="36"/>
        </w:rPr>
        <w:t>单位</w:t>
      </w:r>
      <w:r>
        <w:rPr>
          <w:rFonts w:ascii="宋体" w:hAnsi="宋体"/>
          <w:b/>
          <w:sz w:val="36"/>
          <w:szCs w:val="36"/>
        </w:rPr>
        <w:t>2020年</w:t>
      </w:r>
      <w:r>
        <w:rPr>
          <w:rFonts w:hint="eastAsia" w:ascii="宋体" w:hAnsi="宋体"/>
          <w:b/>
          <w:sz w:val="36"/>
          <w:szCs w:val="36"/>
        </w:rPr>
        <w:t>度</w:t>
      </w:r>
      <w:r>
        <w:rPr>
          <w:rFonts w:hint="eastAsia" w:ascii="宋体" w:hAnsi="宋体"/>
          <w:b/>
          <w:color w:val="0000FF"/>
          <w:sz w:val="36"/>
          <w:szCs w:val="36"/>
        </w:rPr>
        <w:t>单位</w:t>
      </w:r>
      <w:r>
        <w:rPr>
          <w:rFonts w:hint="eastAsia" w:ascii="宋体" w:hAnsi="宋体"/>
          <w:b/>
          <w:sz w:val="36"/>
          <w:szCs w:val="36"/>
        </w:rPr>
        <w:t>决算</w:t>
      </w:r>
      <w:r>
        <w:rPr>
          <w:rFonts w:ascii="宋体" w:hAnsi="宋体"/>
          <w:b/>
          <w:sz w:val="36"/>
          <w:szCs w:val="36"/>
        </w:rPr>
        <w:t>情况</w:t>
      </w:r>
    </w:p>
    <w:p>
      <w:pPr>
        <w:ind w:firstLine="640" w:firstLineChars="200"/>
        <w:rPr>
          <w:rFonts w:hint="eastAsia" w:ascii="黑体" w:hAnsi="黑体" w:eastAsia="黑体"/>
          <w:szCs w:val="32"/>
        </w:rPr>
      </w:pPr>
    </w:p>
    <w:p>
      <w:pPr>
        <w:ind w:firstLine="640" w:firstLineChars="200"/>
        <w:rPr>
          <w:rFonts w:hint="eastAsia" w:ascii="黑体" w:hAnsi="黑体" w:eastAsia="黑体"/>
          <w:szCs w:val="32"/>
        </w:rPr>
      </w:pPr>
      <w:r>
        <w:rPr>
          <w:rFonts w:hint="eastAsia" w:ascii="黑体" w:hAnsi="黑体" w:eastAsia="黑体"/>
          <w:szCs w:val="32"/>
        </w:rPr>
        <w:t xml:space="preserve">第一部分 </w:t>
      </w:r>
      <w:r>
        <w:rPr>
          <w:rFonts w:hint="eastAsia" w:ascii="黑体" w:hAnsi="黑体" w:eastAsia="黑体"/>
          <w:szCs w:val="32"/>
          <w:lang w:eastAsia="zh-CN"/>
        </w:rPr>
        <w:t>池州市贵池区人民政府墩上街道办事处（本级）</w:t>
      </w:r>
      <w:r>
        <w:rPr>
          <w:rFonts w:hint="eastAsia" w:ascii="黑体" w:hAnsi="黑体" w:eastAsia="黑体"/>
          <w:szCs w:val="32"/>
        </w:rPr>
        <w:t>单位概况</w:t>
      </w:r>
    </w:p>
    <w:p>
      <w:pPr>
        <w:ind w:firstLine="640" w:firstLineChars="200"/>
        <w:rPr>
          <w:rFonts w:hint="eastAsia" w:ascii="黑体" w:hAnsi="黑体" w:eastAsia="黑体"/>
          <w:szCs w:val="32"/>
        </w:rPr>
      </w:pPr>
      <w:r>
        <w:rPr>
          <w:rFonts w:hint="eastAsia" w:ascii="黑体" w:hAnsi="黑体" w:eastAsia="黑体"/>
          <w:szCs w:val="32"/>
        </w:rPr>
        <w:t>一、主要职责</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560"/>
        <w:jc w:val="left"/>
        <w:rPr>
          <w:rFonts w:hint="eastAsia" w:ascii="仿宋" w:hAnsi="仿宋" w:eastAsia="仿宋" w:cs="仿宋"/>
          <w:i w:val="0"/>
          <w:caps w:val="0"/>
          <w:color w:val="3D3D3D"/>
          <w:spacing w:val="0"/>
          <w:sz w:val="32"/>
          <w:szCs w:val="32"/>
        </w:rPr>
      </w:pPr>
      <w:r>
        <w:rPr>
          <w:rFonts w:hint="eastAsia" w:ascii="仿宋" w:hAnsi="仿宋" w:eastAsia="仿宋" w:cs="仿宋"/>
          <w:i w:val="0"/>
          <w:caps w:val="0"/>
          <w:color w:val="3D3D3D"/>
          <w:spacing w:val="0"/>
          <w:sz w:val="32"/>
          <w:szCs w:val="32"/>
          <w:bdr w:val="none" w:color="auto" w:sz="0" w:space="0"/>
          <w:shd w:val="clear" w:fill="FFFFFF"/>
        </w:rPr>
        <w:t>墩上街道位于池州市贵池区东部</w:t>
      </w:r>
      <w:r>
        <w:rPr>
          <w:rFonts w:hint="eastAsia" w:ascii="仿宋" w:hAnsi="仿宋" w:eastAsia="仿宋" w:cs="仿宋"/>
          <w:i w:val="0"/>
          <w:caps w:val="0"/>
          <w:color w:val="3D3D3D"/>
          <w:spacing w:val="0"/>
          <w:sz w:val="32"/>
          <w:szCs w:val="32"/>
          <w:bdr w:val="none" w:color="auto" w:sz="0" w:space="0"/>
          <w:shd w:val="clear" w:fill="FFFFFF"/>
          <w:lang w:val="en-US"/>
        </w:rPr>
        <w:t>20</w:t>
      </w:r>
      <w:r>
        <w:rPr>
          <w:rFonts w:hint="eastAsia" w:ascii="仿宋" w:hAnsi="仿宋" w:eastAsia="仿宋" w:cs="仿宋"/>
          <w:i w:val="0"/>
          <w:caps w:val="0"/>
          <w:color w:val="3D3D3D"/>
          <w:spacing w:val="0"/>
          <w:sz w:val="32"/>
          <w:szCs w:val="32"/>
          <w:bdr w:val="none" w:color="auto" w:sz="0" w:space="0"/>
          <w:shd w:val="clear" w:fill="FFFFFF"/>
        </w:rPr>
        <w:t>公里处，东与青阳县接壤，南与九华山风景区毗邻，北与安徽省江南产业集中区核心区唇依，地处池州市“一主一副一区”城市格局的中心地带。全街道辖区面积近</w:t>
      </w:r>
      <w:r>
        <w:rPr>
          <w:rFonts w:hint="eastAsia" w:ascii="仿宋" w:hAnsi="仿宋" w:eastAsia="仿宋" w:cs="仿宋"/>
          <w:i w:val="0"/>
          <w:caps w:val="0"/>
          <w:color w:val="3D3D3D"/>
          <w:spacing w:val="0"/>
          <w:sz w:val="32"/>
          <w:szCs w:val="32"/>
          <w:bdr w:val="none" w:color="auto" w:sz="0" w:space="0"/>
          <w:shd w:val="clear" w:fill="FFFFFF"/>
          <w:lang w:val="en-US"/>
        </w:rPr>
        <w:t>200</w:t>
      </w:r>
      <w:r>
        <w:rPr>
          <w:rFonts w:hint="eastAsia" w:ascii="仿宋" w:hAnsi="仿宋" w:eastAsia="仿宋" w:cs="仿宋"/>
          <w:i w:val="0"/>
          <w:caps w:val="0"/>
          <w:color w:val="3D3D3D"/>
          <w:spacing w:val="0"/>
          <w:sz w:val="32"/>
          <w:szCs w:val="32"/>
          <w:bdr w:val="none" w:color="auto" w:sz="0" w:space="0"/>
          <w:shd w:val="clear" w:fill="FFFFFF"/>
        </w:rPr>
        <w:t>平方公里，人口近</w:t>
      </w:r>
      <w:r>
        <w:rPr>
          <w:rFonts w:hint="eastAsia" w:ascii="仿宋" w:hAnsi="仿宋" w:eastAsia="仿宋" w:cs="仿宋"/>
          <w:i w:val="0"/>
          <w:caps w:val="0"/>
          <w:color w:val="3D3D3D"/>
          <w:spacing w:val="0"/>
          <w:sz w:val="32"/>
          <w:szCs w:val="32"/>
          <w:bdr w:val="none" w:color="auto" w:sz="0" w:space="0"/>
          <w:shd w:val="clear" w:fill="FFFFFF"/>
          <w:lang w:val="en-US"/>
        </w:rPr>
        <w:t>4</w:t>
      </w:r>
      <w:r>
        <w:rPr>
          <w:rFonts w:hint="eastAsia" w:ascii="仿宋" w:hAnsi="仿宋" w:eastAsia="仿宋" w:cs="仿宋"/>
          <w:i w:val="0"/>
          <w:caps w:val="0"/>
          <w:color w:val="3D3D3D"/>
          <w:spacing w:val="0"/>
          <w:sz w:val="32"/>
          <w:szCs w:val="32"/>
          <w:bdr w:val="none" w:color="auto" w:sz="0" w:space="0"/>
          <w:shd w:val="clear" w:fill="FFFFFF"/>
        </w:rPr>
        <w:t>万人。辖</w:t>
      </w:r>
      <w:r>
        <w:rPr>
          <w:rFonts w:hint="eastAsia" w:ascii="仿宋" w:hAnsi="仿宋" w:eastAsia="仿宋" w:cs="仿宋"/>
          <w:i w:val="0"/>
          <w:caps w:val="0"/>
          <w:color w:val="3D3D3D"/>
          <w:spacing w:val="0"/>
          <w:sz w:val="32"/>
          <w:szCs w:val="32"/>
          <w:bdr w:val="none" w:color="auto" w:sz="0" w:space="0"/>
          <w:shd w:val="clear" w:fill="FFFFFF"/>
          <w:lang w:val="en-US"/>
        </w:rPr>
        <w:t>14</w:t>
      </w:r>
      <w:r>
        <w:rPr>
          <w:rFonts w:hint="eastAsia" w:ascii="仿宋" w:hAnsi="仿宋" w:eastAsia="仿宋" w:cs="仿宋"/>
          <w:i w:val="0"/>
          <w:caps w:val="0"/>
          <w:color w:val="3D3D3D"/>
          <w:spacing w:val="0"/>
          <w:sz w:val="32"/>
          <w:szCs w:val="32"/>
          <w:bdr w:val="none" w:color="auto" w:sz="0" w:space="0"/>
          <w:shd w:val="clear" w:fill="FFFFFF"/>
        </w:rPr>
        <w:t>个村、</w:t>
      </w:r>
      <w:r>
        <w:rPr>
          <w:rFonts w:hint="eastAsia" w:ascii="仿宋" w:hAnsi="仿宋" w:eastAsia="仿宋" w:cs="仿宋"/>
          <w:i w:val="0"/>
          <w:caps w:val="0"/>
          <w:color w:val="3D3D3D"/>
          <w:spacing w:val="0"/>
          <w:sz w:val="32"/>
          <w:szCs w:val="32"/>
          <w:bdr w:val="none" w:color="auto" w:sz="0" w:space="0"/>
          <w:shd w:val="clear" w:fill="FFFFFF"/>
          <w:lang w:val="en-US"/>
        </w:rPr>
        <w:t>1</w:t>
      </w:r>
      <w:r>
        <w:rPr>
          <w:rFonts w:hint="eastAsia" w:ascii="仿宋" w:hAnsi="仿宋" w:eastAsia="仿宋" w:cs="仿宋"/>
          <w:i w:val="0"/>
          <w:caps w:val="0"/>
          <w:color w:val="3D3D3D"/>
          <w:spacing w:val="0"/>
          <w:sz w:val="32"/>
          <w:szCs w:val="32"/>
          <w:bdr w:val="none" w:color="auto" w:sz="0" w:space="0"/>
          <w:shd w:val="clear" w:fill="FFFFFF"/>
        </w:rPr>
        <w:t>个社区，分别为石铺村、团结村、龙池村、罗城村、许桥村、双河村、低岭村、永岭村、河口村、步岭村、茅坦村、山湖村、香山村、塔山村和墩上社区。</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0"/>
        <w:rPr>
          <w:rFonts w:hint="eastAsia" w:ascii="仿宋" w:hAnsi="仿宋" w:eastAsia="仿宋" w:cs="仿宋"/>
          <w:i w:val="0"/>
          <w:caps w:val="0"/>
          <w:color w:val="3D3D3D"/>
          <w:spacing w:val="0"/>
          <w:sz w:val="32"/>
          <w:szCs w:val="32"/>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560"/>
        <w:jc w:val="left"/>
        <w:rPr>
          <w:rFonts w:hint="eastAsia" w:ascii="仿宋" w:hAnsi="仿宋" w:eastAsia="仿宋" w:cs="仿宋"/>
          <w:i w:val="0"/>
          <w:caps w:val="0"/>
          <w:color w:val="3D3D3D"/>
          <w:spacing w:val="0"/>
          <w:sz w:val="32"/>
          <w:szCs w:val="32"/>
        </w:rPr>
      </w:pPr>
      <w:r>
        <w:rPr>
          <w:rFonts w:hint="eastAsia" w:ascii="仿宋" w:hAnsi="仿宋" w:eastAsia="仿宋" w:cs="仿宋"/>
          <w:i w:val="0"/>
          <w:caps w:val="0"/>
          <w:color w:val="3D3D3D"/>
          <w:spacing w:val="0"/>
          <w:sz w:val="32"/>
          <w:szCs w:val="32"/>
          <w:bdr w:val="none" w:color="auto" w:sz="0" w:space="0"/>
          <w:shd w:val="clear" w:fill="FFFFFF"/>
        </w:rPr>
        <w:t>近年来，墩上街道立足自身优势，坚持科学发展，加速承接</w:t>
      </w:r>
      <w:r>
        <w:rPr>
          <w:rFonts w:hint="eastAsia" w:ascii="仿宋" w:hAnsi="仿宋" w:eastAsia="仿宋" w:cs="仿宋"/>
          <w:i w:val="0"/>
          <w:caps w:val="0"/>
          <w:color w:val="3D3D3D"/>
          <w:spacing w:val="0"/>
          <w:sz w:val="32"/>
          <w:szCs w:val="32"/>
          <w:bdr w:val="none" w:color="auto" w:sz="0" w:space="0"/>
          <w:shd w:val="clear" w:fill="FFFFFF"/>
          <w:lang w:val="en-US"/>
        </w:rPr>
        <w:t>"</w:t>
      </w:r>
      <w:r>
        <w:rPr>
          <w:rFonts w:hint="eastAsia" w:ascii="仿宋" w:hAnsi="仿宋" w:eastAsia="仿宋" w:cs="仿宋"/>
          <w:i w:val="0"/>
          <w:caps w:val="0"/>
          <w:color w:val="3D3D3D"/>
          <w:spacing w:val="0"/>
          <w:sz w:val="32"/>
          <w:szCs w:val="32"/>
          <w:bdr w:val="none" w:color="auto" w:sz="0" w:space="0"/>
          <w:shd w:val="clear" w:fill="FFFFFF"/>
        </w:rPr>
        <w:t>大九华、大旅游、大产业</w:t>
      </w:r>
      <w:r>
        <w:rPr>
          <w:rFonts w:hint="eastAsia" w:ascii="仿宋" w:hAnsi="仿宋" w:eastAsia="仿宋" w:cs="仿宋"/>
          <w:i w:val="0"/>
          <w:caps w:val="0"/>
          <w:color w:val="3D3D3D"/>
          <w:spacing w:val="0"/>
          <w:sz w:val="32"/>
          <w:szCs w:val="32"/>
          <w:bdr w:val="none" w:color="auto" w:sz="0" w:space="0"/>
          <w:shd w:val="clear" w:fill="FFFFFF"/>
          <w:lang w:val="en-US"/>
        </w:rPr>
        <w:t>"</w:t>
      </w:r>
      <w:r>
        <w:rPr>
          <w:rFonts w:hint="eastAsia" w:ascii="仿宋" w:hAnsi="仿宋" w:eastAsia="仿宋" w:cs="仿宋"/>
          <w:i w:val="0"/>
          <w:caps w:val="0"/>
          <w:color w:val="3D3D3D"/>
          <w:spacing w:val="0"/>
          <w:sz w:val="32"/>
          <w:szCs w:val="32"/>
          <w:bdr w:val="none" w:color="auto" w:sz="0" w:space="0"/>
          <w:shd w:val="clear" w:fill="FFFFFF"/>
        </w:rPr>
        <w:t>辐射带动，不断加大</w:t>
      </w:r>
      <w:r>
        <w:rPr>
          <w:rFonts w:hint="eastAsia" w:ascii="仿宋" w:hAnsi="仿宋" w:eastAsia="仿宋" w:cs="仿宋"/>
          <w:i w:val="0"/>
          <w:caps w:val="0"/>
          <w:color w:val="3D3D3D"/>
          <w:spacing w:val="0"/>
          <w:sz w:val="32"/>
          <w:szCs w:val="32"/>
          <w:bdr w:val="none" w:color="auto" w:sz="0" w:space="0"/>
          <w:shd w:val="clear" w:fill="FFFFFF"/>
          <w:lang w:val="en-US"/>
        </w:rPr>
        <w:t>"</w:t>
      </w:r>
      <w:r>
        <w:rPr>
          <w:rFonts w:hint="eastAsia" w:ascii="仿宋" w:hAnsi="仿宋" w:eastAsia="仿宋" w:cs="仿宋"/>
          <w:i w:val="0"/>
          <w:caps w:val="0"/>
          <w:color w:val="3D3D3D"/>
          <w:spacing w:val="0"/>
          <w:sz w:val="32"/>
          <w:szCs w:val="32"/>
          <w:bdr w:val="none" w:color="auto" w:sz="0" w:space="0"/>
          <w:shd w:val="clear" w:fill="FFFFFF"/>
        </w:rPr>
        <w:t>开明、开拓、开发、开放</w:t>
      </w:r>
      <w:r>
        <w:rPr>
          <w:rFonts w:hint="eastAsia" w:ascii="仿宋" w:hAnsi="仿宋" w:eastAsia="仿宋" w:cs="仿宋"/>
          <w:i w:val="0"/>
          <w:caps w:val="0"/>
          <w:color w:val="3D3D3D"/>
          <w:spacing w:val="0"/>
          <w:sz w:val="32"/>
          <w:szCs w:val="32"/>
          <w:bdr w:val="none" w:color="auto" w:sz="0" w:space="0"/>
          <w:shd w:val="clear" w:fill="FFFFFF"/>
          <w:lang w:val="en-US"/>
        </w:rPr>
        <w:t>"</w:t>
      </w:r>
      <w:r>
        <w:rPr>
          <w:rFonts w:hint="eastAsia" w:ascii="仿宋" w:hAnsi="仿宋" w:eastAsia="仿宋" w:cs="仿宋"/>
          <w:i w:val="0"/>
          <w:caps w:val="0"/>
          <w:color w:val="3D3D3D"/>
          <w:spacing w:val="0"/>
          <w:sz w:val="32"/>
          <w:szCs w:val="32"/>
          <w:bdr w:val="none" w:color="auto" w:sz="0" w:space="0"/>
          <w:shd w:val="clear" w:fill="FFFFFF"/>
        </w:rPr>
        <w:t>力度，坚持工业强街理念，加快集镇建设步伐，逐步形成四海宾朋居住、休闲、文化、娱乐和对外开放的集聚地，着力打造贵池</w:t>
      </w:r>
      <w:r>
        <w:rPr>
          <w:rFonts w:hint="eastAsia" w:ascii="仿宋" w:hAnsi="仿宋" w:eastAsia="仿宋" w:cs="仿宋"/>
          <w:i w:val="0"/>
          <w:caps w:val="0"/>
          <w:color w:val="3D3D3D"/>
          <w:spacing w:val="0"/>
          <w:sz w:val="32"/>
          <w:szCs w:val="32"/>
          <w:bdr w:val="none" w:color="auto" w:sz="0" w:space="0"/>
          <w:shd w:val="clear" w:fill="FFFFFF"/>
          <w:lang w:val="en-US"/>
        </w:rPr>
        <w:t>"</w:t>
      </w:r>
      <w:r>
        <w:rPr>
          <w:rFonts w:hint="eastAsia" w:ascii="仿宋" w:hAnsi="仿宋" w:eastAsia="仿宋" w:cs="仿宋"/>
          <w:i w:val="0"/>
          <w:caps w:val="0"/>
          <w:color w:val="3D3D3D"/>
          <w:spacing w:val="0"/>
          <w:sz w:val="32"/>
          <w:szCs w:val="32"/>
          <w:bdr w:val="none" w:color="auto" w:sz="0" w:space="0"/>
          <w:shd w:val="clear" w:fill="FFFFFF"/>
        </w:rPr>
        <w:t>东大门</w:t>
      </w:r>
      <w:r>
        <w:rPr>
          <w:rFonts w:hint="eastAsia" w:ascii="仿宋" w:hAnsi="仿宋" w:eastAsia="仿宋" w:cs="仿宋"/>
          <w:i w:val="0"/>
          <w:caps w:val="0"/>
          <w:color w:val="3D3D3D"/>
          <w:spacing w:val="0"/>
          <w:sz w:val="32"/>
          <w:szCs w:val="32"/>
          <w:bdr w:val="none" w:color="auto" w:sz="0" w:space="0"/>
          <w:shd w:val="clear" w:fill="FFFFFF"/>
          <w:lang w:val="en-US"/>
        </w:rPr>
        <w:t>"</w:t>
      </w:r>
      <w:r>
        <w:rPr>
          <w:rFonts w:hint="eastAsia" w:ascii="仿宋" w:hAnsi="仿宋" w:eastAsia="仿宋" w:cs="仿宋"/>
          <w:i w:val="0"/>
          <w:caps w:val="0"/>
          <w:color w:val="3D3D3D"/>
          <w:spacing w:val="0"/>
          <w:sz w:val="32"/>
          <w:szCs w:val="32"/>
          <w:bdr w:val="none" w:color="auto" w:sz="0" w:space="0"/>
          <w:shd w:val="clear" w:fill="FFFFFF"/>
        </w:rPr>
        <w:t>和九华山佛光大道上一个璀璨的明珠。</w:t>
      </w:r>
      <w:bookmarkStart w:id="0" w:name="_GoBack"/>
      <w:bookmarkEnd w:id="0"/>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0"/>
        <w:rPr>
          <w:rFonts w:hint="eastAsia" w:ascii="仿宋" w:hAnsi="仿宋" w:eastAsia="仿宋" w:cs="仿宋"/>
          <w:i w:val="0"/>
          <w:caps w:val="0"/>
          <w:color w:val="3D3D3D"/>
          <w:spacing w:val="0"/>
          <w:sz w:val="32"/>
          <w:szCs w:val="32"/>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left"/>
        <w:rPr>
          <w:rFonts w:hint="eastAsia" w:ascii="微软雅黑" w:hAnsi="微软雅黑" w:eastAsia="微软雅黑" w:cs="微软雅黑"/>
          <w:i w:val="0"/>
          <w:caps w:val="0"/>
          <w:color w:val="3D3D3D"/>
          <w:spacing w:val="0"/>
          <w:sz w:val="24"/>
          <w:szCs w:val="24"/>
        </w:rPr>
      </w:pPr>
      <w:r>
        <w:rPr>
          <w:rFonts w:hint="default" w:ascii="仿宋_GB2312" w:hAnsi="微软雅黑" w:eastAsia="仿宋_GB2312" w:cs="仿宋_GB2312"/>
          <w:i w:val="0"/>
          <w:caps w:val="0"/>
          <w:color w:val="000000"/>
          <w:spacing w:val="0"/>
          <w:sz w:val="32"/>
          <w:szCs w:val="32"/>
          <w:bdr w:val="none" w:color="auto" w:sz="0" w:space="0"/>
          <w:shd w:val="clear" w:fill="FFFFFF"/>
        </w:rPr>
        <w:t>在集镇建设和管理方面，街道重点做好相关地块征收扫尾工作和查违拆违工作。有效净化全街发展环境，为重点工程项目顺利实施打下坚实基础。在文明创建方面街道以创建全国文明城市为契机，以整治“五乱”为重点，重点对各村（社区）、背街小巷、居民小区、进行集中整治，提升居民整体素质和街道整体环境。</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0"/>
        <w:rPr>
          <w:rFonts w:hint="eastAsia" w:ascii="微软雅黑" w:hAnsi="微软雅黑" w:eastAsia="微软雅黑" w:cs="微软雅黑"/>
          <w:i w:val="0"/>
          <w:caps w:val="0"/>
          <w:color w:val="3D3D3D"/>
          <w:spacing w:val="0"/>
          <w:sz w:val="24"/>
          <w:szCs w:val="24"/>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left"/>
        <w:rPr>
          <w:rFonts w:hint="eastAsia" w:ascii="微软雅黑" w:hAnsi="微软雅黑" w:eastAsia="微软雅黑" w:cs="微软雅黑"/>
          <w:i w:val="0"/>
          <w:caps w:val="0"/>
          <w:color w:val="3D3D3D"/>
          <w:spacing w:val="0"/>
          <w:sz w:val="24"/>
          <w:szCs w:val="24"/>
        </w:rPr>
      </w:pPr>
      <w:r>
        <w:rPr>
          <w:rFonts w:hint="default" w:ascii="仿宋_GB2312" w:hAnsi="微软雅黑" w:eastAsia="仿宋_GB2312" w:cs="仿宋_GB2312"/>
          <w:i w:val="0"/>
          <w:caps w:val="0"/>
          <w:color w:val="000000"/>
          <w:spacing w:val="0"/>
          <w:sz w:val="32"/>
          <w:szCs w:val="32"/>
          <w:bdr w:val="none" w:color="auto" w:sz="0" w:space="0"/>
          <w:shd w:val="clear" w:fill="FFFFFF"/>
        </w:rPr>
        <w:t>在改善和保障民生方面，街道围绕“以培训促创业，以创业促就业”的工作思路，认真开展城乡居民就业、组织居民到“两园区一基地”企业就业等活动；双拥工作稳步开展，近几年，连续获评双拥优秀单位。</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0"/>
        <w:rPr>
          <w:rFonts w:hint="eastAsia" w:ascii="微软雅黑" w:hAnsi="微软雅黑" w:eastAsia="微软雅黑" w:cs="微软雅黑"/>
          <w:i w:val="0"/>
          <w:caps w:val="0"/>
          <w:color w:val="3D3D3D"/>
          <w:spacing w:val="0"/>
          <w:sz w:val="24"/>
          <w:szCs w:val="24"/>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left"/>
        <w:rPr>
          <w:rFonts w:hint="eastAsia" w:ascii="微软雅黑" w:hAnsi="微软雅黑" w:eastAsia="微软雅黑" w:cs="微软雅黑"/>
          <w:i w:val="0"/>
          <w:caps w:val="0"/>
          <w:color w:val="3D3D3D"/>
          <w:spacing w:val="0"/>
          <w:sz w:val="24"/>
          <w:szCs w:val="24"/>
        </w:rPr>
      </w:pPr>
      <w:r>
        <w:rPr>
          <w:rFonts w:hint="default" w:ascii="仿宋_GB2312" w:hAnsi="微软雅黑" w:eastAsia="仿宋_GB2312" w:cs="仿宋_GB2312"/>
          <w:i w:val="0"/>
          <w:caps w:val="0"/>
          <w:color w:val="000000"/>
          <w:spacing w:val="0"/>
          <w:sz w:val="32"/>
          <w:szCs w:val="32"/>
          <w:bdr w:val="none" w:color="auto" w:sz="0" w:space="0"/>
          <w:shd w:val="clear" w:fill="FFFFFF"/>
        </w:rPr>
        <w:t>在村居建设方面，街道采取多种有效措施着力构建和谐村居，不断加强基层组织建设，促使“三有一化”向“四优一化”转变。通过制定共驻共建制度，签订共驻共建协议，扩大了各村（社区）和辖区单位的合作领域，将功能向为辖区单位服务延伸，使二者相辅相成，互利互惠，增强了共驻共建、共建共享工作的合力。结合实际不断创新街村文化，丰富活动内容，通过电影进村居和文艺演出等方式丰富居民业余文化生活，加强了与居民的联系和沟通，增进与居民间的友谊，取得了村居、居民、辖区单位三方面共赢的良好效果。同时不断完善民主监督机制，深入推进阳光居务工程建设，加强村居党风廉政建设，增强了全街居民的认同感和归属感。</w:t>
      </w:r>
    </w:p>
    <w:p>
      <w:pPr>
        <w:ind w:firstLine="640" w:firstLineChars="200"/>
        <w:rPr>
          <w:rFonts w:hint="eastAsia" w:ascii="黑体" w:hAnsi="黑体" w:eastAsia="黑体"/>
          <w:szCs w:val="32"/>
        </w:rPr>
      </w:pPr>
    </w:p>
    <w:p>
      <w:pPr>
        <w:ind w:firstLine="640" w:firstLineChars="200"/>
        <w:rPr>
          <w:rFonts w:hint="eastAsia" w:ascii="黑体" w:hAnsi="黑体" w:eastAsia="黑体"/>
          <w:szCs w:val="32"/>
        </w:rPr>
      </w:pPr>
      <w:r>
        <w:rPr>
          <w:rFonts w:hint="eastAsia" w:ascii="黑体" w:hAnsi="黑体" w:eastAsia="黑体"/>
          <w:szCs w:val="32"/>
        </w:rPr>
        <w:t>二、单位决算构成</w:t>
      </w:r>
    </w:p>
    <w:p>
      <w:pPr>
        <w:ind w:firstLine="643" w:firstLineChars="200"/>
        <w:rPr>
          <w:rFonts w:hint="eastAsia" w:ascii="仿宋_GB2312" w:hAnsi="仿宋"/>
          <w:szCs w:val="32"/>
        </w:rPr>
      </w:pPr>
      <w:r>
        <w:rPr>
          <w:rFonts w:hint="eastAsia" w:ascii="仿宋_GB2312" w:hAnsi="仿宋"/>
          <w:b/>
          <w:szCs w:val="32"/>
          <w:lang w:eastAsia="zh-CN"/>
        </w:rPr>
        <w:t>池州市贵池区人民政府墩上街道办事处（本级）</w:t>
      </w:r>
      <w:r>
        <w:rPr>
          <w:rFonts w:hint="eastAsia" w:ascii="仿宋_GB2312" w:hAnsi="仿宋"/>
          <w:szCs w:val="32"/>
        </w:rPr>
        <w:t>单位2020年度单位部门决算仅包括单位本级决算，无其他下属单位决算。</w:t>
      </w:r>
    </w:p>
    <w:p>
      <w:pPr>
        <w:ind w:firstLine="640" w:firstLineChars="200"/>
        <w:rPr>
          <w:rFonts w:ascii="黑体" w:hAnsi="黑体" w:eastAsia="黑体"/>
          <w:szCs w:val="32"/>
        </w:rPr>
      </w:pPr>
    </w:p>
    <w:p>
      <w:pPr>
        <w:ind w:firstLine="640" w:firstLineChars="200"/>
        <w:rPr>
          <w:rFonts w:ascii="黑体" w:hAnsi="黑体" w:eastAsia="黑体"/>
          <w:szCs w:val="32"/>
        </w:rPr>
      </w:pPr>
    </w:p>
    <w:p>
      <w:pPr>
        <w:ind w:firstLine="640" w:firstLineChars="200"/>
        <w:rPr>
          <w:rFonts w:ascii="黑体" w:hAnsi="黑体" w:eastAsia="黑体"/>
          <w:szCs w:val="32"/>
        </w:rPr>
      </w:pPr>
    </w:p>
    <w:p>
      <w:pPr>
        <w:ind w:firstLine="640" w:firstLineChars="200"/>
        <w:rPr>
          <w:rFonts w:ascii="黑体" w:hAnsi="黑体" w:eastAsia="黑体"/>
          <w:szCs w:val="32"/>
        </w:rPr>
      </w:pPr>
    </w:p>
    <w:p>
      <w:pPr>
        <w:ind w:firstLine="640" w:firstLineChars="200"/>
        <w:rPr>
          <w:rFonts w:ascii="黑体" w:hAnsi="黑体" w:eastAsia="黑体"/>
          <w:szCs w:val="32"/>
        </w:rPr>
      </w:pPr>
    </w:p>
    <w:p>
      <w:pPr>
        <w:ind w:firstLine="640" w:firstLineChars="200"/>
        <w:rPr>
          <w:rFonts w:hint="eastAsia" w:ascii="黑体" w:hAnsi="黑体" w:eastAsia="黑体"/>
          <w:szCs w:val="32"/>
        </w:rPr>
      </w:pPr>
    </w:p>
    <w:p>
      <w:pPr>
        <w:ind w:firstLine="640" w:firstLineChars="200"/>
        <w:rPr>
          <w:rFonts w:hint="eastAsia" w:ascii="黑体" w:hAnsi="黑体" w:eastAsia="黑体"/>
          <w:szCs w:val="32"/>
        </w:rPr>
      </w:pPr>
      <w:r>
        <w:rPr>
          <w:rFonts w:hint="eastAsia" w:ascii="黑体" w:hAnsi="黑体" w:eastAsia="黑体"/>
          <w:szCs w:val="32"/>
        </w:rPr>
        <w:t>第二部分</w:t>
      </w:r>
      <w:r>
        <w:rPr>
          <w:rFonts w:hint="eastAsia" w:ascii="黑体" w:hAnsi="黑体" w:eastAsia="黑体"/>
          <w:szCs w:val="32"/>
          <w:lang w:eastAsia="zh-CN"/>
        </w:rPr>
        <w:t>池州市贵池区人民政府墩上街道办事处（本级）</w:t>
      </w:r>
      <w:r>
        <w:rPr>
          <w:rFonts w:hint="eastAsia" w:ascii="黑体" w:hAnsi="黑体" w:eastAsia="黑体"/>
          <w:szCs w:val="32"/>
        </w:rPr>
        <w:t>单位2020年</w:t>
      </w:r>
      <w:r>
        <w:rPr>
          <w:rFonts w:hint="eastAsia" w:ascii="黑体" w:hAnsi="黑体" w:eastAsia="黑体"/>
          <w:color w:val="000000"/>
          <w:szCs w:val="32"/>
        </w:rPr>
        <w:t>度</w:t>
      </w:r>
      <w:r>
        <w:rPr>
          <w:rFonts w:hint="eastAsia" w:ascii="黑体" w:hAnsi="黑体" w:eastAsia="黑体"/>
          <w:szCs w:val="32"/>
        </w:rPr>
        <w:t>单位决算表</w:t>
      </w:r>
    </w:p>
    <w:p>
      <w:pPr>
        <w:ind w:firstLine="640" w:firstLineChars="200"/>
        <w:jc w:val="center"/>
        <w:rPr>
          <w:rFonts w:hint="eastAsia" w:ascii="黑体" w:hAnsi="黑体" w:eastAsia="黑体"/>
          <w:szCs w:val="32"/>
        </w:rPr>
      </w:pPr>
      <w:r>
        <w:rPr>
          <w:rFonts w:hint="eastAsia" w:ascii="黑体" w:hAnsi="黑体" w:eastAsia="黑体"/>
          <w:szCs w:val="32"/>
        </w:rPr>
        <w:t>收入支出决算总表</w:t>
      </w:r>
    </w:p>
    <w:tbl>
      <w:tblPr>
        <w:tblStyle w:val="7"/>
        <w:tblW w:w="0" w:type="auto"/>
        <w:tblInd w:w="93" w:type="dxa"/>
        <w:tblLayout w:type="fixed"/>
        <w:tblCellMar>
          <w:top w:w="15" w:type="dxa"/>
          <w:left w:w="108" w:type="dxa"/>
          <w:bottom w:w="15" w:type="dxa"/>
          <w:right w:w="108" w:type="dxa"/>
        </w:tblCellMar>
      </w:tblPr>
      <w:tblGrid>
        <w:gridCol w:w="2085"/>
        <w:gridCol w:w="1373"/>
        <w:gridCol w:w="1252"/>
        <w:gridCol w:w="2191"/>
        <w:gridCol w:w="1252"/>
        <w:gridCol w:w="1027"/>
      </w:tblGrid>
      <w:tr>
        <w:tblPrEx>
          <w:tblCellMar>
            <w:top w:w="15" w:type="dxa"/>
            <w:left w:w="108" w:type="dxa"/>
            <w:bottom w:w="15" w:type="dxa"/>
            <w:right w:w="108" w:type="dxa"/>
          </w:tblCellMar>
        </w:tblPrEx>
        <w:trPr>
          <w:trHeight w:val="267" w:hRule="atLeast"/>
        </w:trPr>
        <w:tc>
          <w:tcPr>
            <w:tcW w:w="2085" w:type="dxa"/>
            <w:vAlign w:val="bottom"/>
          </w:tcPr>
          <w:p>
            <w:pPr>
              <w:widowControl/>
              <w:jc w:val="left"/>
              <w:rPr>
                <w:rFonts w:ascii="Arial" w:hAnsi="Arial" w:eastAsia="宋体" w:cs="宋体"/>
                <w:color w:val="000000"/>
                <w:kern w:val="0"/>
                <w:sz w:val="20"/>
              </w:rPr>
            </w:pPr>
          </w:p>
        </w:tc>
        <w:tc>
          <w:tcPr>
            <w:tcW w:w="2625" w:type="dxa"/>
            <w:gridSpan w:val="2"/>
            <w:vAlign w:val="bottom"/>
          </w:tcPr>
          <w:p>
            <w:pPr>
              <w:widowControl/>
              <w:jc w:val="left"/>
              <w:rPr>
                <w:rFonts w:ascii="Arial" w:hAnsi="Arial" w:eastAsia="宋体" w:cs="宋体"/>
                <w:color w:val="000000"/>
                <w:kern w:val="0"/>
                <w:sz w:val="20"/>
              </w:rPr>
            </w:pPr>
          </w:p>
        </w:tc>
        <w:tc>
          <w:tcPr>
            <w:tcW w:w="2191" w:type="dxa"/>
            <w:vAlign w:val="bottom"/>
          </w:tcPr>
          <w:p>
            <w:pPr>
              <w:widowControl/>
              <w:jc w:val="left"/>
              <w:rPr>
                <w:rFonts w:ascii="Arial" w:hAnsi="Arial" w:eastAsia="宋体" w:cs="宋体"/>
                <w:color w:val="000000"/>
                <w:kern w:val="0"/>
                <w:sz w:val="20"/>
              </w:rPr>
            </w:pPr>
          </w:p>
        </w:tc>
        <w:tc>
          <w:tcPr>
            <w:tcW w:w="2279" w:type="dxa"/>
            <w:gridSpan w:val="2"/>
            <w:vAlign w:val="bottom"/>
          </w:tcPr>
          <w:p>
            <w:pPr>
              <w:widowControl/>
              <w:jc w:val="right"/>
              <w:rPr>
                <w:rFonts w:ascii="宋体" w:hAnsi="宋体" w:eastAsia="宋体" w:cs="宋体"/>
                <w:color w:val="000000"/>
                <w:kern w:val="0"/>
                <w:sz w:val="20"/>
              </w:rPr>
            </w:pPr>
            <w:r>
              <w:rPr>
                <w:rFonts w:hint="eastAsia" w:ascii="宋体" w:hAnsi="宋体" w:eastAsia="宋体" w:cs="宋体"/>
                <w:color w:val="000000"/>
                <w:kern w:val="0"/>
                <w:sz w:val="20"/>
              </w:rPr>
              <w:t>公开01表</w:t>
            </w:r>
          </w:p>
        </w:tc>
      </w:tr>
      <w:tr>
        <w:tblPrEx>
          <w:tblCellMar>
            <w:top w:w="15" w:type="dxa"/>
            <w:left w:w="108" w:type="dxa"/>
            <w:bottom w:w="15" w:type="dxa"/>
            <w:right w:w="108" w:type="dxa"/>
          </w:tblCellMar>
        </w:tblPrEx>
        <w:trPr>
          <w:trHeight w:val="248" w:hRule="atLeast"/>
        </w:trPr>
        <w:tc>
          <w:tcPr>
            <w:tcW w:w="2085" w:type="dxa"/>
            <w:tcBorders>
              <w:bottom w:val="single" w:color="auto" w:sz="4" w:space="0"/>
            </w:tcBorders>
            <w:vAlign w:val="bottom"/>
          </w:tcPr>
          <w:p>
            <w:pPr>
              <w:widowControl/>
              <w:jc w:val="left"/>
              <w:rPr>
                <w:rFonts w:ascii="宋体" w:hAnsi="宋体" w:eastAsia="宋体" w:cs="宋体"/>
                <w:color w:val="000000"/>
                <w:kern w:val="0"/>
                <w:sz w:val="20"/>
              </w:rPr>
            </w:pPr>
            <w:r>
              <w:rPr>
                <w:rFonts w:hint="eastAsia" w:ascii="宋体" w:hAnsi="宋体" w:eastAsia="宋体" w:cs="宋体"/>
                <w:kern w:val="0"/>
                <w:sz w:val="20"/>
              </w:rPr>
              <w:t>部门：</w:t>
            </w:r>
          </w:p>
        </w:tc>
        <w:tc>
          <w:tcPr>
            <w:tcW w:w="2625" w:type="dxa"/>
            <w:gridSpan w:val="2"/>
            <w:tcBorders>
              <w:bottom w:val="single" w:color="auto" w:sz="4" w:space="0"/>
            </w:tcBorders>
            <w:vAlign w:val="bottom"/>
          </w:tcPr>
          <w:p>
            <w:pPr>
              <w:widowControl/>
              <w:jc w:val="left"/>
              <w:rPr>
                <w:rFonts w:ascii="Arial" w:hAnsi="Arial" w:eastAsia="宋体" w:cs="宋体"/>
                <w:color w:val="000000"/>
                <w:kern w:val="0"/>
                <w:sz w:val="20"/>
              </w:rPr>
            </w:pPr>
          </w:p>
        </w:tc>
        <w:tc>
          <w:tcPr>
            <w:tcW w:w="2191" w:type="dxa"/>
            <w:tcBorders>
              <w:bottom w:val="single" w:color="auto" w:sz="4" w:space="0"/>
            </w:tcBorders>
            <w:vAlign w:val="bottom"/>
          </w:tcPr>
          <w:p>
            <w:pPr>
              <w:widowControl/>
              <w:jc w:val="center"/>
              <w:rPr>
                <w:rFonts w:ascii="宋体" w:hAnsi="宋体" w:eastAsia="宋体" w:cs="宋体"/>
                <w:color w:val="000000"/>
                <w:kern w:val="0"/>
                <w:sz w:val="24"/>
                <w:szCs w:val="24"/>
              </w:rPr>
            </w:pPr>
          </w:p>
        </w:tc>
        <w:tc>
          <w:tcPr>
            <w:tcW w:w="2279" w:type="dxa"/>
            <w:gridSpan w:val="2"/>
            <w:tcBorders>
              <w:bottom w:val="single" w:color="auto" w:sz="4" w:space="0"/>
            </w:tcBorders>
            <w:vAlign w:val="bottom"/>
          </w:tcPr>
          <w:p>
            <w:pPr>
              <w:widowControl/>
              <w:jc w:val="right"/>
              <w:rPr>
                <w:rFonts w:ascii="宋体" w:hAnsi="宋体" w:eastAsia="宋体" w:cs="宋体"/>
                <w:color w:val="000000"/>
                <w:kern w:val="0"/>
                <w:sz w:val="20"/>
              </w:rPr>
            </w:pPr>
            <w:r>
              <w:rPr>
                <w:rFonts w:hint="eastAsia" w:ascii="宋体" w:hAnsi="宋体" w:eastAsia="宋体" w:cs="宋体"/>
                <w:color w:val="000000"/>
                <w:kern w:val="0"/>
                <w:sz w:val="20"/>
              </w:rPr>
              <w:t>金额单位：万元</w:t>
            </w:r>
          </w:p>
        </w:tc>
      </w:tr>
      <w:tr>
        <w:tblPrEx>
          <w:tblCellMar>
            <w:top w:w="15" w:type="dxa"/>
            <w:left w:w="108" w:type="dxa"/>
            <w:bottom w:w="15" w:type="dxa"/>
            <w:right w:w="108" w:type="dxa"/>
          </w:tblCellMar>
        </w:tblPrEx>
        <w:trPr>
          <w:trHeight w:val="270" w:hRule="atLeast"/>
        </w:trPr>
        <w:tc>
          <w:tcPr>
            <w:tcW w:w="4710"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收入</w:t>
            </w:r>
          </w:p>
        </w:tc>
        <w:tc>
          <w:tcPr>
            <w:tcW w:w="4470"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支出</w:t>
            </w: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项 目</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金额</w:t>
            </w: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项目</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金额</w:t>
            </w: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ind w:firstLine="660" w:firstLineChars="300"/>
              <w:jc w:val="left"/>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栏 次</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rPr>
            </w:pP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6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Arial"/>
                <w:color w:val="000000"/>
                <w:sz w:val="22"/>
                <w:szCs w:val="22"/>
              </w:rPr>
            </w:pPr>
            <w:r>
              <w:rPr>
                <w:rFonts w:hint="eastAsia" w:ascii="宋体" w:hAnsi="宋体" w:eastAsia="宋体" w:cs="Arial"/>
                <w:color w:val="000000"/>
                <w:sz w:val="22"/>
                <w:szCs w:val="22"/>
              </w:rPr>
              <w:t>一、一般公共预算财政拨款收入</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5084.2</w:t>
            </w: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一、一般公共服务支出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439.31</w:t>
            </w:r>
          </w:p>
        </w:tc>
      </w:tr>
      <w:tr>
        <w:tblPrEx>
          <w:tblCellMar>
            <w:top w:w="15" w:type="dxa"/>
            <w:left w:w="108" w:type="dxa"/>
            <w:bottom w:w="15" w:type="dxa"/>
            <w:right w:w="108" w:type="dxa"/>
          </w:tblCellMar>
        </w:tblPrEx>
        <w:trPr>
          <w:trHeight w:val="26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Arial"/>
                <w:color w:val="000000"/>
                <w:sz w:val="22"/>
                <w:szCs w:val="22"/>
              </w:rPr>
            </w:pPr>
            <w:r>
              <w:rPr>
                <w:rFonts w:hint="eastAsia" w:ascii="宋体" w:hAnsi="宋体" w:eastAsia="宋体" w:cs="Arial"/>
                <w:color w:val="000000"/>
                <w:sz w:val="22"/>
                <w:szCs w:val="22"/>
              </w:rPr>
              <w:t>二、政府性基金预算财政拨款收入</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二、外交支出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6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Arial"/>
                <w:color w:val="000000"/>
                <w:sz w:val="22"/>
                <w:szCs w:val="22"/>
              </w:rPr>
            </w:pPr>
            <w:r>
              <w:rPr>
                <w:rFonts w:hint="eastAsia" w:ascii="宋体" w:hAnsi="宋体" w:eastAsia="宋体" w:cs="Arial"/>
                <w:color w:val="000000"/>
                <w:sz w:val="20"/>
              </w:rPr>
              <w:t>三、国有资本经营预算财政拨款收入</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三、国防支出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6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Arial"/>
                <w:color w:val="000000"/>
                <w:sz w:val="22"/>
                <w:szCs w:val="22"/>
              </w:rPr>
            </w:pPr>
            <w:r>
              <w:rPr>
                <w:rFonts w:hint="eastAsia" w:ascii="宋体" w:hAnsi="宋体" w:eastAsia="宋体" w:cs="Arial"/>
                <w:color w:val="000000"/>
                <w:sz w:val="22"/>
                <w:szCs w:val="22"/>
              </w:rPr>
              <w:t>四、上级补助收入</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四、公共安全支出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36"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Arial"/>
                <w:color w:val="000000"/>
                <w:sz w:val="22"/>
                <w:szCs w:val="22"/>
              </w:rPr>
            </w:pPr>
            <w:r>
              <w:rPr>
                <w:rFonts w:hint="eastAsia" w:ascii="宋体" w:hAnsi="宋体" w:eastAsia="宋体" w:cs="Arial"/>
                <w:color w:val="000000"/>
                <w:sz w:val="22"/>
                <w:szCs w:val="22"/>
              </w:rPr>
              <w:t>五、事业收入</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五、教育支出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56"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Arial"/>
                <w:color w:val="000000"/>
                <w:sz w:val="22"/>
                <w:szCs w:val="22"/>
              </w:rPr>
            </w:pPr>
            <w:r>
              <w:rPr>
                <w:rFonts w:hint="eastAsia" w:ascii="宋体" w:hAnsi="宋体" w:eastAsia="宋体" w:cs="Arial"/>
                <w:color w:val="000000"/>
                <w:sz w:val="22"/>
                <w:szCs w:val="22"/>
              </w:rPr>
              <w:t>六、经营收入</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六、科学技术支出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48"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Arial"/>
                <w:color w:val="000000"/>
                <w:sz w:val="22"/>
                <w:szCs w:val="22"/>
              </w:rPr>
            </w:pPr>
            <w:r>
              <w:rPr>
                <w:rFonts w:hint="eastAsia" w:ascii="宋体" w:hAnsi="宋体" w:eastAsia="宋体" w:cs="Arial"/>
                <w:color w:val="000000"/>
                <w:sz w:val="22"/>
                <w:szCs w:val="22"/>
              </w:rPr>
              <w:t>七、附属单位上缴收入</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七、文化旅游体育与传媒支出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84"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color w:val="000000"/>
                <w:kern w:val="0"/>
                <w:sz w:val="22"/>
                <w:szCs w:val="22"/>
              </w:rPr>
            </w:pPr>
            <w:r>
              <w:rPr>
                <w:rFonts w:hint="eastAsia" w:ascii="宋体" w:hAnsi="宋体" w:eastAsia="宋体" w:cs="Arial"/>
                <w:color w:val="000000"/>
                <w:sz w:val="22"/>
                <w:szCs w:val="22"/>
              </w:rPr>
              <w:t>八、其他收入</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八、社会保障和就业支出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457</w:t>
            </w: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九、卫生健康支出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十、节能环保支出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399</w:t>
            </w: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十一、城乡社区支出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326</w:t>
            </w: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十二、农林水支出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3375.34</w:t>
            </w: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十三、交通运输支出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十四、资源勘探信息等支出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十五、商业服务业等支出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十六、金融支出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十七、援助其他地区支出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十八、自然资源海洋气象等支出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十九、住房保障支出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87.55</w:t>
            </w: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二十、粮油物资储备支出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16"/>
                <w:szCs w:val="16"/>
              </w:rPr>
              <w:t>二十一、国有资本经营预算支出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0"/>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15"/>
                <w:szCs w:val="15"/>
              </w:rPr>
              <w:t>二十二、灾害防治及应急管理支出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二十三、其他支出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b/>
                <w:bCs/>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bCs/>
                <w:color w:val="000000"/>
                <w:kern w:val="0"/>
                <w:sz w:val="22"/>
                <w:szCs w:val="22"/>
              </w:rPr>
            </w:pPr>
            <w:r>
              <w:rPr>
                <w:rFonts w:hint="eastAsia" w:ascii="宋体" w:hAnsi="宋体" w:eastAsia="宋体" w:cs="宋体"/>
                <w:color w:val="000000"/>
                <w:kern w:val="0"/>
                <w:sz w:val="22"/>
                <w:szCs w:val="22"/>
              </w:rPr>
              <w:t>二十四、债务还本支出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b/>
                <w:bCs/>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b/>
                <w:bCs/>
                <w:color w:val="000000"/>
                <w:kern w:val="0"/>
                <w:sz w:val="22"/>
                <w:szCs w:val="22"/>
              </w:rPr>
            </w:pPr>
            <w:r>
              <w:rPr>
                <w:rFonts w:hint="eastAsia" w:ascii="宋体" w:hAnsi="宋体" w:eastAsia="宋体" w:cs="宋体"/>
                <w:color w:val="000000"/>
                <w:kern w:val="0"/>
                <w:sz w:val="22"/>
                <w:szCs w:val="22"/>
              </w:rPr>
              <w:t>二十五、债务付息支出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b/>
                <w:bCs/>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b/>
                <w:bCs/>
                <w:color w:val="000000"/>
                <w:kern w:val="0"/>
                <w:sz w:val="22"/>
                <w:szCs w:val="22"/>
              </w:rPr>
            </w:pPr>
            <w:r>
              <w:rPr>
                <w:rFonts w:hint="eastAsia" w:ascii="宋体" w:hAnsi="宋体" w:eastAsia="宋体" w:cs="宋体"/>
                <w:color w:val="000000"/>
                <w:kern w:val="0"/>
                <w:sz w:val="15"/>
                <w:szCs w:val="15"/>
              </w:rPr>
              <w:t>二十六、抗疫特别国债安排的支出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b/>
                <w:bCs/>
                <w:color w:val="000000"/>
                <w:kern w:val="0"/>
                <w:sz w:val="22"/>
                <w:szCs w:val="22"/>
              </w:rPr>
            </w:pPr>
            <w:r>
              <w:rPr>
                <w:rFonts w:hint="eastAsia" w:ascii="宋体" w:hAnsi="宋体" w:eastAsia="宋体" w:cs="宋体"/>
                <w:b/>
                <w:bCs/>
                <w:color w:val="000000"/>
                <w:kern w:val="0"/>
                <w:sz w:val="22"/>
                <w:szCs w:val="22"/>
              </w:rPr>
              <w:t>本年收入合计</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5084.2</w:t>
            </w: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b/>
                <w:bCs/>
                <w:color w:val="000000"/>
                <w:kern w:val="0"/>
                <w:sz w:val="22"/>
                <w:szCs w:val="22"/>
              </w:rPr>
            </w:pPr>
            <w:r>
              <w:rPr>
                <w:rFonts w:hint="eastAsia" w:ascii="宋体" w:hAnsi="宋体" w:eastAsia="宋体" w:cs="宋体"/>
                <w:b/>
                <w:bCs/>
                <w:color w:val="000000"/>
                <w:kern w:val="0"/>
                <w:sz w:val="22"/>
                <w:szCs w:val="22"/>
              </w:rPr>
              <w:t>本年支出合计</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5084.2</w:t>
            </w: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FF0000"/>
                <w:kern w:val="0"/>
                <w:sz w:val="22"/>
                <w:szCs w:val="22"/>
              </w:rPr>
            </w:pPr>
            <w:r>
              <w:rPr>
                <w:rFonts w:hint="eastAsia" w:ascii="宋体" w:hAnsi="宋体" w:eastAsia="宋体" w:cs="宋体"/>
                <w:color w:val="FF0000"/>
                <w:kern w:val="0"/>
                <w:sz w:val="22"/>
                <w:szCs w:val="22"/>
              </w:rPr>
              <w:t>使用非财政拨款结余</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FF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FF0000"/>
                <w:kern w:val="0"/>
                <w:sz w:val="22"/>
                <w:szCs w:val="22"/>
              </w:rPr>
            </w:pPr>
            <w:r>
              <w:rPr>
                <w:rFonts w:hint="eastAsia" w:ascii="宋体" w:hAnsi="宋体" w:eastAsia="宋体" w:cs="宋体"/>
                <w:color w:val="FF0000"/>
                <w:kern w:val="0"/>
                <w:sz w:val="22"/>
                <w:szCs w:val="22"/>
              </w:rPr>
              <w:t>结余分配</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FF0000"/>
                <w:kern w:val="0"/>
                <w:sz w:val="22"/>
                <w:szCs w:val="22"/>
              </w:rPr>
            </w:pPr>
            <w:r>
              <w:rPr>
                <w:rFonts w:hint="eastAsia" w:ascii="宋体" w:hAnsi="宋体" w:eastAsia="宋体" w:cs="宋体"/>
                <w:color w:val="FF0000"/>
                <w:kern w:val="0"/>
                <w:sz w:val="22"/>
                <w:szCs w:val="22"/>
              </w:rPr>
              <w:t>年初结转和结余</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FF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FF0000"/>
                <w:kern w:val="0"/>
                <w:sz w:val="22"/>
                <w:szCs w:val="22"/>
              </w:rPr>
            </w:pPr>
            <w:r>
              <w:rPr>
                <w:rFonts w:hint="eastAsia" w:ascii="宋体" w:hAnsi="宋体" w:eastAsia="宋体" w:cs="宋体"/>
                <w:color w:val="FF0000"/>
                <w:kern w:val="0"/>
                <w:sz w:val="22"/>
                <w:szCs w:val="22"/>
              </w:rPr>
              <w:t>年末结转和结余</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162"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9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b/>
                <w:bCs/>
                <w:color w:val="000000"/>
                <w:kern w:val="0"/>
                <w:sz w:val="22"/>
                <w:szCs w:val="22"/>
              </w:rPr>
            </w:pPr>
            <w:r>
              <w:rPr>
                <w:rFonts w:hint="eastAsia" w:ascii="宋体" w:hAnsi="宋体" w:eastAsia="宋体" w:cs="宋体"/>
                <w:b/>
                <w:bCs/>
                <w:color w:val="000000"/>
                <w:kern w:val="0"/>
                <w:sz w:val="22"/>
                <w:szCs w:val="22"/>
              </w:rPr>
              <w:t>总计</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5084.2</w:t>
            </w: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b/>
                <w:bCs/>
                <w:color w:val="000000"/>
                <w:kern w:val="0"/>
                <w:sz w:val="22"/>
                <w:szCs w:val="22"/>
              </w:rPr>
            </w:pPr>
            <w:r>
              <w:rPr>
                <w:rFonts w:hint="eastAsia" w:ascii="宋体" w:hAnsi="宋体" w:eastAsia="宋体" w:cs="宋体"/>
                <w:b/>
                <w:bCs/>
                <w:color w:val="000000"/>
                <w:kern w:val="0"/>
                <w:sz w:val="22"/>
                <w:szCs w:val="22"/>
              </w:rPr>
              <w:t>总计</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5084.2</w:t>
            </w:r>
          </w:p>
        </w:tc>
      </w:tr>
    </w:tbl>
    <w:p>
      <w:pPr>
        <w:ind w:firstLine="640" w:firstLineChars="200"/>
        <w:jc w:val="center"/>
        <w:rPr>
          <w:rFonts w:hint="eastAsia" w:ascii="黑体" w:hAnsi="黑体" w:eastAsia="黑体"/>
          <w:szCs w:val="32"/>
        </w:rPr>
      </w:pPr>
      <w:r>
        <w:rPr>
          <w:rFonts w:hint="eastAsia" w:ascii="黑体" w:hAnsi="黑体" w:eastAsia="黑体"/>
          <w:szCs w:val="32"/>
        </w:rPr>
        <w:t>收入决算表</w:t>
      </w:r>
    </w:p>
    <w:p>
      <w:pPr>
        <w:ind w:firstLine="640" w:firstLineChars="200"/>
        <w:rPr>
          <w:rFonts w:hint="eastAsia" w:ascii="宋体" w:hAnsi="宋体" w:eastAsia="宋体"/>
          <w:color w:val="FF0000"/>
          <w:sz w:val="20"/>
        </w:rPr>
      </w:pPr>
      <w:r>
        <w:rPr>
          <w:rFonts w:hint="eastAsia" w:ascii="黑体" w:hAnsi="黑体" w:eastAsia="黑体"/>
          <w:szCs w:val="32"/>
        </w:rPr>
        <w:t xml:space="preserve">                                             </w:t>
      </w:r>
    </w:p>
    <w:tbl>
      <w:tblPr>
        <w:tblStyle w:val="7"/>
        <w:tblW w:w="11283" w:type="dxa"/>
        <w:tblInd w:w="93" w:type="dxa"/>
        <w:tblLayout w:type="fixed"/>
        <w:tblCellMar>
          <w:top w:w="15" w:type="dxa"/>
          <w:left w:w="108" w:type="dxa"/>
          <w:bottom w:w="15" w:type="dxa"/>
          <w:right w:w="108" w:type="dxa"/>
        </w:tblCellMar>
      </w:tblPr>
      <w:tblGrid>
        <w:gridCol w:w="422"/>
        <w:gridCol w:w="422"/>
        <w:gridCol w:w="423"/>
        <w:gridCol w:w="1252"/>
        <w:gridCol w:w="939"/>
        <w:gridCol w:w="939"/>
        <w:gridCol w:w="939"/>
        <w:gridCol w:w="939"/>
        <w:gridCol w:w="1252"/>
        <w:gridCol w:w="313"/>
        <w:gridCol w:w="313"/>
        <w:gridCol w:w="939"/>
        <w:gridCol w:w="626"/>
        <w:gridCol w:w="1565"/>
      </w:tblGrid>
      <w:tr>
        <w:tblPrEx>
          <w:tblCellMar>
            <w:top w:w="15" w:type="dxa"/>
            <w:left w:w="108" w:type="dxa"/>
            <w:bottom w:w="15" w:type="dxa"/>
            <w:right w:w="108" w:type="dxa"/>
          </w:tblCellMar>
        </w:tblPrEx>
        <w:trPr>
          <w:trHeight w:val="300" w:hRule="atLeast"/>
        </w:trPr>
        <w:tc>
          <w:tcPr>
            <w:tcW w:w="2519" w:type="dxa"/>
            <w:gridSpan w:val="4"/>
            <w:vAlign w:val="bottom"/>
          </w:tcPr>
          <w:p>
            <w:pPr>
              <w:widowControl/>
              <w:jc w:val="left"/>
              <w:rPr>
                <w:rFonts w:hint="eastAsia" w:ascii="宋体" w:hAnsi="宋体" w:eastAsia="宋体" w:cs="宋体"/>
                <w:kern w:val="0"/>
                <w:sz w:val="20"/>
              </w:rPr>
            </w:pPr>
          </w:p>
        </w:tc>
        <w:tc>
          <w:tcPr>
            <w:tcW w:w="939" w:type="dxa"/>
            <w:vAlign w:val="bottom"/>
          </w:tcPr>
          <w:p>
            <w:pPr>
              <w:widowControl/>
              <w:jc w:val="left"/>
              <w:rPr>
                <w:rFonts w:ascii="Arial" w:hAnsi="Arial" w:eastAsia="宋体" w:cs="宋体"/>
                <w:color w:val="000000"/>
                <w:kern w:val="0"/>
                <w:sz w:val="20"/>
              </w:rPr>
            </w:pPr>
          </w:p>
        </w:tc>
        <w:tc>
          <w:tcPr>
            <w:tcW w:w="939" w:type="dxa"/>
            <w:vAlign w:val="bottom"/>
          </w:tcPr>
          <w:p>
            <w:pPr>
              <w:widowControl/>
              <w:jc w:val="left"/>
              <w:rPr>
                <w:rFonts w:ascii="Arial" w:hAnsi="Arial" w:eastAsia="宋体" w:cs="宋体"/>
                <w:color w:val="000000"/>
                <w:kern w:val="0"/>
                <w:sz w:val="20"/>
              </w:rPr>
            </w:pPr>
          </w:p>
        </w:tc>
        <w:tc>
          <w:tcPr>
            <w:tcW w:w="939" w:type="dxa"/>
            <w:vAlign w:val="bottom"/>
          </w:tcPr>
          <w:p>
            <w:pPr>
              <w:widowControl/>
              <w:jc w:val="center"/>
              <w:rPr>
                <w:rFonts w:ascii="宋体" w:hAnsi="宋体" w:eastAsia="宋体" w:cs="宋体"/>
                <w:color w:val="000000"/>
                <w:kern w:val="0"/>
                <w:sz w:val="20"/>
              </w:rPr>
            </w:pPr>
          </w:p>
        </w:tc>
        <w:tc>
          <w:tcPr>
            <w:tcW w:w="939" w:type="dxa"/>
            <w:vAlign w:val="bottom"/>
          </w:tcPr>
          <w:p>
            <w:pPr>
              <w:widowControl/>
              <w:jc w:val="left"/>
              <w:rPr>
                <w:rFonts w:ascii="Arial" w:hAnsi="Arial" w:eastAsia="宋体" w:cs="宋体"/>
                <w:color w:val="000000"/>
                <w:kern w:val="0"/>
                <w:sz w:val="20"/>
              </w:rPr>
            </w:pPr>
          </w:p>
        </w:tc>
        <w:tc>
          <w:tcPr>
            <w:tcW w:w="1565" w:type="dxa"/>
            <w:gridSpan w:val="2"/>
            <w:vAlign w:val="bottom"/>
          </w:tcPr>
          <w:p>
            <w:pPr>
              <w:widowControl/>
              <w:wordWrap w:val="0"/>
              <w:jc w:val="right"/>
              <w:rPr>
                <w:rFonts w:hint="eastAsia" w:ascii="宋体" w:hAnsi="宋体" w:eastAsia="宋体" w:cs="宋体"/>
                <w:kern w:val="0"/>
                <w:sz w:val="20"/>
              </w:rPr>
            </w:pPr>
            <w:r>
              <w:rPr>
                <w:rFonts w:hint="eastAsia" w:ascii="宋体" w:hAnsi="宋体" w:eastAsia="宋体" w:cs="宋体"/>
                <w:kern w:val="0"/>
                <w:sz w:val="20"/>
              </w:rPr>
              <w:t xml:space="preserve"> </w:t>
            </w:r>
          </w:p>
        </w:tc>
        <w:tc>
          <w:tcPr>
            <w:tcW w:w="3443" w:type="dxa"/>
            <w:gridSpan w:val="4"/>
          </w:tcPr>
          <w:p>
            <w:pPr>
              <w:widowControl/>
              <w:tabs>
                <w:tab w:val="right" w:pos="3130"/>
              </w:tabs>
              <w:ind w:right="97" w:firstLine="500" w:firstLineChars="250"/>
              <w:rPr>
                <w:rFonts w:hint="eastAsia" w:ascii="宋体" w:hAnsi="宋体" w:eastAsia="宋体" w:cs="宋体"/>
                <w:kern w:val="0"/>
                <w:sz w:val="20"/>
              </w:rPr>
            </w:pPr>
            <w:r>
              <w:rPr>
                <w:rFonts w:hint="eastAsia" w:ascii="宋体" w:hAnsi="宋体" w:eastAsia="宋体" w:cs="宋体"/>
                <w:kern w:val="0"/>
                <w:sz w:val="20"/>
              </w:rPr>
              <w:t>公开02表</w:t>
            </w:r>
          </w:p>
        </w:tc>
      </w:tr>
      <w:tr>
        <w:tblPrEx>
          <w:tblCellMar>
            <w:top w:w="15" w:type="dxa"/>
            <w:left w:w="108" w:type="dxa"/>
            <w:bottom w:w="15" w:type="dxa"/>
            <w:right w:w="108" w:type="dxa"/>
          </w:tblCellMar>
        </w:tblPrEx>
        <w:trPr>
          <w:trHeight w:val="300" w:hRule="atLeast"/>
        </w:trPr>
        <w:tc>
          <w:tcPr>
            <w:tcW w:w="2519" w:type="dxa"/>
            <w:gridSpan w:val="4"/>
            <w:vAlign w:val="bottom"/>
          </w:tcPr>
          <w:p>
            <w:pPr>
              <w:widowControl/>
              <w:jc w:val="left"/>
              <w:rPr>
                <w:rFonts w:ascii="Arial" w:hAnsi="Arial" w:eastAsia="宋体" w:cs="宋体"/>
                <w:kern w:val="0"/>
                <w:sz w:val="20"/>
              </w:rPr>
            </w:pPr>
            <w:r>
              <w:rPr>
                <w:rFonts w:hint="eastAsia" w:ascii="宋体" w:hAnsi="宋体" w:eastAsia="宋体" w:cs="宋体"/>
                <w:kern w:val="0"/>
                <w:sz w:val="20"/>
              </w:rPr>
              <w:t>部门：</w:t>
            </w:r>
          </w:p>
        </w:tc>
        <w:tc>
          <w:tcPr>
            <w:tcW w:w="939" w:type="dxa"/>
            <w:vAlign w:val="bottom"/>
          </w:tcPr>
          <w:p>
            <w:pPr>
              <w:widowControl/>
              <w:jc w:val="left"/>
              <w:rPr>
                <w:rFonts w:ascii="Arial" w:hAnsi="Arial" w:eastAsia="宋体" w:cs="宋体"/>
                <w:color w:val="000000"/>
                <w:kern w:val="0"/>
                <w:sz w:val="20"/>
              </w:rPr>
            </w:pPr>
          </w:p>
        </w:tc>
        <w:tc>
          <w:tcPr>
            <w:tcW w:w="939" w:type="dxa"/>
            <w:vAlign w:val="bottom"/>
          </w:tcPr>
          <w:p>
            <w:pPr>
              <w:widowControl/>
              <w:jc w:val="left"/>
              <w:rPr>
                <w:rFonts w:ascii="Arial" w:hAnsi="Arial" w:eastAsia="宋体" w:cs="宋体"/>
                <w:color w:val="000000"/>
                <w:kern w:val="0"/>
                <w:sz w:val="20"/>
              </w:rPr>
            </w:pPr>
          </w:p>
        </w:tc>
        <w:tc>
          <w:tcPr>
            <w:tcW w:w="939" w:type="dxa"/>
            <w:vAlign w:val="bottom"/>
          </w:tcPr>
          <w:p>
            <w:pPr>
              <w:widowControl/>
              <w:jc w:val="center"/>
              <w:rPr>
                <w:rFonts w:ascii="宋体" w:hAnsi="宋体" w:eastAsia="宋体" w:cs="宋体"/>
                <w:color w:val="000000"/>
                <w:kern w:val="0"/>
                <w:sz w:val="20"/>
              </w:rPr>
            </w:pPr>
          </w:p>
        </w:tc>
        <w:tc>
          <w:tcPr>
            <w:tcW w:w="939" w:type="dxa"/>
            <w:vAlign w:val="bottom"/>
          </w:tcPr>
          <w:p>
            <w:pPr>
              <w:widowControl/>
              <w:jc w:val="left"/>
              <w:rPr>
                <w:rFonts w:ascii="Arial" w:hAnsi="Arial" w:eastAsia="宋体" w:cs="宋体"/>
                <w:color w:val="000000"/>
                <w:kern w:val="0"/>
                <w:sz w:val="20"/>
              </w:rPr>
            </w:pPr>
          </w:p>
        </w:tc>
        <w:tc>
          <w:tcPr>
            <w:tcW w:w="1565" w:type="dxa"/>
            <w:gridSpan w:val="2"/>
            <w:vAlign w:val="bottom"/>
          </w:tcPr>
          <w:p>
            <w:pPr>
              <w:widowControl/>
              <w:ind w:right="60"/>
              <w:jc w:val="right"/>
              <w:rPr>
                <w:rFonts w:ascii="宋体" w:hAnsi="宋体" w:eastAsia="宋体" w:cs="宋体"/>
                <w:color w:val="000000"/>
                <w:kern w:val="0"/>
                <w:sz w:val="20"/>
              </w:rPr>
            </w:pPr>
          </w:p>
        </w:tc>
        <w:tc>
          <w:tcPr>
            <w:tcW w:w="3443" w:type="dxa"/>
            <w:gridSpan w:val="4"/>
          </w:tcPr>
          <w:p>
            <w:pPr>
              <w:widowControl/>
              <w:ind w:right="448"/>
              <w:rPr>
                <w:rFonts w:hint="eastAsia" w:ascii="宋体" w:hAnsi="宋体" w:eastAsia="宋体" w:cs="宋体"/>
                <w:color w:val="000000"/>
                <w:kern w:val="0"/>
                <w:sz w:val="20"/>
              </w:rPr>
            </w:pPr>
            <w:r>
              <w:rPr>
                <w:rFonts w:hint="eastAsia" w:ascii="宋体" w:hAnsi="宋体" w:eastAsia="宋体" w:cs="宋体"/>
                <w:color w:val="000000"/>
                <w:kern w:val="0"/>
                <w:sz w:val="20"/>
              </w:rPr>
              <w:t>金额单位：万元</w:t>
            </w:r>
          </w:p>
        </w:tc>
      </w:tr>
      <w:tr>
        <w:tblPrEx>
          <w:tblCellMar>
            <w:top w:w="15" w:type="dxa"/>
            <w:left w:w="108" w:type="dxa"/>
            <w:bottom w:w="15" w:type="dxa"/>
            <w:right w:w="108" w:type="dxa"/>
          </w:tblCellMar>
        </w:tblPrEx>
        <w:trPr>
          <w:gridAfter w:val="1"/>
          <w:wAfter w:w="1565" w:type="dxa"/>
          <w:trHeight w:val="450" w:hRule="atLeast"/>
        </w:trPr>
        <w:tc>
          <w:tcPr>
            <w:tcW w:w="2519" w:type="dxa"/>
            <w:gridSpan w:val="4"/>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项目</w:t>
            </w:r>
          </w:p>
        </w:tc>
        <w:tc>
          <w:tcPr>
            <w:tcW w:w="939"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本年收入合计</w:t>
            </w:r>
          </w:p>
        </w:tc>
        <w:tc>
          <w:tcPr>
            <w:tcW w:w="939"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财政拨款收入</w:t>
            </w:r>
          </w:p>
        </w:tc>
        <w:tc>
          <w:tcPr>
            <w:tcW w:w="939"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上级补助收入</w:t>
            </w:r>
          </w:p>
        </w:tc>
        <w:tc>
          <w:tcPr>
            <w:tcW w:w="2191" w:type="dxa"/>
            <w:gridSpan w:val="2"/>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事业收入</w:t>
            </w:r>
          </w:p>
        </w:tc>
        <w:tc>
          <w:tcPr>
            <w:tcW w:w="626" w:type="dxa"/>
            <w:gridSpan w:val="2"/>
            <w:vMerge w:val="restart"/>
            <w:tcBorders>
              <w:top w:val="single" w:color="auto" w:sz="4" w:space="0"/>
              <w:left w:val="single" w:color="auto" w:sz="4" w:space="0"/>
              <w:bottom w:val="single" w:color="auto" w:sz="4" w:space="0"/>
              <w:right w:val="single" w:color="auto" w:sz="4" w:space="0"/>
            </w:tcBorders>
          </w:tcPr>
          <w:p>
            <w:pPr>
              <w:widowControl/>
              <w:rPr>
                <w:rFonts w:hint="eastAsia" w:ascii="宋体" w:hAnsi="宋体" w:eastAsia="宋体" w:cs="宋体"/>
                <w:color w:val="000000"/>
                <w:kern w:val="0"/>
                <w:sz w:val="22"/>
                <w:szCs w:val="22"/>
              </w:rPr>
            </w:pPr>
          </w:p>
          <w:p>
            <w:pPr>
              <w:widowControl/>
              <w:jc w:val="center"/>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经营</w:t>
            </w:r>
          </w:p>
          <w:p>
            <w:pPr>
              <w:widowControl/>
              <w:jc w:val="center"/>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收入</w:t>
            </w:r>
          </w:p>
        </w:tc>
        <w:tc>
          <w:tcPr>
            <w:tcW w:w="939"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附属单位上缴收入</w:t>
            </w:r>
          </w:p>
        </w:tc>
        <w:tc>
          <w:tcPr>
            <w:tcW w:w="626"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其他</w:t>
            </w:r>
          </w:p>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收入</w:t>
            </w:r>
          </w:p>
        </w:tc>
      </w:tr>
      <w:tr>
        <w:tblPrEx>
          <w:tblCellMar>
            <w:top w:w="15" w:type="dxa"/>
            <w:left w:w="108" w:type="dxa"/>
            <w:bottom w:w="15" w:type="dxa"/>
            <w:right w:w="108" w:type="dxa"/>
          </w:tblCellMar>
        </w:tblPrEx>
        <w:trPr>
          <w:gridAfter w:val="1"/>
          <w:wAfter w:w="1565" w:type="dxa"/>
          <w:trHeight w:val="355" w:hRule="atLeast"/>
        </w:trPr>
        <w:tc>
          <w:tcPr>
            <w:tcW w:w="1267" w:type="dxa"/>
            <w:gridSpan w:val="3"/>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FF"/>
                <w:kern w:val="0"/>
                <w:sz w:val="22"/>
                <w:szCs w:val="22"/>
              </w:rPr>
              <w:t>功能分类</w:t>
            </w:r>
            <w:r>
              <w:rPr>
                <w:rFonts w:hint="eastAsia" w:ascii="宋体" w:hAnsi="宋体" w:eastAsia="宋体" w:cs="宋体"/>
                <w:color w:val="000000"/>
                <w:kern w:val="0"/>
                <w:sz w:val="22"/>
                <w:szCs w:val="22"/>
              </w:rPr>
              <w:t>科目编码</w:t>
            </w:r>
          </w:p>
        </w:tc>
        <w:tc>
          <w:tcPr>
            <w:tcW w:w="1252"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科目名称</w:t>
            </w:r>
          </w:p>
        </w:tc>
        <w:tc>
          <w:tcPr>
            <w:tcW w:w="93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93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93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19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626"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93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62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r>
      <w:tr>
        <w:tblPrEx>
          <w:tblCellMar>
            <w:top w:w="15" w:type="dxa"/>
            <w:left w:w="108" w:type="dxa"/>
            <w:bottom w:w="15" w:type="dxa"/>
            <w:right w:w="108" w:type="dxa"/>
          </w:tblCellMar>
        </w:tblPrEx>
        <w:trPr>
          <w:gridAfter w:val="1"/>
          <w:wAfter w:w="1565" w:type="dxa"/>
          <w:trHeight w:val="450" w:hRule="atLeast"/>
        </w:trPr>
        <w:tc>
          <w:tcPr>
            <w:tcW w:w="1267"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2"/>
                <w:szCs w:val="22"/>
              </w:rPr>
            </w:pPr>
          </w:p>
        </w:tc>
        <w:tc>
          <w:tcPr>
            <w:tcW w:w="1252"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p>
        </w:tc>
        <w:tc>
          <w:tcPr>
            <w:tcW w:w="939" w:type="dxa"/>
            <w:vMerge w:val="continue"/>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39" w:type="dxa"/>
            <w:vMerge w:val="continue"/>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39" w:type="dxa"/>
            <w:vMerge w:val="continue"/>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小计</w:t>
            </w:r>
          </w:p>
        </w:tc>
        <w:tc>
          <w:tcPr>
            <w:tcW w:w="1252" w:type="dxa"/>
            <w:tcBorders>
              <w:top w:val="single" w:color="auto" w:sz="4" w:space="0"/>
              <w:left w:val="single" w:color="auto" w:sz="4" w:space="0"/>
              <w:bottom w:val="single" w:color="auto" w:sz="4" w:space="0"/>
              <w:right w:val="single" w:color="auto" w:sz="4" w:space="0"/>
            </w:tcBorders>
          </w:tcPr>
          <w:p>
            <w:pPr>
              <w:widowControl/>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其中：教育</w:t>
            </w:r>
          </w:p>
          <w:p>
            <w:pPr>
              <w:widowControl/>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收费</w:t>
            </w:r>
          </w:p>
        </w:tc>
        <w:tc>
          <w:tcPr>
            <w:tcW w:w="626"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39" w:type="dxa"/>
            <w:vMerge w:val="continue"/>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626" w:type="dxa"/>
            <w:vMerge w:val="continue"/>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gridAfter w:val="1"/>
          <w:wAfter w:w="1565" w:type="dxa"/>
          <w:trHeight w:val="450" w:hRule="atLeast"/>
        </w:trPr>
        <w:tc>
          <w:tcPr>
            <w:tcW w:w="42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类</w:t>
            </w:r>
          </w:p>
        </w:tc>
        <w:tc>
          <w:tcPr>
            <w:tcW w:w="42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款</w:t>
            </w:r>
          </w:p>
        </w:tc>
        <w:tc>
          <w:tcPr>
            <w:tcW w:w="42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项</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合计</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5084.2</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5084.2</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626"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gridAfter w:val="1"/>
          <w:wAfter w:w="1565" w:type="dxa"/>
          <w:trHeight w:val="450" w:hRule="atLeast"/>
        </w:trPr>
        <w:tc>
          <w:tcPr>
            <w:tcW w:w="1267"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201</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一般公共服务支出</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439.31</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439.31</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626"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gridAfter w:val="1"/>
          <w:wAfter w:w="1565" w:type="dxa"/>
          <w:trHeight w:val="450" w:hRule="atLeast"/>
        </w:trPr>
        <w:tc>
          <w:tcPr>
            <w:tcW w:w="1267"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20103</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政府办公厅（室）及相关机构事务</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439.31</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439.31</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626"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gridAfter w:val="1"/>
          <w:wAfter w:w="1565" w:type="dxa"/>
          <w:trHeight w:val="450" w:hRule="atLeast"/>
        </w:trPr>
        <w:tc>
          <w:tcPr>
            <w:tcW w:w="1267"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2010301</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行政运行</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439.31</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439.31</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626"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gridAfter w:val="1"/>
          <w:wAfter w:w="1565" w:type="dxa"/>
          <w:trHeight w:val="450" w:hRule="atLeast"/>
        </w:trPr>
        <w:tc>
          <w:tcPr>
            <w:tcW w:w="1267"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208</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社会保障和就业支出</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457</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457</w:t>
            </w: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gridSpan w:val="2"/>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gridAfter w:val="1"/>
          <w:wAfter w:w="1565" w:type="dxa"/>
          <w:trHeight w:val="450" w:hRule="atLeast"/>
        </w:trPr>
        <w:tc>
          <w:tcPr>
            <w:tcW w:w="1267"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20819</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最低生活保障</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102</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102</w:t>
            </w: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gridSpan w:val="2"/>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gridAfter w:val="1"/>
          <w:wAfter w:w="1565" w:type="dxa"/>
          <w:trHeight w:val="450" w:hRule="atLeast"/>
        </w:trPr>
        <w:tc>
          <w:tcPr>
            <w:tcW w:w="1267"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2081902</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农村最低生活保障金支出</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102</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102</w:t>
            </w: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gridSpan w:val="2"/>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gridAfter w:val="1"/>
          <w:wAfter w:w="1565" w:type="dxa"/>
          <w:trHeight w:val="450" w:hRule="atLeast"/>
        </w:trPr>
        <w:tc>
          <w:tcPr>
            <w:tcW w:w="1267"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20820</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临时救助</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5</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5</w:t>
            </w: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gridSpan w:val="2"/>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gridAfter w:val="1"/>
          <w:wAfter w:w="1565" w:type="dxa"/>
          <w:trHeight w:val="450" w:hRule="atLeast"/>
        </w:trPr>
        <w:tc>
          <w:tcPr>
            <w:tcW w:w="1267"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2082001</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临时救助支出</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5</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5</w:t>
            </w: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gridSpan w:val="2"/>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gridAfter w:val="1"/>
          <w:wAfter w:w="1565" w:type="dxa"/>
          <w:trHeight w:val="450" w:hRule="atLeast"/>
        </w:trPr>
        <w:tc>
          <w:tcPr>
            <w:tcW w:w="1267"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20821</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特困人员救助供养</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90</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90</w:t>
            </w: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gridSpan w:val="2"/>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gridAfter w:val="1"/>
          <w:wAfter w:w="1565" w:type="dxa"/>
          <w:trHeight w:val="450" w:hRule="atLeast"/>
        </w:trPr>
        <w:tc>
          <w:tcPr>
            <w:tcW w:w="1267"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2082102</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农村特困人员救助供养支出</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90</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90</w:t>
            </w: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gridSpan w:val="2"/>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gridAfter w:val="1"/>
          <w:wAfter w:w="1565" w:type="dxa"/>
          <w:trHeight w:val="450" w:hRule="atLeast"/>
        </w:trPr>
        <w:tc>
          <w:tcPr>
            <w:tcW w:w="1267"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20899</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其他社会保障和就业支出</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260</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260</w:t>
            </w: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gridSpan w:val="2"/>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gridAfter w:val="1"/>
          <w:wAfter w:w="1565" w:type="dxa"/>
          <w:trHeight w:val="450" w:hRule="atLeast"/>
        </w:trPr>
        <w:tc>
          <w:tcPr>
            <w:tcW w:w="1267"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2089901</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其他社会保障和就业支出</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260</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260</w:t>
            </w: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gridSpan w:val="2"/>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gridAfter w:val="1"/>
          <w:wAfter w:w="1565" w:type="dxa"/>
          <w:trHeight w:val="450" w:hRule="atLeast"/>
        </w:trPr>
        <w:tc>
          <w:tcPr>
            <w:tcW w:w="1267"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211</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节能环保支出</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399</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399</w:t>
            </w: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gridSpan w:val="2"/>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gridAfter w:val="1"/>
          <w:wAfter w:w="1565" w:type="dxa"/>
          <w:trHeight w:val="450" w:hRule="atLeast"/>
        </w:trPr>
        <w:tc>
          <w:tcPr>
            <w:tcW w:w="1267"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21199</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其他节能环保支出</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399</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399</w:t>
            </w: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gridSpan w:val="2"/>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gridAfter w:val="1"/>
          <w:wAfter w:w="1565" w:type="dxa"/>
          <w:trHeight w:val="450" w:hRule="atLeast"/>
        </w:trPr>
        <w:tc>
          <w:tcPr>
            <w:tcW w:w="1267"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2119901</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其他节能环保支出</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399</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399</w:t>
            </w: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gridSpan w:val="2"/>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gridAfter w:val="1"/>
          <w:wAfter w:w="1565" w:type="dxa"/>
          <w:trHeight w:val="450" w:hRule="atLeast"/>
        </w:trPr>
        <w:tc>
          <w:tcPr>
            <w:tcW w:w="1267"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212</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城乡社区支出</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326</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326</w:t>
            </w: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gridSpan w:val="2"/>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gridAfter w:val="1"/>
          <w:wAfter w:w="1565" w:type="dxa"/>
          <w:trHeight w:val="450" w:hRule="atLeast"/>
        </w:trPr>
        <w:tc>
          <w:tcPr>
            <w:tcW w:w="1267"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21299</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其他城乡社区支出</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326</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326</w:t>
            </w: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gridSpan w:val="2"/>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gridAfter w:val="1"/>
          <w:wAfter w:w="1565" w:type="dxa"/>
          <w:trHeight w:val="450" w:hRule="atLeast"/>
        </w:trPr>
        <w:tc>
          <w:tcPr>
            <w:tcW w:w="1267"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2129901</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其他城乡社区支出</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326</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326</w:t>
            </w: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gridSpan w:val="2"/>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gridAfter w:val="1"/>
          <w:wAfter w:w="1565" w:type="dxa"/>
          <w:trHeight w:val="450" w:hRule="atLeast"/>
        </w:trPr>
        <w:tc>
          <w:tcPr>
            <w:tcW w:w="1267"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213</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农林水支出</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3375.34</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3375.34</w:t>
            </w: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gridSpan w:val="2"/>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gridAfter w:val="1"/>
          <w:wAfter w:w="1565" w:type="dxa"/>
          <w:trHeight w:val="450" w:hRule="atLeast"/>
        </w:trPr>
        <w:tc>
          <w:tcPr>
            <w:tcW w:w="1267"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21301</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农业农村</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780</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780</w:t>
            </w: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gridSpan w:val="2"/>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gridAfter w:val="1"/>
          <w:wAfter w:w="1565" w:type="dxa"/>
          <w:trHeight w:val="450" w:hRule="atLeast"/>
        </w:trPr>
        <w:tc>
          <w:tcPr>
            <w:tcW w:w="1267"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2130199</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其他农业农村支出</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780</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780</w:t>
            </w: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gridSpan w:val="2"/>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gridAfter w:val="1"/>
          <w:wAfter w:w="1565" w:type="dxa"/>
          <w:trHeight w:val="450" w:hRule="atLeast"/>
        </w:trPr>
        <w:tc>
          <w:tcPr>
            <w:tcW w:w="1267"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21303</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水利</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2495.34</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2495.34</w:t>
            </w: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gridSpan w:val="2"/>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gridAfter w:val="1"/>
          <w:wAfter w:w="1565" w:type="dxa"/>
          <w:trHeight w:val="450" w:hRule="atLeast"/>
        </w:trPr>
        <w:tc>
          <w:tcPr>
            <w:tcW w:w="1267"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21307</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农村综合改革</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100</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100</w:t>
            </w: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gridSpan w:val="2"/>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gridAfter w:val="1"/>
          <w:wAfter w:w="1565" w:type="dxa"/>
          <w:trHeight w:val="450" w:hRule="atLeast"/>
        </w:trPr>
        <w:tc>
          <w:tcPr>
            <w:tcW w:w="1267"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2130705</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对村民委员会和村党支部的补助</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100</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100</w:t>
            </w: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gridSpan w:val="2"/>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gridAfter w:val="1"/>
          <w:wAfter w:w="1565" w:type="dxa"/>
          <w:trHeight w:val="450" w:hRule="atLeast"/>
        </w:trPr>
        <w:tc>
          <w:tcPr>
            <w:tcW w:w="1267"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221</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住房保障支出</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87.55</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87.55</w:t>
            </w: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gridSpan w:val="2"/>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gridAfter w:val="1"/>
          <w:wAfter w:w="1565" w:type="dxa"/>
          <w:trHeight w:val="450" w:hRule="atLeast"/>
        </w:trPr>
        <w:tc>
          <w:tcPr>
            <w:tcW w:w="1267"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22102</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住房改革支出</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87.55</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87.55</w:t>
            </w: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gridSpan w:val="2"/>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gridAfter w:val="1"/>
          <w:wAfter w:w="1565" w:type="dxa"/>
          <w:trHeight w:val="450" w:hRule="atLeast"/>
        </w:trPr>
        <w:tc>
          <w:tcPr>
            <w:tcW w:w="1267"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2210201</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住房公积金</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87.55</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87.55</w:t>
            </w: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gridSpan w:val="2"/>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r>
    </w:tbl>
    <w:p>
      <w:pPr>
        <w:ind w:firstLine="640" w:firstLineChars="200"/>
        <w:rPr>
          <w:rFonts w:hint="eastAsia" w:ascii="黑体" w:hAnsi="黑体" w:eastAsia="黑体"/>
          <w:szCs w:val="32"/>
        </w:rPr>
      </w:pPr>
    </w:p>
    <w:p>
      <w:pPr>
        <w:ind w:firstLine="640" w:firstLineChars="200"/>
        <w:jc w:val="center"/>
        <w:rPr>
          <w:rFonts w:hint="eastAsia" w:ascii="黑体" w:hAnsi="黑体" w:eastAsia="黑体"/>
          <w:szCs w:val="32"/>
        </w:rPr>
      </w:pPr>
      <w:r>
        <w:rPr>
          <w:rFonts w:hint="eastAsia" w:ascii="黑体" w:hAnsi="黑体" w:eastAsia="黑体"/>
          <w:szCs w:val="32"/>
        </w:rPr>
        <w:t>支出决算表</w:t>
      </w:r>
    </w:p>
    <w:tbl>
      <w:tblPr>
        <w:tblStyle w:val="7"/>
        <w:tblW w:w="9420" w:type="dxa"/>
        <w:tblInd w:w="93" w:type="dxa"/>
        <w:tblLayout w:type="fixed"/>
        <w:tblCellMar>
          <w:top w:w="15" w:type="dxa"/>
          <w:left w:w="108" w:type="dxa"/>
          <w:bottom w:w="15" w:type="dxa"/>
          <w:right w:w="108" w:type="dxa"/>
        </w:tblCellMar>
      </w:tblPr>
      <w:tblGrid>
        <w:gridCol w:w="685"/>
        <w:gridCol w:w="922"/>
        <w:gridCol w:w="922"/>
        <w:gridCol w:w="1273"/>
        <w:gridCol w:w="964"/>
        <w:gridCol w:w="936"/>
        <w:gridCol w:w="993"/>
        <w:gridCol w:w="823"/>
        <w:gridCol w:w="950"/>
        <w:gridCol w:w="952"/>
      </w:tblGrid>
      <w:tr>
        <w:tblPrEx>
          <w:tblCellMar>
            <w:top w:w="15" w:type="dxa"/>
            <w:left w:w="108" w:type="dxa"/>
            <w:bottom w:w="15" w:type="dxa"/>
            <w:right w:w="108" w:type="dxa"/>
          </w:tblCellMar>
        </w:tblPrEx>
        <w:trPr>
          <w:trHeight w:val="285" w:hRule="atLeast"/>
        </w:trPr>
        <w:tc>
          <w:tcPr>
            <w:tcW w:w="685" w:type="dxa"/>
            <w:vAlign w:val="bottom"/>
          </w:tcPr>
          <w:p>
            <w:pPr>
              <w:widowControl/>
              <w:jc w:val="left"/>
              <w:rPr>
                <w:rFonts w:ascii="Arial" w:hAnsi="Arial" w:eastAsia="宋体" w:cs="宋体"/>
                <w:color w:val="000000"/>
                <w:kern w:val="0"/>
                <w:sz w:val="20"/>
              </w:rPr>
            </w:pPr>
          </w:p>
        </w:tc>
        <w:tc>
          <w:tcPr>
            <w:tcW w:w="922" w:type="dxa"/>
            <w:vAlign w:val="bottom"/>
          </w:tcPr>
          <w:p>
            <w:pPr>
              <w:widowControl/>
              <w:jc w:val="left"/>
              <w:rPr>
                <w:rFonts w:ascii="Arial" w:hAnsi="Arial" w:eastAsia="宋体" w:cs="宋体"/>
                <w:color w:val="000000"/>
                <w:kern w:val="0"/>
                <w:sz w:val="20"/>
              </w:rPr>
            </w:pPr>
          </w:p>
        </w:tc>
        <w:tc>
          <w:tcPr>
            <w:tcW w:w="922" w:type="dxa"/>
            <w:vAlign w:val="bottom"/>
          </w:tcPr>
          <w:p>
            <w:pPr>
              <w:widowControl/>
              <w:jc w:val="left"/>
              <w:rPr>
                <w:rFonts w:ascii="Arial" w:hAnsi="Arial" w:eastAsia="宋体" w:cs="宋体"/>
                <w:color w:val="000000"/>
                <w:kern w:val="0"/>
                <w:sz w:val="20"/>
              </w:rPr>
            </w:pPr>
          </w:p>
        </w:tc>
        <w:tc>
          <w:tcPr>
            <w:tcW w:w="1273" w:type="dxa"/>
            <w:vAlign w:val="bottom"/>
          </w:tcPr>
          <w:p>
            <w:pPr>
              <w:widowControl/>
              <w:jc w:val="left"/>
              <w:rPr>
                <w:rFonts w:ascii="Arial" w:hAnsi="Arial" w:eastAsia="宋体" w:cs="宋体"/>
                <w:color w:val="000000"/>
                <w:kern w:val="0"/>
                <w:sz w:val="20"/>
              </w:rPr>
            </w:pPr>
          </w:p>
        </w:tc>
        <w:tc>
          <w:tcPr>
            <w:tcW w:w="964" w:type="dxa"/>
            <w:vAlign w:val="bottom"/>
          </w:tcPr>
          <w:p>
            <w:pPr>
              <w:widowControl/>
              <w:jc w:val="left"/>
              <w:rPr>
                <w:rFonts w:ascii="Arial" w:hAnsi="Arial" w:eastAsia="宋体" w:cs="宋体"/>
                <w:color w:val="000000"/>
                <w:kern w:val="0"/>
                <w:sz w:val="20"/>
              </w:rPr>
            </w:pPr>
          </w:p>
        </w:tc>
        <w:tc>
          <w:tcPr>
            <w:tcW w:w="936" w:type="dxa"/>
            <w:vAlign w:val="bottom"/>
          </w:tcPr>
          <w:p>
            <w:pPr>
              <w:widowControl/>
              <w:jc w:val="left"/>
              <w:rPr>
                <w:rFonts w:ascii="Arial" w:hAnsi="Arial" w:eastAsia="宋体" w:cs="宋体"/>
                <w:color w:val="000000"/>
                <w:kern w:val="0"/>
                <w:sz w:val="20"/>
              </w:rPr>
            </w:pPr>
          </w:p>
        </w:tc>
        <w:tc>
          <w:tcPr>
            <w:tcW w:w="993" w:type="dxa"/>
            <w:vAlign w:val="bottom"/>
          </w:tcPr>
          <w:p>
            <w:pPr>
              <w:widowControl/>
              <w:jc w:val="left"/>
              <w:rPr>
                <w:rFonts w:ascii="Arial" w:hAnsi="Arial" w:eastAsia="宋体" w:cs="宋体"/>
                <w:color w:val="000000"/>
                <w:kern w:val="0"/>
                <w:sz w:val="20"/>
              </w:rPr>
            </w:pPr>
          </w:p>
        </w:tc>
        <w:tc>
          <w:tcPr>
            <w:tcW w:w="823" w:type="dxa"/>
            <w:vAlign w:val="bottom"/>
          </w:tcPr>
          <w:p>
            <w:pPr>
              <w:widowControl/>
              <w:jc w:val="left"/>
              <w:rPr>
                <w:rFonts w:ascii="Arial" w:hAnsi="Arial" w:eastAsia="宋体" w:cs="宋体"/>
                <w:color w:val="000000"/>
                <w:kern w:val="0"/>
                <w:sz w:val="20"/>
              </w:rPr>
            </w:pPr>
          </w:p>
        </w:tc>
        <w:tc>
          <w:tcPr>
            <w:tcW w:w="1902" w:type="dxa"/>
            <w:gridSpan w:val="2"/>
            <w:vAlign w:val="bottom"/>
          </w:tcPr>
          <w:p>
            <w:pPr>
              <w:widowControl/>
              <w:jc w:val="right"/>
              <w:rPr>
                <w:rFonts w:ascii="宋体" w:hAnsi="宋体" w:eastAsia="宋体" w:cs="宋体"/>
                <w:color w:val="000000"/>
                <w:kern w:val="0"/>
                <w:sz w:val="20"/>
              </w:rPr>
            </w:pPr>
            <w:r>
              <w:rPr>
                <w:rFonts w:hint="eastAsia" w:ascii="宋体" w:hAnsi="宋体" w:eastAsia="宋体" w:cs="宋体"/>
                <w:color w:val="000000"/>
                <w:kern w:val="0"/>
                <w:sz w:val="20"/>
              </w:rPr>
              <w:t>公开03表</w:t>
            </w:r>
          </w:p>
        </w:tc>
      </w:tr>
      <w:tr>
        <w:tblPrEx>
          <w:tblCellMar>
            <w:top w:w="15" w:type="dxa"/>
            <w:left w:w="108" w:type="dxa"/>
            <w:bottom w:w="15" w:type="dxa"/>
            <w:right w:w="108" w:type="dxa"/>
          </w:tblCellMar>
        </w:tblPrEx>
        <w:trPr>
          <w:trHeight w:val="300" w:hRule="atLeast"/>
        </w:trPr>
        <w:tc>
          <w:tcPr>
            <w:tcW w:w="1607" w:type="dxa"/>
            <w:gridSpan w:val="2"/>
            <w:tcBorders>
              <w:bottom w:val="single" w:color="auto" w:sz="4" w:space="0"/>
            </w:tcBorders>
            <w:vAlign w:val="bottom"/>
          </w:tcPr>
          <w:p>
            <w:pPr>
              <w:widowControl/>
              <w:jc w:val="left"/>
              <w:rPr>
                <w:rFonts w:ascii="Arial" w:hAnsi="Arial" w:eastAsia="宋体" w:cs="宋体"/>
                <w:color w:val="000000"/>
                <w:kern w:val="0"/>
                <w:sz w:val="20"/>
              </w:rPr>
            </w:pPr>
            <w:r>
              <w:rPr>
                <w:rFonts w:hint="eastAsia" w:ascii="宋体" w:hAnsi="宋体" w:eastAsia="宋体" w:cs="宋体"/>
                <w:color w:val="000000"/>
                <w:kern w:val="0"/>
                <w:sz w:val="20"/>
              </w:rPr>
              <w:t>部门：</w:t>
            </w:r>
          </w:p>
        </w:tc>
        <w:tc>
          <w:tcPr>
            <w:tcW w:w="922" w:type="dxa"/>
            <w:tcBorders>
              <w:bottom w:val="single" w:color="auto" w:sz="4" w:space="0"/>
            </w:tcBorders>
            <w:vAlign w:val="bottom"/>
          </w:tcPr>
          <w:p>
            <w:pPr>
              <w:widowControl/>
              <w:jc w:val="left"/>
              <w:rPr>
                <w:rFonts w:ascii="Arial" w:hAnsi="Arial" w:eastAsia="宋体" w:cs="宋体"/>
                <w:color w:val="000000"/>
                <w:kern w:val="0"/>
                <w:sz w:val="20"/>
              </w:rPr>
            </w:pPr>
          </w:p>
        </w:tc>
        <w:tc>
          <w:tcPr>
            <w:tcW w:w="1273" w:type="dxa"/>
            <w:tcBorders>
              <w:bottom w:val="single" w:color="auto" w:sz="4" w:space="0"/>
            </w:tcBorders>
            <w:vAlign w:val="bottom"/>
          </w:tcPr>
          <w:p>
            <w:pPr>
              <w:widowControl/>
              <w:jc w:val="left"/>
              <w:rPr>
                <w:rFonts w:ascii="Arial" w:hAnsi="Arial" w:eastAsia="宋体" w:cs="宋体"/>
                <w:color w:val="000000"/>
                <w:kern w:val="0"/>
                <w:sz w:val="20"/>
              </w:rPr>
            </w:pPr>
          </w:p>
        </w:tc>
        <w:tc>
          <w:tcPr>
            <w:tcW w:w="964" w:type="dxa"/>
            <w:tcBorders>
              <w:bottom w:val="single" w:color="auto" w:sz="4" w:space="0"/>
            </w:tcBorders>
            <w:vAlign w:val="bottom"/>
          </w:tcPr>
          <w:p>
            <w:pPr>
              <w:widowControl/>
              <w:jc w:val="left"/>
              <w:rPr>
                <w:rFonts w:ascii="Arial" w:hAnsi="Arial" w:eastAsia="宋体" w:cs="宋体"/>
                <w:color w:val="000000"/>
                <w:kern w:val="0"/>
                <w:sz w:val="20"/>
              </w:rPr>
            </w:pPr>
          </w:p>
        </w:tc>
        <w:tc>
          <w:tcPr>
            <w:tcW w:w="936" w:type="dxa"/>
            <w:tcBorders>
              <w:bottom w:val="single" w:color="auto" w:sz="4" w:space="0"/>
            </w:tcBorders>
            <w:vAlign w:val="bottom"/>
          </w:tcPr>
          <w:p>
            <w:pPr>
              <w:widowControl/>
              <w:jc w:val="center"/>
              <w:rPr>
                <w:rFonts w:ascii="宋体" w:hAnsi="宋体" w:eastAsia="宋体" w:cs="宋体"/>
                <w:color w:val="000000"/>
                <w:kern w:val="0"/>
                <w:sz w:val="24"/>
                <w:szCs w:val="24"/>
              </w:rPr>
            </w:pPr>
          </w:p>
        </w:tc>
        <w:tc>
          <w:tcPr>
            <w:tcW w:w="993" w:type="dxa"/>
            <w:tcBorders>
              <w:bottom w:val="single" w:color="auto" w:sz="4" w:space="0"/>
            </w:tcBorders>
            <w:vAlign w:val="bottom"/>
          </w:tcPr>
          <w:p>
            <w:pPr>
              <w:widowControl/>
              <w:jc w:val="left"/>
              <w:rPr>
                <w:rFonts w:ascii="Arial" w:hAnsi="Arial" w:eastAsia="宋体" w:cs="宋体"/>
                <w:color w:val="000000"/>
                <w:kern w:val="0"/>
                <w:sz w:val="20"/>
              </w:rPr>
            </w:pPr>
          </w:p>
        </w:tc>
        <w:tc>
          <w:tcPr>
            <w:tcW w:w="823" w:type="dxa"/>
            <w:tcBorders>
              <w:bottom w:val="single" w:color="auto" w:sz="4" w:space="0"/>
            </w:tcBorders>
            <w:vAlign w:val="bottom"/>
          </w:tcPr>
          <w:p>
            <w:pPr>
              <w:widowControl/>
              <w:jc w:val="left"/>
              <w:rPr>
                <w:rFonts w:ascii="Arial" w:hAnsi="Arial" w:eastAsia="宋体" w:cs="宋体"/>
                <w:color w:val="000000"/>
                <w:kern w:val="0"/>
                <w:sz w:val="20"/>
              </w:rPr>
            </w:pPr>
          </w:p>
        </w:tc>
        <w:tc>
          <w:tcPr>
            <w:tcW w:w="1902" w:type="dxa"/>
            <w:gridSpan w:val="2"/>
            <w:tcBorders>
              <w:bottom w:val="single" w:color="auto" w:sz="4" w:space="0"/>
            </w:tcBorders>
            <w:vAlign w:val="bottom"/>
          </w:tcPr>
          <w:p>
            <w:pPr>
              <w:widowControl/>
              <w:jc w:val="right"/>
              <w:rPr>
                <w:rFonts w:ascii="宋体" w:hAnsi="宋体" w:eastAsia="宋体" w:cs="宋体"/>
                <w:color w:val="000000"/>
                <w:kern w:val="0"/>
                <w:sz w:val="20"/>
              </w:rPr>
            </w:pPr>
            <w:r>
              <w:rPr>
                <w:rFonts w:hint="eastAsia" w:ascii="宋体" w:hAnsi="宋体" w:eastAsia="宋体" w:cs="宋体"/>
                <w:color w:val="000000"/>
                <w:kern w:val="0"/>
                <w:sz w:val="20"/>
              </w:rPr>
              <w:t>金额单位：万元</w:t>
            </w:r>
          </w:p>
        </w:tc>
      </w:tr>
      <w:tr>
        <w:tblPrEx>
          <w:tblCellMar>
            <w:top w:w="15" w:type="dxa"/>
            <w:left w:w="108" w:type="dxa"/>
            <w:bottom w:w="15" w:type="dxa"/>
            <w:right w:w="108" w:type="dxa"/>
          </w:tblCellMar>
        </w:tblPrEx>
        <w:trPr>
          <w:trHeight w:val="450" w:hRule="atLeast"/>
        </w:trPr>
        <w:tc>
          <w:tcPr>
            <w:tcW w:w="3802" w:type="dxa"/>
            <w:gridSpan w:val="4"/>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项目</w:t>
            </w:r>
          </w:p>
        </w:tc>
        <w:tc>
          <w:tcPr>
            <w:tcW w:w="964"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本年支出合计</w:t>
            </w:r>
          </w:p>
        </w:tc>
        <w:tc>
          <w:tcPr>
            <w:tcW w:w="936"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基本支出</w:t>
            </w:r>
          </w:p>
        </w:tc>
        <w:tc>
          <w:tcPr>
            <w:tcW w:w="993"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项目支出</w:t>
            </w:r>
          </w:p>
        </w:tc>
        <w:tc>
          <w:tcPr>
            <w:tcW w:w="823"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上缴上级支出</w:t>
            </w:r>
          </w:p>
        </w:tc>
        <w:tc>
          <w:tcPr>
            <w:tcW w:w="950"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经营支出</w:t>
            </w:r>
          </w:p>
        </w:tc>
        <w:tc>
          <w:tcPr>
            <w:tcW w:w="952"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对附属单位补助支出</w:t>
            </w:r>
          </w:p>
        </w:tc>
      </w:tr>
      <w:tr>
        <w:tblPrEx>
          <w:tblCellMar>
            <w:top w:w="15" w:type="dxa"/>
            <w:left w:w="108" w:type="dxa"/>
            <w:bottom w:w="15" w:type="dxa"/>
            <w:right w:w="108" w:type="dxa"/>
          </w:tblCellMar>
        </w:tblPrEx>
        <w:trPr>
          <w:trHeight w:val="975" w:hRule="atLeast"/>
        </w:trPr>
        <w:tc>
          <w:tcPr>
            <w:tcW w:w="2529"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FF"/>
                <w:kern w:val="0"/>
                <w:sz w:val="22"/>
                <w:szCs w:val="22"/>
              </w:rPr>
              <w:t>功能分类</w:t>
            </w:r>
            <w:r>
              <w:rPr>
                <w:rFonts w:hint="eastAsia" w:ascii="宋体" w:hAnsi="宋体" w:eastAsia="宋体" w:cs="宋体"/>
                <w:color w:val="000000"/>
                <w:kern w:val="0"/>
                <w:sz w:val="22"/>
                <w:szCs w:val="22"/>
              </w:rPr>
              <w:t>科目编码</w:t>
            </w:r>
          </w:p>
        </w:tc>
        <w:tc>
          <w:tcPr>
            <w:tcW w:w="127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科目名称</w:t>
            </w:r>
          </w:p>
        </w:tc>
        <w:tc>
          <w:tcPr>
            <w:tcW w:w="96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93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99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82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95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95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450" w:hRule="atLeast"/>
        </w:trPr>
        <w:tc>
          <w:tcPr>
            <w:tcW w:w="68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类</w:t>
            </w:r>
          </w:p>
        </w:tc>
        <w:tc>
          <w:tcPr>
            <w:tcW w:w="92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款</w:t>
            </w:r>
          </w:p>
        </w:tc>
        <w:tc>
          <w:tcPr>
            <w:tcW w:w="92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项</w:t>
            </w:r>
          </w:p>
        </w:tc>
        <w:tc>
          <w:tcPr>
            <w:tcW w:w="127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合计</w:t>
            </w:r>
          </w:p>
        </w:tc>
        <w:tc>
          <w:tcPr>
            <w:tcW w:w="964"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5084.2</w:t>
            </w:r>
          </w:p>
        </w:tc>
        <w:tc>
          <w:tcPr>
            <w:tcW w:w="936"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5084.2</w:t>
            </w:r>
          </w:p>
        </w:tc>
        <w:tc>
          <w:tcPr>
            <w:tcW w:w="99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82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5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450" w:hRule="atLeast"/>
        </w:trPr>
        <w:tc>
          <w:tcPr>
            <w:tcW w:w="2529"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201</w:t>
            </w:r>
          </w:p>
        </w:tc>
        <w:tc>
          <w:tcPr>
            <w:tcW w:w="1273"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一般公共服务支出</w:t>
            </w:r>
          </w:p>
        </w:tc>
        <w:tc>
          <w:tcPr>
            <w:tcW w:w="964"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439.31</w:t>
            </w:r>
          </w:p>
        </w:tc>
        <w:tc>
          <w:tcPr>
            <w:tcW w:w="936"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439.31</w:t>
            </w:r>
          </w:p>
        </w:tc>
        <w:tc>
          <w:tcPr>
            <w:tcW w:w="99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82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5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450" w:hRule="atLeast"/>
        </w:trPr>
        <w:tc>
          <w:tcPr>
            <w:tcW w:w="2529"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20103</w:t>
            </w:r>
          </w:p>
        </w:tc>
        <w:tc>
          <w:tcPr>
            <w:tcW w:w="1273"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政府办公厅（室）及相关机构事务</w:t>
            </w:r>
          </w:p>
        </w:tc>
        <w:tc>
          <w:tcPr>
            <w:tcW w:w="964"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439.31</w:t>
            </w:r>
          </w:p>
        </w:tc>
        <w:tc>
          <w:tcPr>
            <w:tcW w:w="936"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439.31</w:t>
            </w:r>
          </w:p>
        </w:tc>
        <w:tc>
          <w:tcPr>
            <w:tcW w:w="99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82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5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450" w:hRule="atLeast"/>
        </w:trPr>
        <w:tc>
          <w:tcPr>
            <w:tcW w:w="2529"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2010301</w:t>
            </w:r>
          </w:p>
        </w:tc>
        <w:tc>
          <w:tcPr>
            <w:tcW w:w="1273"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行政运行</w:t>
            </w:r>
          </w:p>
        </w:tc>
        <w:tc>
          <w:tcPr>
            <w:tcW w:w="964"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439.31</w:t>
            </w:r>
          </w:p>
        </w:tc>
        <w:tc>
          <w:tcPr>
            <w:tcW w:w="936"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439.31</w:t>
            </w:r>
          </w:p>
        </w:tc>
        <w:tc>
          <w:tcPr>
            <w:tcW w:w="99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82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5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450" w:hRule="atLeast"/>
        </w:trPr>
        <w:tc>
          <w:tcPr>
            <w:tcW w:w="2529"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208</w:t>
            </w:r>
          </w:p>
        </w:tc>
        <w:tc>
          <w:tcPr>
            <w:tcW w:w="1273"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社会保障和就业支出</w:t>
            </w:r>
          </w:p>
        </w:tc>
        <w:tc>
          <w:tcPr>
            <w:tcW w:w="964"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457</w:t>
            </w:r>
          </w:p>
        </w:tc>
        <w:tc>
          <w:tcPr>
            <w:tcW w:w="936"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457</w:t>
            </w:r>
          </w:p>
        </w:tc>
        <w:tc>
          <w:tcPr>
            <w:tcW w:w="99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82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5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450" w:hRule="atLeast"/>
        </w:trPr>
        <w:tc>
          <w:tcPr>
            <w:tcW w:w="0" w:type="auto"/>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20819</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最低生活保障</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102</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102</w:t>
            </w: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450" w:hRule="atLeast"/>
        </w:trPr>
        <w:tc>
          <w:tcPr>
            <w:tcW w:w="0" w:type="auto"/>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2081902</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农村最低生活保障金支出</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102</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102</w:t>
            </w: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450" w:hRule="atLeast"/>
        </w:trPr>
        <w:tc>
          <w:tcPr>
            <w:tcW w:w="0" w:type="auto"/>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20820</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临时救助</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5</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5</w:t>
            </w: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450" w:hRule="atLeast"/>
        </w:trPr>
        <w:tc>
          <w:tcPr>
            <w:tcW w:w="0" w:type="auto"/>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2082001</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临时救助支出</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5</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5</w:t>
            </w: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450" w:hRule="atLeast"/>
        </w:trPr>
        <w:tc>
          <w:tcPr>
            <w:tcW w:w="0" w:type="auto"/>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20821</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特困人员救助供养</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90</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90</w:t>
            </w: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450" w:hRule="atLeast"/>
        </w:trPr>
        <w:tc>
          <w:tcPr>
            <w:tcW w:w="0" w:type="auto"/>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2082102</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农村特困人员救助供养支出</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90</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90</w:t>
            </w: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450" w:hRule="atLeast"/>
        </w:trPr>
        <w:tc>
          <w:tcPr>
            <w:tcW w:w="0" w:type="auto"/>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20899</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其他社会保障和就业支出</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260</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260</w:t>
            </w: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450" w:hRule="atLeast"/>
        </w:trPr>
        <w:tc>
          <w:tcPr>
            <w:tcW w:w="0" w:type="auto"/>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2089901</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其他社会保障和就业支出</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260</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260</w:t>
            </w: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450" w:hRule="atLeast"/>
        </w:trPr>
        <w:tc>
          <w:tcPr>
            <w:tcW w:w="0" w:type="auto"/>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211</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节能环保支出</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399</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399</w:t>
            </w: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450" w:hRule="atLeast"/>
        </w:trPr>
        <w:tc>
          <w:tcPr>
            <w:tcW w:w="0" w:type="auto"/>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21199</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其他节能环保支出</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399</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399</w:t>
            </w: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450" w:hRule="atLeast"/>
        </w:trPr>
        <w:tc>
          <w:tcPr>
            <w:tcW w:w="0" w:type="auto"/>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2119901</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其他节能环保支出</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399</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399</w:t>
            </w: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450" w:hRule="atLeast"/>
        </w:trPr>
        <w:tc>
          <w:tcPr>
            <w:tcW w:w="0" w:type="auto"/>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212</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城乡社区支出</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326</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326</w:t>
            </w: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450" w:hRule="atLeast"/>
        </w:trPr>
        <w:tc>
          <w:tcPr>
            <w:tcW w:w="0" w:type="auto"/>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21299</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其他城乡社区支出</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326</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326</w:t>
            </w: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450" w:hRule="atLeast"/>
        </w:trPr>
        <w:tc>
          <w:tcPr>
            <w:tcW w:w="0" w:type="auto"/>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2129901</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其他城乡社区支出</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326</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326</w:t>
            </w: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450" w:hRule="atLeast"/>
        </w:trPr>
        <w:tc>
          <w:tcPr>
            <w:tcW w:w="0" w:type="auto"/>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213</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农林水支出</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3375.34</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3375.34</w:t>
            </w: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450" w:hRule="atLeast"/>
        </w:trPr>
        <w:tc>
          <w:tcPr>
            <w:tcW w:w="0" w:type="auto"/>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21301</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农业农村</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780</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780</w:t>
            </w: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450" w:hRule="atLeast"/>
        </w:trPr>
        <w:tc>
          <w:tcPr>
            <w:tcW w:w="0" w:type="auto"/>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2130199</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其他农业农村支出</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780</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780</w:t>
            </w: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450" w:hRule="atLeast"/>
        </w:trPr>
        <w:tc>
          <w:tcPr>
            <w:tcW w:w="0" w:type="auto"/>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21303</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水利</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2495.34</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2495.34</w:t>
            </w: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450" w:hRule="atLeast"/>
        </w:trPr>
        <w:tc>
          <w:tcPr>
            <w:tcW w:w="0" w:type="auto"/>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21307</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农村综合改革</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100</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100</w:t>
            </w: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450" w:hRule="atLeast"/>
        </w:trPr>
        <w:tc>
          <w:tcPr>
            <w:tcW w:w="0" w:type="auto"/>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2130705</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对村民委员会和村党支部的补助</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100</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100</w:t>
            </w: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450" w:hRule="atLeast"/>
        </w:trPr>
        <w:tc>
          <w:tcPr>
            <w:tcW w:w="0" w:type="auto"/>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221</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住房保障支出</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87.55</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87.55</w:t>
            </w: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450" w:hRule="atLeast"/>
        </w:trPr>
        <w:tc>
          <w:tcPr>
            <w:tcW w:w="0" w:type="auto"/>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22102</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住房改革支出</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87.55</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87.55</w:t>
            </w: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450" w:hRule="atLeast"/>
        </w:trPr>
        <w:tc>
          <w:tcPr>
            <w:tcW w:w="0" w:type="auto"/>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2210201</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住房公积金</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87.55</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87.55</w:t>
            </w: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0" w:type="auto"/>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r>
    </w:tbl>
    <w:p>
      <w:pPr>
        <w:ind w:firstLine="640" w:firstLineChars="200"/>
        <w:rPr>
          <w:rFonts w:hint="eastAsia" w:ascii="黑体" w:hAnsi="黑体" w:eastAsia="黑体"/>
          <w:szCs w:val="32"/>
        </w:rPr>
      </w:pPr>
    </w:p>
    <w:p>
      <w:pPr>
        <w:ind w:firstLine="640" w:firstLineChars="200"/>
        <w:rPr>
          <w:rFonts w:hint="eastAsia" w:ascii="黑体" w:hAnsi="黑体" w:eastAsia="黑体"/>
          <w:szCs w:val="32"/>
        </w:rPr>
      </w:pPr>
    </w:p>
    <w:p>
      <w:pPr>
        <w:ind w:firstLine="640" w:firstLineChars="200"/>
        <w:jc w:val="center"/>
        <w:rPr>
          <w:rFonts w:ascii="黑体" w:hAnsi="黑体" w:eastAsia="黑体"/>
          <w:szCs w:val="32"/>
        </w:rPr>
      </w:pPr>
    </w:p>
    <w:p>
      <w:pPr>
        <w:ind w:firstLine="640" w:firstLineChars="200"/>
        <w:jc w:val="center"/>
        <w:rPr>
          <w:rFonts w:ascii="黑体" w:hAnsi="黑体" w:eastAsia="黑体"/>
          <w:szCs w:val="32"/>
        </w:rPr>
      </w:pPr>
    </w:p>
    <w:p>
      <w:pPr>
        <w:ind w:firstLine="640" w:firstLineChars="200"/>
        <w:jc w:val="center"/>
        <w:rPr>
          <w:rFonts w:hint="eastAsia" w:ascii="黑体" w:hAnsi="黑体" w:eastAsia="黑体"/>
          <w:szCs w:val="32"/>
        </w:rPr>
      </w:pPr>
      <w:r>
        <w:rPr>
          <w:rFonts w:hint="eastAsia" w:ascii="黑体" w:hAnsi="黑体" w:eastAsia="黑体"/>
          <w:szCs w:val="32"/>
        </w:rPr>
        <w:t>财政拨款收入支出决算总表</w:t>
      </w:r>
    </w:p>
    <w:tbl>
      <w:tblPr>
        <w:tblStyle w:val="7"/>
        <w:tblW w:w="0" w:type="auto"/>
        <w:tblInd w:w="93" w:type="dxa"/>
        <w:tblLayout w:type="fixed"/>
        <w:tblCellMar>
          <w:top w:w="15" w:type="dxa"/>
          <w:left w:w="108" w:type="dxa"/>
          <w:bottom w:w="15" w:type="dxa"/>
          <w:right w:w="108" w:type="dxa"/>
        </w:tblCellMar>
      </w:tblPr>
      <w:tblGrid>
        <w:gridCol w:w="1381"/>
        <w:gridCol w:w="1625"/>
        <w:gridCol w:w="540"/>
        <w:gridCol w:w="470"/>
        <w:gridCol w:w="1894"/>
        <w:gridCol w:w="900"/>
        <w:gridCol w:w="1032"/>
        <w:gridCol w:w="1060"/>
      </w:tblGrid>
      <w:tr>
        <w:tblPrEx>
          <w:tblCellMar>
            <w:top w:w="15" w:type="dxa"/>
            <w:left w:w="108" w:type="dxa"/>
            <w:bottom w:w="15" w:type="dxa"/>
            <w:right w:w="108" w:type="dxa"/>
          </w:tblCellMar>
        </w:tblPrEx>
        <w:trPr>
          <w:trHeight w:val="242" w:hRule="atLeast"/>
        </w:trPr>
        <w:tc>
          <w:tcPr>
            <w:tcW w:w="1381" w:type="dxa"/>
            <w:vAlign w:val="bottom"/>
          </w:tcPr>
          <w:p>
            <w:pPr>
              <w:widowControl/>
              <w:jc w:val="left"/>
              <w:rPr>
                <w:rFonts w:ascii="Arial" w:hAnsi="Arial" w:eastAsia="宋体" w:cs="宋体"/>
                <w:kern w:val="0"/>
                <w:sz w:val="20"/>
              </w:rPr>
            </w:pPr>
          </w:p>
        </w:tc>
        <w:tc>
          <w:tcPr>
            <w:tcW w:w="2165" w:type="dxa"/>
            <w:gridSpan w:val="2"/>
            <w:vAlign w:val="bottom"/>
          </w:tcPr>
          <w:p>
            <w:pPr>
              <w:widowControl/>
              <w:jc w:val="left"/>
              <w:rPr>
                <w:rFonts w:ascii="Arial" w:hAnsi="Arial" w:eastAsia="宋体" w:cs="宋体"/>
                <w:color w:val="000000"/>
                <w:kern w:val="0"/>
                <w:sz w:val="20"/>
              </w:rPr>
            </w:pPr>
          </w:p>
        </w:tc>
        <w:tc>
          <w:tcPr>
            <w:tcW w:w="470" w:type="dxa"/>
            <w:vAlign w:val="bottom"/>
          </w:tcPr>
          <w:p>
            <w:pPr>
              <w:widowControl/>
              <w:jc w:val="left"/>
              <w:rPr>
                <w:rFonts w:ascii="Arial" w:hAnsi="Arial" w:eastAsia="宋体" w:cs="宋体"/>
                <w:color w:val="000000"/>
                <w:kern w:val="0"/>
                <w:sz w:val="20"/>
              </w:rPr>
            </w:pPr>
          </w:p>
        </w:tc>
        <w:tc>
          <w:tcPr>
            <w:tcW w:w="1894" w:type="dxa"/>
            <w:vAlign w:val="bottom"/>
          </w:tcPr>
          <w:p>
            <w:pPr>
              <w:widowControl/>
              <w:jc w:val="left"/>
              <w:rPr>
                <w:rFonts w:ascii="Arial" w:hAnsi="Arial" w:eastAsia="宋体" w:cs="宋体"/>
                <w:color w:val="000000"/>
                <w:kern w:val="0"/>
                <w:sz w:val="20"/>
              </w:rPr>
            </w:pPr>
          </w:p>
        </w:tc>
        <w:tc>
          <w:tcPr>
            <w:tcW w:w="2992" w:type="dxa"/>
            <w:gridSpan w:val="3"/>
            <w:vAlign w:val="bottom"/>
          </w:tcPr>
          <w:p>
            <w:pPr>
              <w:widowControl/>
              <w:jc w:val="right"/>
              <w:rPr>
                <w:rFonts w:ascii="宋体" w:hAnsi="宋体" w:eastAsia="宋体" w:cs="宋体"/>
                <w:color w:val="000000"/>
                <w:kern w:val="0"/>
                <w:sz w:val="20"/>
              </w:rPr>
            </w:pPr>
            <w:r>
              <w:rPr>
                <w:rFonts w:hint="eastAsia" w:ascii="宋体" w:hAnsi="宋体" w:eastAsia="宋体" w:cs="宋体"/>
                <w:color w:val="000000"/>
                <w:kern w:val="0"/>
                <w:sz w:val="20"/>
              </w:rPr>
              <w:t>公开04表</w:t>
            </w:r>
          </w:p>
        </w:tc>
      </w:tr>
      <w:tr>
        <w:tblPrEx>
          <w:tblCellMar>
            <w:top w:w="15" w:type="dxa"/>
            <w:left w:w="108" w:type="dxa"/>
            <w:bottom w:w="15" w:type="dxa"/>
            <w:right w:w="108" w:type="dxa"/>
          </w:tblCellMar>
        </w:tblPrEx>
        <w:trPr>
          <w:trHeight w:val="254" w:hRule="atLeast"/>
        </w:trPr>
        <w:tc>
          <w:tcPr>
            <w:tcW w:w="1381" w:type="dxa"/>
            <w:tcBorders>
              <w:bottom w:val="single" w:color="auto" w:sz="4" w:space="0"/>
            </w:tcBorders>
            <w:vAlign w:val="bottom"/>
          </w:tcPr>
          <w:p>
            <w:pPr>
              <w:widowControl/>
              <w:jc w:val="left"/>
              <w:rPr>
                <w:rFonts w:ascii="宋体" w:hAnsi="宋体" w:eastAsia="宋体" w:cs="宋体"/>
                <w:kern w:val="0"/>
                <w:sz w:val="20"/>
              </w:rPr>
            </w:pPr>
            <w:r>
              <w:rPr>
                <w:rFonts w:hint="eastAsia" w:ascii="宋体" w:hAnsi="宋体" w:eastAsia="宋体" w:cs="宋体"/>
                <w:kern w:val="0"/>
                <w:sz w:val="20"/>
              </w:rPr>
              <w:t>部门：</w:t>
            </w:r>
          </w:p>
        </w:tc>
        <w:tc>
          <w:tcPr>
            <w:tcW w:w="2165" w:type="dxa"/>
            <w:gridSpan w:val="2"/>
            <w:tcBorders>
              <w:bottom w:val="single" w:color="auto" w:sz="4" w:space="0"/>
            </w:tcBorders>
            <w:vAlign w:val="bottom"/>
          </w:tcPr>
          <w:p>
            <w:pPr>
              <w:widowControl/>
              <w:jc w:val="center"/>
              <w:rPr>
                <w:rFonts w:ascii="宋体" w:hAnsi="宋体" w:eastAsia="宋体" w:cs="宋体"/>
                <w:color w:val="000000"/>
                <w:kern w:val="0"/>
                <w:sz w:val="20"/>
              </w:rPr>
            </w:pPr>
          </w:p>
        </w:tc>
        <w:tc>
          <w:tcPr>
            <w:tcW w:w="470" w:type="dxa"/>
            <w:tcBorders>
              <w:bottom w:val="single" w:color="auto" w:sz="4" w:space="0"/>
            </w:tcBorders>
            <w:vAlign w:val="bottom"/>
          </w:tcPr>
          <w:p>
            <w:pPr>
              <w:widowControl/>
              <w:jc w:val="left"/>
              <w:rPr>
                <w:rFonts w:ascii="Arial" w:hAnsi="Arial" w:eastAsia="宋体" w:cs="宋体"/>
                <w:color w:val="000000"/>
                <w:kern w:val="0"/>
                <w:sz w:val="20"/>
              </w:rPr>
            </w:pPr>
          </w:p>
        </w:tc>
        <w:tc>
          <w:tcPr>
            <w:tcW w:w="1894" w:type="dxa"/>
            <w:tcBorders>
              <w:bottom w:val="single" w:color="auto" w:sz="4" w:space="0"/>
            </w:tcBorders>
            <w:vAlign w:val="bottom"/>
          </w:tcPr>
          <w:p>
            <w:pPr>
              <w:widowControl/>
              <w:jc w:val="left"/>
              <w:rPr>
                <w:rFonts w:ascii="Arial" w:hAnsi="Arial" w:eastAsia="宋体" w:cs="宋体"/>
                <w:color w:val="000000"/>
                <w:kern w:val="0"/>
                <w:sz w:val="20"/>
              </w:rPr>
            </w:pPr>
          </w:p>
        </w:tc>
        <w:tc>
          <w:tcPr>
            <w:tcW w:w="2992" w:type="dxa"/>
            <w:gridSpan w:val="3"/>
            <w:tcBorders>
              <w:bottom w:val="single" w:color="auto" w:sz="4" w:space="0"/>
            </w:tcBorders>
            <w:vAlign w:val="bottom"/>
          </w:tcPr>
          <w:p>
            <w:pPr>
              <w:widowControl/>
              <w:jc w:val="right"/>
              <w:rPr>
                <w:rFonts w:ascii="宋体" w:hAnsi="宋体" w:eastAsia="宋体" w:cs="宋体"/>
                <w:color w:val="000000"/>
                <w:kern w:val="0"/>
                <w:sz w:val="20"/>
              </w:rPr>
            </w:pPr>
            <w:r>
              <w:rPr>
                <w:rFonts w:hint="eastAsia" w:ascii="宋体" w:hAnsi="宋体" w:eastAsia="宋体" w:cs="宋体"/>
                <w:color w:val="000000"/>
                <w:kern w:val="0"/>
                <w:sz w:val="20"/>
              </w:rPr>
              <w:t>金额单位：万元</w:t>
            </w:r>
          </w:p>
        </w:tc>
      </w:tr>
      <w:tr>
        <w:tblPrEx>
          <w:tblCellMar>
            <w:top w:w="15" w:type="dxa"/>
            <w:left w:w="108" w:type="dxa"/>
            <w:bottom w:w="15" w:type="dxa"/>
            <w:right w:w="108" w:type="dxa"/>
          </w:tblCellMar>
        </w:tblPrEx>
        <w:trPr>
          <w:trHeight w:val="300" w:hRule="atLeast"/>
        </w:trPr>
        <w:tc>
          <w:tcPr>
            <w:tcW w:w="3546"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 xml:space="preserve">         收入</w:t>
            </w:r>
          </w:p>
        </w:tc>
        <w:tc>
          <w:tcPr>
            <w:tcW w:w="5356" w:type="dxa"/>
            <w:gridSpan w:val="5"/>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 xml:space="preserve">       支出</w:t>
            </w:r>
          </w:p>
        </w:tc>
      </w:tr>
      <w:tr>
        <w:tblPrEx>
          <w:tblCellMar>
            <w:top w:w="15" w:type="dxa"/>
            <w:left w:w="108" w:type="dxa"/>
            <w:bottom w:w="15" w:type="dxa"/>
            <w:right w:w="108" w:type="dxa"/>
          </w:tblCellMar>
        </w:tblPrEx>
        <w:trPr>
          <w:trHeight w:val="300"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项    目</w:t>
            </w: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金额</w:t>
            </w: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项目</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一般公共预算财政拨款</w:t>
            </w: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16"/>
                <w:szCs w:val="16"/>
              </w:rPr>
            </w:pPr>
            <w:r>
              <w:rPr>
                <w:rFonts w:hint="eastAsia" w:ascii="宋体" w:hAnsi="宋体" w:eastAsia="宋体" w:cs="宋体"/>
                <w:color w:val="000000"/>
                <w:kern w:val="0"/>
                <w:sz w:val="16"/>
                <w:szCs w:val="16"/>
              </w:rPr>
              <w:t>政府性基金预算财政拨款</w:t>
            </w: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16"/>
                <w:szCs w:val="16"/>
              </w:rPr>
            </w:pPr>
            <w:r>
              <w:rPr>
                <w:rFonts w:hint="eastAsia" w:ascii="宋体" w:hAnsi="宋体" w:eastAsia="宋体" w:cs="宋体"/>
                <w:color w:val="000000"/>
                <w:kern w:val="0"/>
                <w:sz w:val="16"/>
                <w:szCs w:val="16"/>
              </w:rPr>
              <w:t>国有资本经营预算财政拨款</w:t>
            </w:r>
          </w:p>
        </w:tc>
      </w:tr>
      <w:tr>
        <w:tblPrEx>
          <w:tblCellMar>
            <w:top w:w="15" w:type="dxa"/>
            <w:left w:w="108" w:type="dxa"/>
            <w:bottom w:w="15" w:type="dxa"/>
            <w:right w:w="108" w:type="dxa"/>
          </w:tblCellMar>
        </w:tblPrEx>
        <w:trPr>
          <w:trHeight w:val="248"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一、一般公共预算财政拨款</w:t>
            </w: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5084.2</w:t>
            </w: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一、一般公共服务支出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439.31</w:t>
            </w: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72"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二、政府性基金预算财政拨款</w:t>
            </w: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二、外交支出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46"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rPr>
            </w:pPr>
            <w:r>
              <w:rPr>
                <w:rFonts w:hint="eastAsia" w:ascii="宋体" w:hAnsi="宋体" w:eastAsia="宋体" w:cs="宋体"/>
                <w:color w:val="0000FF"/>
                <w:kern w:val="0"/>
                <w:sz w:val="21"/>
                <w:szCs w:val="21"/>
              </w:rPr>
              <w:t>三、国有资本经营预算财政拨款</w:t>
            </w: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三、国防支出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24"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四、公共安全支出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48"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五、教育支出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72"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六、科学技术支出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36"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16"/>
                <w:szCs w:val="16"/>
              </w:rPr>
              <w:t>七</w:t>
            </w:r>
            <w:r>
              <w:rPr>
                <w:rFonts w:hint="eastAsia" w:ascii="宋体" w:hAnsi="宋体" w:eastAsia="宋体" w:cs="宋体"/>
                <w:color w:val="000000"/>
                <w:kern w:val="0"/>
                <w:sz w:val="22"/>
                <w:szCs w:val="22"/>
              </w:rPr>
              <w:t>、</w:t>
            </w:r>
            <w:r>
              <w:rPr>
                <w:rFonts w:hint="eastAsia" w:ascii="宋体" w:hAnsi="宋体" w:eastAsia="宋体" w:cs="宋体"/>
                <w:color w:val="000000"/>
                <w:kern w:val="0"/>
                <w:sz w:val="16"/>
                <w:szCs w:val="16"/>
              </w:rPr>
              <w:t>文化旅游体育与传媒支出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24"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八、</w:t>
            </w:r>
            <w:r>
              <w:rPr>
                <w:rFonts w:hint="eastAsia" w:ascii="宋体" w:hAnsi="宋体" w:eastAsia="宋体" w:cs="宋体"/>
                <w:color w:val="000000"/>
                <w:kern w:val="0"/>
                <w:sz w:val="16"/>
                <w:szCs w:val="16"/>
              </w:rPr>
              <w:t>社会保障和就业支出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457</w:t>
            </w: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457</w:t>
            </w: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48"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九、卫生健康支出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198"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十、节能环保支出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399</w:t>
            </w: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399</w:t>
            </w: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22"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十一、城乡社区支出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326</w:t>
            </w: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326</w:t>
            </w: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58"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十二、农林水支出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3375.34</w:t>
            </w: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3375.34</w:t>
            </w: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34"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十三、交通运输支出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24"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16"/>
                <w:szCs w:val="16"/>
              </w:rPr>
              <w:t>十四、资源勘探信息等支出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60"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16"/>
                <w:szCs w:val="16"/>
              </w:rPr>
            </w:pPr>
            <w:r>
              <w:rPr>
                <w:rFonts w:hint="eastAsia" w:ascii="宋体" w:hAnsi="宋体" w:eastAsia="宋体" w:cs="宋体"/>
                <w:color w:val="000000"/>
                <w:kern w:val="0"/>
                <w:sz w:val="16"/>
                <w:szCs w:val="16"/>
              </w:rPr>
              <w:t>十五、商业服务业等支出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十六、金融支出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16"/>
                <w:szCs w:val="16"/>
              </w:rPr>
              <w:t>十七、援助其他地区支出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16"/>
                <w:szCs w:val="16"/>
              </w:rPr>
              <w:t>十八、自然资源海洋气象等支出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48"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十九、住房保障支出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87.55</w:t>
            </w: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87.55</w:t>
            </w: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12"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16"/>
                <w:szCs w:val="16"/>
              </w:rPr>
              <w:t>二十、粮油物资储备支出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24"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16"/>
                <w:szCs w:val="16"/>
              </w:rPr>
              <w:t>二十一、国有资本经营预算支出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15"/>
                <w:szCs w:val="15"/>
              </w:rPr>
              <w:t>二十二、灾害防治及应急管理支出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36"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二十三、其他支出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00"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二十四、债务还本支出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24"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b/>
                <w:bCs/>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b/>
                <w:bCs/>
                <w:color w:val="000000"/>
                <w:kern w:val="0"/>
                <w:sz w:val="22"/>
                <w:szCs w:val="22"/>
              </w:rPr>
            </w:pPr>
            <w:r>
              <w:rPr>
                <w:rFonts w:hint="eastAsia" w:ascii="宋体" w:hAnsi="宋体" w:eastAsia="宋体" w:cs="宋体"/>
                <w:color w:val="000000"/>
                <w:kern w:val="0"/>
                <w:sz w:val="22"/>
                <w:szCs w:val="22"/>
              </w:rPr>
              <w:t>二十五、债务付息支出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b/>
                <w:bCs/>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b/>
                <w:bCs/>
                <w:color w:val="000000"/>
                <w:kern w:val="0"/>
                <w:sz w:val="22"/>
                <w:szCs w:val="22"/>
              </w:rPr>
            </w:pPr>
            <w:r>
              <w:rPr>
                <w:rFonts w:hint="eastAsia" w:ascii="宋体" w:hAnsi="宋体" w:eastAsia="宋体" w:cs="宋体"/>
                <w:color w:val="000000"/>
                <w:kern w:val="0"/>
                <w:sz w:val="15"/>
                <w:szCs w:val="15"/>
              </w:rPr>
              <w:t>二十六、抗疫特别国债安排的支出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b/>
                <w:bCs/>
                <w:color w:val="000000"/>
                <w:kern w:val="0"/>
                <w:sz w:val="22"/>
                <w:szCs w:val="22"/>
              </w:rPr>
            </w:pPr>
            <w:r>
              <w:rPr>
                <w:rFonts w:hint="eastAsia" w:ascii="宋体" w:hAnsi="宋体" w:eastAsia="宋体" w:cs="宋体"/>
                <w:b/>
                <w:bCs/>
                <w:color w:val="000000"/>
                <w:kern w:val="0"/>
                <w:sz w:val="22"/>
                <w:szCs w:val="22"/>
              </w:rPr>
              <w:t>本年收入合计</w:t>
            </w: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b/>
                <w:bCs/>
                <w:color w:val="000000"/>
                <w:kern w:val="0"/>
                <w:sz w:val="22"/>
                <w:szCs w:val="22"/>
              </w:rPr>
            </w:pPr>
            <w:r>
              <w:rPr>
                <w:rFonts w:hint="eastAsia" w:ascii="宋体" w:hAnsi="宋体" w:eastAsia="宋体" w:cs="宋体"/>
                <w:b/>
                <w:bCs/>
                <w:color w:val="000000"/>
                <w:kern w:val="0"/>
                <w:sz w:val="22"/>
                <w:szCs w:val="22"/>
              </w:rPr>
              <w:t>本年支出合计</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rPr>
                <w:rFonts w:ascii="宋体" w:hAnsi="宋体" w:eastAsia="宋体" w:cs="宋体"/>
                <w:color w:val="000000"/>
                <w:kern w:val="0"/>
                <w:sz w:val="22"/>
                <w:szCs w:val="22"/>
              </w:rPr>
            </w:pPr>
            <w:r>
              <w:rPr>
                <w:rFonts w:hint="eastAsia" w:ascii="宋体" w:hAnsi="宋体" w:eastAsia="宋体" w:cs="宋体"/>
                <w:color w:val="000000"/>
                <w:kern w:val="0"/>
                <w:sz w:val="22"/>
                <w:szCs w:val="22"/>
              </w:rPr>
              <w:t>年初财政拨款结转和结余</w:t>
            </w: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rPr>
                <w:rFonts w:ascii="宋体" w:hAnsi="宋体" w:eastAsia="宋体" w:cs="宋体"/>
                <w:color w:val="000000"/>
                <w:kern w:val="0"/>
                <w:sz w:val="16"/>
                <w:szCs w:val="16"/>
              </w:rPr>
            </w:pPr>
            <w:r>
              <w:rPr>
                <w:rFonts w:hint="eastAsia" w:ascii="宋体" w:hAnsi="宋体" w:eastAsia="宋体" w:cs="宋体"/>
                <w:color w:val="000000"/>
                <w:kern w:val="0"/>
                <w:sz w:val="16"/>
                <w:szCs w:val="16"/>
              </w:rPr>
              <w:t>年末财政拨款结转和结余</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24"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rPr>
                <w:rFonts w:ascii="宋体" w:hAnsi="宋体" w:eastAsia="宋体" w:cs="宋体"/>
                <w:color w:val="000000"/>
                <w:kern w:val="0"/>
                <w:sz w:val="22"/>
                <w:szCs w:val="22"/>
              </w:rPr>
            </w:pPr>
            <w:r>
              <w:rPr>
                <w:rFonts w:hint="eastAsia" w:ascii="宋体" w:hAnsi="宋体" w:eastAsia="宋体" w:cs="宋体"/>
                <w:color w:val="000000"/>
                <w:kern w:val="0"/>
                <w:sz w:val="22"/>
                <w:szCs w:val="22"/>
              </w:rPr>
              <w:t xml:space="preserve">  一般公共预算财政拨款</w:t>
            </w: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36"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rPr>
                <w:rFonts w:ascii="宋体" w:hAnsi="宋体" w:eastAsia="宋体" w:cs="宋体"/>
                <w:color w:val="000000"/>
                <w:kern w:val="0"/>
                <w:sz w:val="22"/>
                <w:szCs w:val="22"/>
              </w:rPr>
            </w:pPr>
            <w:r>
              <w:rPr>
                <w:rFonts w:hint="eastAsia" w:ascii="宋体" w:hAnsi="宋体" w:eastAsia="宋体" w:cs="宋体"/>
                <w:color w:val="000000"/>
                <w:kern w:val="0"/>
                <w:sz w:val="22"/>
                <w:szCs w:val="22"/>
              </w:rPr>
              <w:t xml:space="preserve">  政府性基金预算财政拨款</w:t>
            </w: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188"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 xml:space="preserve"> </w:t>
            </w:r>
            <w:r>
              <w:rPr>
                <w:rFonts w:hint="eastAsia" w:ascii="宋体" w:hAnsi="宋体" w:eastAsia="宋体" w:cs="宋体"/>
                <w:b/>
                <w:bCs/>
                <w:color w:val="0000FF"/>
                <w:kern w:val="0"/>
                <w:sz w:val="22"/>
                <w:szCs w:val="22"/>
              </w:rPr>
              <w:t xml:space="preserve"> </w:t>
            </w:r>
            <w:r>
              <w:rPr>
                <w:rFonts w:hint="eastAsia" w:ascii="宋体" w:hAnsi="宋体" w:eastAsia="宋体" w:cs="宋体"/>
                <w:color w:val="0000FF"/>
                <w:kern w:val="0"/>
                <w:sz w:val="22"/>
                <w:szCs w:val="22"/>
              </w:rPr>
              <w:t>国有资本经营预算财政拨款</w:t>
            </w: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b/>
                <w:bCs/>
                <w:color w:val="000000"/>
                <w:kern w:val="0"/>
                <w:sz w:val="22"/>
                <w:szCs w:val="22"/>
              </w:rPr>
            </w:pP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b/>
                <w:bCs/>
                <w:color w:val="000000"/>
                <w:kern w:val="0"/>
                <w:sz w:val="22"/>
                <w:szCs w:val="22"/>
              </w:rPr>
            </w:pPr>
            <w:r>
              <w:rPr>
                <w:rFonts w:hint="eastAsia" w:ascii="宋体" w:hAnsi="宋体" w:eastAsia="宋体" w:cs="宋体"/>
                <w:b/>
                <w:bCs/>
                <w:color w:val="000000"/>
                <w:kern w:val="0"/>
                <w:sz w:val="22"/>
                <w:szCs w:val="22"/>
              </w:rPr>
              <w:t>总计</w:t>
            </w: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b/>
                <w:bCs/>
                <w:color w:val="000000"/>
                <w:kern w:val="0"/>
                <w:sz w:val="22"/>
                <w:szCs w:val="22"/>
              </w:rPr>
            </w:pPr>
            <w:r>
              <w:rPr>
                <w:rFonts w:hint="eastAsia" w:ascii="宋体" w:hAnsi="宋体" w:eastAsia="宋体" w:cs="宋体"/>
                <w:b/>
                <w:bCs/>
                <w:color w:val="000000"/>
                <w:kern w:val="0"/>
                <w:sz w:val="22"/>
                <w:szCs w:val="22"/>
              </w:rPr>
              <w:t>总计</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bl>
    <w:p>
      <w:pPr>
        <w:ind w:firstLine="640" w:firstLineChars="200"/>
        <w:rPr>
          <w:rFonts w:hint="eastAsia" w:ascii="黑体" w:hAnsi="黑体" w:eastAsia="黑体"/>
          <w:szCs w:val="32"/>
        </w:rPr>
      </w:pPr>
    </w:p>
    <w:p>
      <w:pPr>
        <w:ind w:firstLine="640" w:firstLineChars="200"/>
        <w:jc w:val="center"/>
        <w:rPr>
          <w:rFonts w:hint="eastAsia" w:ascii="黑体" w:hAnsi="黑体" w:eastAsia="黑体"/>
          <w:szCs w:val="32"/>
        </w:rPr>
      </w:pPr>
      <w:r>
        <w:rPr>
          <w:rFonts w:hint="eastAsia" w:ascii="黑体" w:hAnsi="黑体" w:eastAsia="黑体"/>
          <w:szCs w:val="32"/>
        </w:rPr>
        <w:t>一般公共预算财政拨款支出决算表</w:t>
      </w:r>
    </w:p>
    <w:tbl>
      <w:tblPr>
        <w:tblStyle w:val="7"/>
        <w:tblW w:w="8779" w:type="dxa"/>
        <w:tblInd w:w="93" w:type="dxa"/>
        <w:tblLayout w:type="fixed"/>
        <w:tblCellMar>
          <w:top w:w="15" w:type="dxa"/>
          <w:left w:w="108" w:type="dxa"/>
          <w:bottom w:w="15" w:type="dxa"/>
          <w:right w:w="108" w:type="dxa"/>
        </w:tblCellMar>
      </w:tblPr>
      <w:tblGrid>
        <w:gridCol w:w="573"/>
        <w:gridCol w:w="573"/>
        <w:gridCol w:w="574"/>
        <w:gridCol w:w="1425"/>
        <w:gridCol w:w="1252"/>
        <w:gridCol w:w="2191"/>
        <w:gridCol w:w="2191"/>
      </w:tblGrid>
      <w:tr>
        <w:tblPrEx>
          <w:tblCellMar>
            <w:top w:w="15" w:type="dxa"/>
            <w:left w:w="108" w:type="dxa"/>
            <w:bottom w:w="15" w:type="dxa"/>
            <w:right w:w="108" w:type="dxa"/>
          </w:tblCellMar>
        </w:tblPrEx>
        <w:trPr>
          <w:trHeight w:val="360" w:hRule="atLeast"/>
        </w:trPr>
        <w:tc>
          <w:tcPr>
            <w:tcW w:w="8779" w:type="dxa"/>
            <w:gridSpan w:val="7"/>
            <w:vAlign w:val="bottom"/>
          </w:tcPr>
          <w:p>
            <w:pPr>
              <w:widowControl/>
              <w:ind w:firstLine="7276" w:firstLineChars="3638"/>
              <w:jc w:val="left"/>
              <w:rPr>
                <w:rFonts w:ascii="Arial" w:hAnsi="Arial" w:eastAsia="宋体" w:cs="宋体"/>
                <w:color w:val="000000"/>
                <w:kern w:val="0"/>
                <w:sz w:val="20"/>
              </w:rPr>
            </w:pPr>
            <w:r>
              <w:rPr>
                <w:rFonts w:hint="eastAsia" w:ascii="宋体" w:hAnsi="宋体" w:eastAsia="宋体" w:cs="宋体"/>
                <w:color w:val="000000"/>
                <w:kern w:val="0"/>
                <w:sz w:val="20"/>
              </w:rPr>
              <w:t xml:space="preserve">     公开05表</w:t>
            </w:r>
          </w:p>
        </w:tc>
      </w:tr>
      <w:tr>
        <w:tblPrEx>
          <w:tblCellMar>
            <w:top w:w="15" w:type="dxa"/>
            <w:left w:w="108" w:type="dxa"/>
            <w:bottom w:w="15" w:type="dxa"/>
            <w:right w:w="108" w:type="dxa"/>
          </w:tblCellMar>
        </w:tblPrEx>
        <w:trPr>
          <w:trHeight w:val="450" w:hRule="atLeast"/>
        </w:trPr>
        <w:tc>
          <w:tcPr>
            <w:tcW w:w="8779" w:type="dxa"/>
            <w:gridSpan w:val="7"/>
            <w:tcBorders>
              <w:bottom w:val="single" w:color="auto" w:sz="4" w:space="0"/>
            </w:tcBorders>
            <w:vAlign w:val="center"/>
          </w:tcPr>
          <w:p>
            <w:pPr>
              <w:widowControl/>
              <w:jc w:val="left"/>
              <w:rPr>
                <w:rFonts w:ascii="Arial" w:hAnsi="Arial" w:eastAsia="宋体" w:cs="宋体"/>
                <w:color w:val="000000"/>
                <w:kern w:val="0"/>
                <w:sz w:val="20"/>
              </w:rPr>
            </w:pPr>
            <w:r>
              <w:rPr>
                <w:rFonts w:hint="eastAsia" w:ascii="宋体" w:hAnsi="宋体" w:eastAsia="宋体" w:cs="宋体"/>
                <w:kern w:val="0"/>
                <w:sz w:val="20"/>
              </w:rPr>
              <w:t xml:space="preserve">部门：                                                                   </w:t>
            </w:r>
            <w:r>
              <w:rPr>
                <w:rFonts w:hint="eastAsia" w:ascii="宋体" w:hAnsi="宋体" w:eastAsia="宋体" w:cs="宋体"/>
                <w:color w:val="000000"/>
                <w:kern w:val="0"/>
                <w:sz w:val="20"/>
              </w:rPr>
              <w:t>金额单位：万元</w:t>
            </w:r>
          </w:p>
        </w:tc>
      </w:tr>
      <w:tr>
        <w:tblPrEx>
          <w:tblCellMar>
            <w:top w:w="15" w:type="dxa"/>
            <w:left w:w="108" w:type="dxa"/>
            <w:bottom w:w="15" w:type="dxa"/>
            <w:right w:w="108" w:type="dxa"/>
          </w:tblCellMar>
        </w:tblPrEx>
        <w:trPr>
          <w:trHeight w:val="781" w:hRule="atLeast"/>
        </w:trPr>
        <w:tc>
          <w:tcPr>
            <w:tcW w:w="1720" w:type="dxa"/>
            <w:gridSpan w:val="3"/>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FF"/>
                <w:kern w:val="0"/>
                <w:sz w:val="22"/>
                <w:szCs w:val="22"/>
              </w:rPr>
            </w:pPr>
            <w:r>
              <w:rPr>
                <w:rFonts w:hint="eastAsia" w:ascii="宋体" w:hAnsi="宋体" w:eastAsia="宋体" w:cs="宋体"/>
                <w:color w:val="0000FF"/>
                <w:kern w:val="0"/>
                <w:sz w:val="22"/>
                <w:szCs w:val="22"/>
              </w:rPr>
              <w:t>功能分类</w:t>
            </w:r>
          </w:p>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科目编码</w:t>
            </w:r>
          </w:p>
        </w:tc>
        <w:tc>
          <w:tcPr>
            <w:tcW w:w="1425"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科目名称</w:t>
            </w:r>
          </w:p>
        </w:tc>
        <w:tc>
          <w:tcPr>
            <w:tcW w:w="5634"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本年支出</w:t>
            </w:r>
          </w:p>
        </w:tc>
      </w:tr>
      <w:tr>
        <w:tblPrEx>
          <w:tblCellMar>
            <w:top w:w="15" w:type="dxa"/>
            <w:left w:w="108" w:type="dxa"/>
            <w:bottom w:w="15" w:type="dxa"/>
            <w:right w:w="108" w:type="dxa"/>
          </w:tblCellMar>
        </w:tblPrEx>
        <w:trPr>
          <w:trHeight w:val="312" w:hRule="atLeast"/>
        </w:trPr>
        <w:tc>
          <w:tcPr>
            <w:tcW w:w="1720"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42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合计</w:t>
            </w:r>
          </w:p>
        </w:tc>
        <w:tc>
          <w:tcPr>
            <w:tcW w:w="2191"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基本支出</w:t>
            </w:r>
          </w:p>
        </w:tc>
        <w:tc>
          <w:tcPr>
            <w:tcW w:w="2191"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项目支出</w:t>
            </w:r>
          </w:p>
        </w:tc>
      </w:tr>
      <w:tr>
        <w:tblPrEx>
          <w:tblCellMar>
            <w:top w:w="15" w:type="dxa"/>
            <w:left w:w="108" w:type="dxa"/>
            <w:bottom w:w="15" w:type="dxa"/>
            <w:right w:w="108" w:type="dxa"/>
          </w:tblCellMar>
        </w:tblPrEx>
        <w:trPr>
          <w:trHeight w:val="312" w:hRule="atLeast"/>
        </w:trPr>
        <w:tc>
          <w:tcPr>
            <w:tcW w:w="1720"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42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191"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191"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870" w:hRule="atLeast"/>
        </w:trPr>
        <w:tc>
          <w:tcPr>
            <w:tcW w:w="1720"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42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191"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191"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673" w:hRule="atLeast"/>
        </w:trPr>
        <w:tc>
          <w:tcPr>
            <w:tcW w:w="57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类</w:t>
            </w:r>
          </w:p>
        </w:tc>
        <w:tc>
          <w:tcPr>
            <w:tcW w:w="57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款</w:t>
            </w:r>
          </w:p>
        </w:tc>
        <w:tc>
          <w:tcPr>
            <w:tcW w:w="574"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项</w:t>
            </w: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合计</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b/>
                <w:bCs/>
                <w:color w:val="000000"/>
                <w:kern w:val="0"/>
                <w:sz w:val="22"/>
                <w:szCs w:val="22"/>
                <w:lang w:val="en-US" w:eastAsia="zh-CN"/>
              </w:rPr>
            </w:pPr>
            <w:r>
              <w:rPr>
                <w:rFonts w:hint="eastAsia" w:ascii="宋体" w:hAnsi="宋体" w:eastAsia="宋体" w:cs="宋体"/>
                <w:b/>
                <w:bCs/>
                <w:color w:val="000000"/>
                <w:kern w:val="0"/>
                <w:sz w:val="22"/>
                <w:szCs w:val="22"/>
                <w:lang w:val="en-US" w:eastAsia="zh-CN"/>
              </w:rPr>
              <w:t>5084.2</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b/>
                <w:bCs/>
                <w:color w:val="000000"/>
                <w:kern w:val="0"/>
                <w:sz w:val="22"/>
                <w:szCs w:val="22"/>
                <w:lang w:val="en-US" w:eastAsia="zh-CN"/>
              </w:rPr>
            </w:pPr>
            <w:r>
              <w:rPr>
                <w:rFonts w:hint="eastAsia" w:ascii="宋体" w:hAnsi="宋体" w:eastAsia="宋体" w:cs="宋体"/>
                <w:b/>
                <w:bCs/>
                <w:color w:val="000000"/>
                <w:kern w:val="0"/>
                <w:sz w:val="22"/>
                <w:szCs w:val="22"/>
                <w:lang w:val="en-US" w:eastAsia="zh-CN"/>
              </w:rPr>
              <w:t>2588.86</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b/>
                <w:bCs/>
                <w:color w:val="000000"/>
                <w:kern w:val="0"/>
                <w:sz w:val="22"/>
                <w:szCs w:val="22"/>
                <w:lang w:val="en-US" w:eastAsia="zh-CN"/>
              </w:rPr>
            </w:pPr>
            <w:r>
              <w:rPr>
                <w:rFonts w:hint="eastAsia" w:ascii="宋体" w:hAnsi="宋体" w:eastAsia="宋体" w:cs="宋体"/>
                <w:b/>
                <w:bCs/>
                <w:color w:val="000000"/>
                <w:kern w:val="0"/>
                <w:sz w:val="22"/>
                <w:szCs w:val="22"/>
                <w:lang w:val="en-US" w:eastAsia="zh-CN"/>
              </w:rPr>
              <w:t>2495.34</w:t>
            </w:r>
          </w:p>
        </w:tc>
      </w:tr>
      <w:tr>
        <w:tblPrEx>
          <w:tblCellMar>
            <w:top w:w="15" w:type="dxa"/>
            <w:left w:w="108" w:type="dxa"/>
            <w:bottom w:w="15" w:type="dxa"/>
            <w:right w:w="108" w:type="dxa"/>
          </w:tblCellMar>
        </w:tblPrEx>
        <w:trPr>
          <w:trHeight w:val="634"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201</w:t>
            </w: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一般公共服务支出</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439.31</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439.31</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lang w:val="en-US" w:eastAsia="zh-CN" w:bidi="ar-SA"/>
              </w:rPr>
            </w:pPr>
          </w:p>
        </w:tc>
      </w:tr>
      <w:tr>
        <w:tblPrEx>
          <w:tblCellMar>
            <w:top w:w="15" w:type="dxa"/>
            <w:left w:w="108" w:type="dxa"/>
            <w:bottom w:w="15" w:type="dxa"/>
            <w:right w:w="108" w:type="dxa"/>
          </w:tblCellMar>
        </w:tblPrEx>
        <w:trPr>
          <w:trHeight w:val="799"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20103</w:t>
            </w: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政府办公厅（室）及相关机构事务</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439.31</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439.31</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lang w:val="en-US" w:eastAsia="zh-CN" w:bidi="ar-SA"/>
              </w:rPr>
            </w:pPr>
          </w:p>
        </w:tc>
      </w:tr>
      <w:tr>
        <w:tblPrEx>
          <w:tblCellMar>
            <w:top w:w="15" w:type="dxa"/>
            <w:left w:w="108" w:type="dxa"/>
            <w:bottom w:w="15" w:type="dxa"/>
            <w:right w:w="108" w:type="dxa"/>
          </w:tblCellMar>
        </w:tblPrEx>
        <w:trPr>
          <w:trHeight w:val="811"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2010301</w:t>
            </w: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行政运行</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439.31</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439.31</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lang w:val="en-US" w:eastAsia="zh-CN" w:bidi="ar-SA"/>
              </w:rPr>
            </w:pPr>
          </w:p>
        </w:tc>
      </w:tr>
      <w:tr>
        <w:tblPrEx>
          <w:tblCellMar>
            <w:top w:w="15" w:type="dxa"/>
            <w:left w:w="108" w:type="dxa"/>
            <w:bottom w:w="15" w:type="dxa"/>
            <w:right w:w="108" w:type="dxa"/>
          </w:tblCellMar>
        </w:tblPrEx>
        <w:trPr>
          <w:trHeight w:val="814"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208</w:t>
            </w: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社会保障和就业支出</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457</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457</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lang w:val="en-US" w:eastAsia="zh-CN" w:bidi="ar-SA"/>
              </w:rPr>
            </w:pPr>
          </w:p>
        </w:tc>
      </w:tr>
      <w:tr>
        <w:tblPrEx>
          <w:tblCellMar>
            <w:top w:w="15" w:type="dxa"/>
            <w:left w:w="108" w:type="dxa"/>
            <w:bottom w:w="15" w:type="dxa"/>
            <w:right w:w="108" w:type="dxa"/>
          </w:tblCellMar>
        </w:tblPrEx>
        <w:trPr>
          <w:trHeight w:val="814"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20819</w:t>
            </w: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最低生活保障</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102</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102</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lang w:val="en-US" w:eastAsia="zh-CN" w:bidi="ar-SA"/>
              </w:rPr>
            </w:pPr>
          </w:p>
        </w:tc>
      </w:tr>
      <w:tr>
        <w:tblPrEx>
          <w:tblCellMar>
            <w:top w:w="15" w:type="dxa"/>
            <w:left w:w="108" w:type="dxa"/>
            <w:bottom w:w="15" w:type="dxa"/>
            <w:right w:w="108" w:type="dxa"/>
          </w:tblCellMar>
        </w:tblPrEx>
        <w:trPr>
          <w:trHeight w:val="814"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2081902</w:t>
            </w: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农村最低生活保障金支出</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102</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102</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lang w:val="en-US" w:eastAsia="zh-CN" w:bidi="ar-SA"/>
              </w:rPr>
            </w:pPr>
          </w:p>
        </w:tc>
      </w:tr>
      <w:tr>
        <w:tblPrEx>
          <w:tblCellMar>
            <w:top w:w="15" w:type="dxa"/>
            <w:left w:w="108" w:type="dxa"/>
            <w:bottom w:w="15" w:type="dxa"/>
            <w:right w:w="108" w:type="dxa"/>
          </w:tblCellMar>
        </w:tblPrEx>
        <w:trPr>
          <w:trHeight w:val="814"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20820</w:t>
            </w: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临时救助</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5</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5</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lang w:val="en-US" w:eastAsia="zh-CN" w:bidi="ar-SA"/>
              </w:rPr>
            </w:pPr>
          </w:p>
        </w:tc>
      </w:tr>
      <w:tr>
        <w:tblPrEx>
          <w:tblCellMar>
            <w:top w:w="15" w:type="dxa"/>
            <w:left w:w="108" w:type="dxa"/>
            <w:bottom w:w="15" w:type="dxa"/>
            <w:right w:w="108" w:type="dxa"/>
          </w:tblCellMar>
        </w:tblPrEx>
        <w:trPr>
          <w:trHeight w:val="814"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2082001</w:t>
            </w: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临时救助支出</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5</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5</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lang w:val="en-US" w:eastAsia="zh-CN" w:bidi="ar-SA"/>
              </w:rPr>
            </w:pPr>
          </w:p>
        </w:tc>
      </w:tr>
      <w:tr>
        <w:tblPrEx>
          <w:tblCellMar>
            <w:top w:w="15" w:type="dxa"/>
            <w:left w:w="108" w:type="dxa"/>
            <w:bottom w:w="15" w:type="dxa"/>
            <w:right w:w="108" w:type="dxa"/>
          </w:tblCellMar>
        </w:tblPrEx>
        <w:trPr>
          <w:trHeight w:val="814"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20821</w:t>
            </w: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特困人员救助供养</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90</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90</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lang w:val="en-US" w:eastAsia="zh-CN" w:bidi="ar-SA"/>
              </w:rPr>
            </w:pPr>
          </w:p>
        </w:tc>
      </w:tr>
      <w:tr>
        <w:tblPrEx>
          <w:tblCellMar>
            <w:top w:w="15" w:type="dxa"/>
            <w:left w:w="108" w:type="dxa"/>
            <w:bottom w:w="15" w:type="dxa"/>
            <w:right w:w="108" w:type="dxa"/>
          </w:tblCellMar>
        </w:tblPrEx>
        <w:trPr>
          <w:trHeight w:val="814"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2082102</w:t>
            </w: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农村特困人员救助供养支出</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90</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90</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lang w:val="en-US" w:eastAsia="zh-CN" w:bidi="ar-SA"/>
              </w:rPr>
            </w:pPr>
          </w:p>
        </w:tc>
      </w:tr>
      <w:tr>
        <w:tblPrEx>
          <w:tblCellMar>
            <w:top w:w="15" w:type="dxa"/>
            <w:left w:w="108" w:type="dxa"/>
            <w:bottom w:w="15" w:type="dxa"/>
            <w:right w:w="108" w:type="dxa"/>
          </w:tblCellMar>
        </w:tblPrEx>
        <w:trPr>
          <w:trHeight w:val="814"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20899</w:t>
            </w: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其他社会保障和就业支出</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260</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260</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lang w:val="en-US" w:eastAsia="zh-CN" w:bidi="ar-SA"/>
              </w:rPr>
            </w:pPr>
          </w:p>
        </w:tc>
      </w:tr>
      <w:tr>
        <w:tblPrEx>
          <w:tblCellMar>
            <w:top w:w="15" w:type="dxa"/>
            <w:left w:w="108" w:type="dxa"/>
            <w:bottom w:w="15" w:type="dxa"/>
            <w:right w:w="108" w:type="dxa"/>
          </w:tblCellMar>
        </w:tblPrEx>
        <w:trPr>
          <w:trHeight w:val="814"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2089901</w:t>
            </w: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其他社会保障和就业支出</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260</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260</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lang w:val="en-US" w:eastAsia="zh-CN" w:bidi="ar-SA"/>
              </w:rPr>
            </w:pPr>
          </w:p>
        </w:tc>
      </w:tr>
      <w:tr>
        <w:tblPrEx>
          <w:tblCellMar>
            <w:top w:w="15" w:type="dxa"/>
            <w:left w:w="108" w:type="dxa"/>
            <w:bottom w:w="15" w:type="dxa"/>
            <w:right w:w="108" w:type="dxa"/>
          </w:tblCellMar>
        </w:tblPrEx>
        <w:trPr>
          <w:trHeight w:val="814"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211</w:t>
            </w: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节能环保支出</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399</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399</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lang w:val="en-US" w:eastAsia="zh-CN" w:bidi="ar-SA"/>
              </w:rPr>
            </w:pPr>
          </w:p>
        </w:tc>
      </w:tr>
      <w:tr>
        <w:tblPrEx>
          <w:tblCellMar>
            <w:top w:w="15" w:type="dxa"/>
            <w:left w:w="108" w:type="dxa"/>
            <w:bottom w:w="15" w:type="dxa"/>
            <w:right w:w="108" w:type="dxa"/>
          </w:tblCellMar>
        </w:tblPrEx>
        <w:trPr>
          <w:trHeight w:val="814"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21199</w:t>
            </w: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其他节能环保支出</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399</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399</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lang w:val="en-US" w:eastAsia="zh-CN" w:bidi="ar-SA"/>
              </w:rPr>
            </w:pPr>
          </w:p>
        </w:tc>
      </w:tr>
      <w:tr>
        <w:tblPrEx>
          <w:tblCellMar>
            <w:top w:w="15" w:type="dxa"/>
            <w:left w:w="108" w:type="dxa"/>
            <w:bottom w:w="15" w:type="dxa"/>
            <w:right w:w="108" w:type="dxa"/>
          </w:tblCellMar>
        </w:tblPrEx>
        <w:trPr>
          <w:trHeight w:val="814"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2119901</w:t>
            </w: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其他节能环保支出</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399</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399</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lang w:val="en-US" w:eastAsia="zh-CN" w:bidi="ar-SA"/>
              </w:rPr>
            </w:pPr>
          </w:p>
        </w:tc>
      </w:tr>
      <w:tr>
        <w:tblPrEx>
          <w:tblCellMar>
            <w:top w:w="15" w:type="dxa"/>
            <w:left w:w="108" w:type="dxa"/>
            <w:bottom w:w="15" w:type="dxa"/>
            <w:right w:w="108" w:type="dxa"/>
          </w:tblCellMar>
        </w:tblPrEx>
        <w:trPr>
          <w:trHeight w:val="814"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212</w:t>
            </w: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城乡社区支出</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326</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326</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lang w:val="en-US" w:eastAsia="zh-CN" w:bidi="ar-SA"/>
              </w:rPr>
            </w:pPr>
          </w:p>
        </w:tc>
      </w:tr>
      <w:tr>
        <w:tblPrEx>
          <w:tblCellMar>
            <w:top w:w="15" w:type="dxa"/>
            <w:left w:w="108" w:type="dxa"/>
            <w:bottom w:w="15" w:type="dxa"/>
            <w:right w:w="108" w:type="dxa"/>
          </w:tblCellMar>
        </w:tblPrEx>
        <w:trPr>
          <w:trHeight w:val="814"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21299</w:t>
            </w: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其他城乡社区支出</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326</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326</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lang w:val="en-US" w:eastAsia="zh-CN" w:bidi="ar-SA"/>
              </w:rPr>
            </w:pPr>
          </w:p>
        </w:tc>
      </w:tr>
      <w:tr>
        <w:tblPrEx>
          <w:tblCellMar>
            <w:top w:w="15" w:type="dxa"/>
            <w:left w:w="108" w:type="dxa"/>
            <w:bottom w:w="15" w:type="dxa"/>
            <w:right w:w="108" w:type="dxa"/>
          </w:tblCellMar>
        </w:tblPrEx>
        <w:trPr>
          <w:trHeight w:val="814"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2129901</w:t>
            </w: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其他城乡社区支出</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326</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326</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lang w:val="en-US" w:eastAsia="zh-CN" w:bidi="ar-SA"/>
              </w:rPr>
            </w:pPr>
          </w:p>
        </w:tc>
      </w:tr>
      <w:tr>
        <w:tblPrEx>
          <w:tblCellMar>
            <w:top w:w="15" w:type="dxa"/>
            <w:left w:w="108" w:type="dxa"/>
            <w:bottom w:w="15" w:type="dxa"/>
            <w:right w:w="108" w:type="dxa"/>
          </w:tblCellMar>
        </w:tblPrEx>
        <w:trPr>
          <w:trHeight w:val="814"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213</w:t>
            </w: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农林水支出</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3375.34</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880</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bidi="ar-SA"/>
              </w:rPr>
              <w:t>2495.34</w:t>
            </w:r>
          </w:p>
        </w:tc>
      </w:tr>
      <w:tr>
        <w:tblPrEx>
          <w:tblCellMar>
            <w:top w:w="15" w:type="dxa"/>
            <w:left w:w="108" w:type="dxa"/>
            <w:bottom w:w="15" w:type="dxa"/>
            <w:right w:w="108" w:type="dxa"/>
          </w:tblCellMar>
        </w:tblPrEx>
        <w:trPr>
          <w:trHeight w:val="814"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21301</w:t>
            </w: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农业农村</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780</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780</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lang w:val="en-US" w:eastAsia="zh-CN" w:bidi="ar-SA"/>
              </w:rPr>
            </w:pPr>
          </w:p>
        </w:tc>
      </w:tr>
      <w:tr>
        <w:tblPrEx>
          <w:tblCellMar>
            <w:top w:w="15" w:type="dxa"/>
            <w:left w:w="108" w:type="dxa"/>
            <w:bottom w:w="15" w:type="dxa"/>
            <w:right w:w="108" w:type="dxa"/>
          </w:tblCellMar>
        </w:tblPrEx>
        <w:trPr>
          <w:trHeight w:val="814"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2130199</w:t>
            </w: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其他农业农村支出</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780</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780</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lang w:val="en-US" w:eastAsia="zh-CN" w:bidi="ar-SA"/>
              </w:rPr>
            </w:pPr>
          </w:p>
        </w:tc>
      </w:tr>
      <w:tr>
        <w:tblPrEx>
          <w:tblCellMar>
            <w:top w:w="15" w:type="dxa"/>
            <w:left w:w="108" w:type="dxa"/>
            <w:bottom w:w="15" w:type="dxa"/>
            <w:right w:w="108" w:type="dxa"/>
          </w:tblCellMar>
        </w:tblPrEx>
        <w:trPr>
          <w:trHeight w:val="814"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21303</w:t>
            </w: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水利</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2495.34</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2495.34</w:t>
            </w:r>
          </w:p>
        </w:tc>
      </w:tr>
      <w:tr>
        <w:tblPrEx>
          <w:tblCellMar>
            <w:top w:w="15" w:type="dxa"/>
            <w:left w:w="108" w:type="dxa"/>
            <w:bottom w:w="15" w:type="dxa"/>
            <w:right w:w="108" w:type="dxa"/>
          </w:tblCellMar>
        </w:tblPrEx>
        <w:trPr>
          <w:trHeight w:val="814"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2130399</w:t>
            </w: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其他水利支出</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2495.34</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2495.34</w:t>
            </w:r>
          </w:p>
        </w:tc>
      </w:tr>
      <w:tr>
        <w:tblPrEx>
          <w:tblCellMar>
            <w:top w:w="15" w:type="dxa"/>
            <w:left w:w="108" w:type="dxa"/>
            <w:bottom w:w="15" w:type="dxa"/>
            <w:right w:w="108" w:type="dxa"/>
          </w:tblCellMar>
        </w:tblPrEx>
        <w:trPr>
          <w:trHeight w:val="814"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21307</w:t>
            </w: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农村综合改革</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100</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100</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p>
        </w:tc>
      </w:tr>
      <w:tr>
        <w:tblPrEx>
          <w:tblCellMar>
            <w:top w:w="15" w:type="dxa"/>
            <w:left w:w="108" w:type="dxa"/>
            <w:bottom w:w="15" w:type="dxa"/>
            <w:right w:w="108" w:type="dxa"/>
          </w:tblCellMar>
        </w:tblPrEx>
        <w:trPr>
          <w:trHeight w:val="814"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2130705</w:t>
            </w: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对村民委员会和村党支部的补助</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100</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100</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p>
        </w:tc>
      </w:tr>
      <w:tr>
        <w:tblPrEx>
          <w:tblCellMar>
            <w:top w:w="15" w:type="dxa"/>
            <w:left w:w="108" w:type="dxa"/>
            <w:bottom w:w="15" w:type="dxa"/>
            <w:right w:w="108" w:type="dxa"/>
          </w:tblCellMar>
        </w:tblPrEx>
        <w:trPr>
          <w:trHeight w:val="814"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221</w:t>
            </w: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住房保障支出</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87.55</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87.55</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p>
        </w:tc>
      </w:tr>
      <w:tr>
        <w:tblPrEx>
          <w:tblCellMar>
            <w:top w:w="15" w:type="dxa"/>
            <w:left w:w="108" w:type="dxa"/>
            <w:bottom w:w="15" w:type="dxa"/>
            <w:right w:w="108" w:type="dxa"/>
          </w:tblCellMar>
        </w:tblPrEx>
        <w:trPr>
          <w:trHeight w:val="814"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22102</w:t>
            </w: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住房改革支出</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87.55</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87.55</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p>
        </w:tc>
      </w:tr>
      <w:tr>
        <w:tblPrEx>
          <w:tblCellMar>
            <w:top w:w="15" w:type="dxa"/>
            <w:left w:w="108" w:type="dxa"/>
            <w:bottom w:w="15" w:type="dxa"/>
            <w:right w:w="108" w:type="dxa"/>
          </w:tblCellMar>
        </w:tblPrEx>
        <w:trPr>
          <w:trHeight w:val="814"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2210201</w:t>
            </w: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住房公积金</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87.55</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87.55</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p>
        </w:tc>
      </w:tr>
    </w:tbl>
    <w:p>
      <w:pPr>
        <w:ind w:firstLine="640" w:firstLineChars="200"/>
        <w:jc w:val="center"/>
        <w:rPr>
          <w:rFonts w:hint="eastAsia" w:ascii="黑体" w:hAnsi="黑体" w:eastAsia="黑体"/>
          <w:szCs w:val="32"/>
        </w:rPr>
      </w:pPr>
      <w:r>
        <w:rPr>
          <w:rFonts w:hint="eastAsia" w:ascii="黑体" w:hAnsi="黑体" w:eastAsia="黑体"/>
          <w:szCs w:val="32"/>
        </w:rPr>
        <w:t>一般公共预算财政拨款基本支出决算表</w:t>
      </w:r>
    </w:p>
    <w:tbl>
      <w:tblPr>
        <w:tblStyle w:val="7"/>
        <w:tblW w:w="0" w:type="auto"/>
        <w:tblInd w:w="93" w:type="dxa"/>
        <w:tblLayout w:type="fixed"/>
        <w:tblCellMar>
          <w:top w:w="0" w:type="dxa"/>
          <w:left w:w="108" w:type="dxa"/>
          <w:bottom w:w="0" w:type="dxa"/>
          <w:right w:w="108" w:type="dxa"/>
        </w:tblCellMar>
      </w:tblPr>
      <w:tblGrid>
        <w:gridCol w:w="651"/>
        <w:gridCol w:w="2266"/>
        <w:gridCol w:w="555"/>
        <w:gridCol w:w="651"/>
        <w:gridCol w:w="1638"/>
        <w:gridCol w:w="536"/>
        <w:gridCol w:w="651"/>
        <w:gridCol w:w="2301"/>
        <w:gridCol w:w="469"/>
        <w:gridCol w:w="469"/>
      </w:tblGrid>
      <w:tr>
        <w:tblPrEx>
          <w:tblCellMar>
            <w:top w:w="0" w:type="dxa"/>
            <w:left w:w="108" w:type="dxa"/>
            <w:bottom w:w="0" w:type="dxa"/>
            <w:right w:w="108" w:type="dxa"/>
          </w:tblCellMar>
        </w:tblPrEx>
        <w:trPr>
          <w:gridAfter w:val="1"/>
          <w:wAfter w:w="469" w:type="dxa"/>
          <w:trHeight w:val="225" w:hRule="atLeast"/>
        </w:trPr>
        <w:tc>
          <w:tcPr>
            <w:tcW w:w="651" w:type="dxa"/>
            <w:tcBorders>
              <w:top w:val="nil"/>
              <w:left w:val="nil"/>
              <w:bottom w:val="nil"/>
              <w:right w:val="nil"/>
            </w:tcBorders>
            <w:shd w:val="clear" w:color="auto" w:fill="FFFFFF"/>
            <w:vAlign w:val="center"/>
          </w:tcPr>
          <w:p>
            <w:pPr>
              <w:widowControl/>
              <w:jc w:val="center"/>
              <w:rPr>
                <w:rFonts w:ascii="宋体" w:hAnsi="宋体" w:eastAsia="宋体" w:cs="宋体"/>
                <w:kern w:val="0"/>
                <w:sz w:val="20"/>
              </w:rPr>
            </w:pPr>
            <w:r>
              <w:rPr>
                <w:rFonts w:hint="eastAsia" w:ascii="宋体" w:hAnsi="宋体" w:eastAsia="宋体" w:cs="宋体"/>
                <w:kern w:val="0"/>
                <w:sz w:val="20"/>
              </w:rPr>
              <w:t>　</w:t>
            </w:r>
          </w:p>
        </w:tc>
        <w:tc>
          <w:tcPr>
            <w:tcW w:w="2266" w:type="dxa"/>
            <w:tcBorders>
              <w:top w:val="nil"/>
              <w:left w:val="nil"/>
              <w:bottom w:val="nil"/>
              <w:right w:val="nil"/>
            </w:tcBorders>
            <w:shd w:val="clear" w:color="auto" w:fill="FFFFFF"/>
            <w:vAlign w:val="center"/>
          </w:tcPr>
          <w:p>
            <w:pPr>
              <w:widowControl/>
              <w:jc w:val="center"/>
              <w:rPr>
                <w:rFonts w:ascii="宋体" w:hAnsi="宋体" w:eastAsia="宋体" w:cs="宋体"/>
                <w:kern w:val="0"/>
                <w:sz w:val="20"/>
              </w:rPr>
            </w:pPr>
            <w:r>
              <w:rPr>
                <w:rFonts w:hint="eastAsia" w:ascii="宋体" w:hAnsi="宋体" w:eastAsia="宋体" w:cs="宋体"/>
                <w:kern w:val="0"/>
                <w:sz w:val="20"/>
              </w:rPr>
              <w:t>　</w:t>
            </w:r>
          </w:p>
        </w:tc>
        <w:tc>
          <w:tcPr>
            <w:tcW w:w="555" w:type="dxa"/>
            <w:tcBorders>
              <w:top w:val="nil"/>
              <w:left w:val="nil"/>
              <w:bottom w:val="nil"/>
              <w:right w:val="nil"/>
            </w:tcBorders>
            <w:shd w:val="clear" w:color="auto" w:fill="FFFFFF"/>
            <w:vAlign w:val="center"/>
          </w:tcPr>
          <w:p>
            <w:pPr>
              <w:widowControl/>
              <w:jc w:val="center"/>
              <w:rPr>
                <w:rFonts w:ascii="宋体" w:hAnsi="宋体" w:eastAsia="宋体" w:cs="宋体"/>
                <w:kern w:val="0"/>
                <w:sz w:val="20"/>
              </w:rPr>
            </w:pPr>
            <w:r>
              <w:rPr>
                <w:rFonts w:hint="eastAsia" w:ascii="宋体" w:hAnsi="宋体" w:eastAsia="宋体" w:cs="宋体"/>
                <w:kern w:val="0"/>
                <w:sz w:val="20"/>
              </w:rPr>
              <w:t>　</w:t>
            </w:r>
          </w:p>
        </w:tc>
        <w:tc>
          <w:tcPr>
            <w:tcW w:w="651" w:type="dxa"/>
            <w:tcBorders>
              <w:top w:val="nil"/>
              <w:left w:val="nil"/>
              <w:bottom w:val="nil"/>
              <w:right w:val="nil"/>
            </w:tcBorders>
            <w:shd w:val="clear" w:color="auto" w:fill="FFFFFF"/>
            <w:vAlign w:val="center"/>
          </w:tcPr>
          <w:p>
            <w:pPr>
              <w:widowControl/>
              <w:jc w:val="left"/>
              <w:rPr>
                <w:rFonts w:ascii="宋体" w:hAnsi="宋体" w:eastAsia="宋体" w:cs="宋体"/>
                <w:kern w:val="0"/>
                <w:sz w:val="20"/>
              </w:rPr>
            </w:pPr>
            <w:r>
              <w:rPr>
                <w:rFonts w:hint="eastAsia" w:ascii="宋体" w:hAnsi="宋体" w:eastAsia="宋体" w:cs="宋体"/>
                <w:kern w:val="0"/>
                <w:sz w:val="20"/>
              </w:rPr>
              <w:t>　</w:t>
            </w:r>
          </w:p>
        </w:tc>
        <w:tc>
          <w:tcPr>
            <w:tcW w:w="1638" w:type="dxa"/>
            <w:tcBorders>
              <w:top w:val="nil"/>
              <w:left w:val="nil"/>
              <w:bottom w:val="nil"/>
              <w:right w:val="nil"/>
            </w:tcBorders>
            <w:shd w:val="clear" w:color="auto" w:fill="FFFFFF"/>
            <w:vAlign w:val="center"/>
          </w:tcPr>
          <w:p>
            <w:pPr>
              <w:widowControl/>
              <w:jc w:val="left"/>
              <w:rPr>
                <w:rFonts w:ascii="宋体" w:hAnsi="宋体" w:eastAsia="宋体" w:cs="宋体"/>
                <w:kern w:val="0"/>
                <w:sz w:val="20"/>
              </w:rPr>
            </w:pPr>
            <w:r>
              <w:rPr>
                <w:rFonts w:hint="eastAsia" w:ascii="宋体" w:hAnsi="宋体" w:eastAsia="宋体" w:cs="宋体"/>
                <w:kern w:val="0"/>
                <w:sz w:val="20"/>
              </w:rPr>
              <w:t>　</w:t>
            </w:r>
          </w:p>
        </w:tc>
        <w:tc>
          <w:tcPr>
            <w:tcW w:w="536" w:type="dxa"/>
            <w:tcBorders>
              <w:top w:val="nil"/>
              <w:left w:val="nil"/>
              <w:bottom w:val="nil"/>
              <w:right w:val="nil"/>
            </w:tcBorders>
            <w:shd w:val="clear" w:color="auto" w:fill="FFFFFF"/>
            <w:vAlign w:val="center"/>
          </w:tcPr>
          <w:p>
            <w:pPr>
              <w:widowControl/>
              <w:jc w:val="left"/>
              <w:rPr>
                <w:rFonts w:ascii="宋体" w:hAnsi="宋体" w:eastAsia="宋体" w:cs="宋体"/>
                <w:kern w:val="0"/>
                <w:sz w:val="20"/>
              </w:rPr>
            </w:pPr>
            <w:r>
              <w:rPr>
                <w:rFonts w:hint="eastAsia" w:ascii="宋体" w:hAnsi="宋体" w:eastAsia="宋体" w:cs="宋体"/>
                <w:kern w:val="0"/>
                <w:sz w:val="20"/>
              </w:rPr>
              <w:t>　</w:t>
            </w:r>
          </w:p>
        </w:tc>
        <w:tc>
          <w:tcPr>
            <w:tcW w:w="651" w:type="dxa"/>
            <w:tcBorders>
              <w:top w:val="nil"/>
              <w:left w:val="nil"/>
              <w:bottom w:val="nil"/>
              <w:right w:val="nil"/>
            </w:tcBorders>
            <w:shd w:val="clear" w:color="auto" w:fill="FFFFFF"/>
            <w:vAlign w:val="center"/>
          </w:tcPr>
          <w:p>
            <w:pPr>
              <w:widowControl/>
              <w:jc w:val="left"/>
              <w:rPr>
                <w:rFonts w:ascii="宋体" w:hAnsi="宋体" w:eastAsia="宋体" w:cs="宋体"/>
                <w:kern w:val="0"/>
                <w:sz w:val="20"/>
              </w:rPr>
            </w:pPr>
            <w:r>
              <w:rPr>
                <w:rFonts w:hint="eastAsia" w:ascii="宋体" w:hAnsi="宋体" w:eastAsia="宋体" w:cs="宋体"/>
                <w:kern w:val="0"/>
                <w:sz w:val="20"/>
              </w:rPr>
              <w:t>　</w:t>
            </w:r>
          </w:p>
        </w:tc>
        <w:tc>
          <w:tcPr>
            <w:tcW w:w="2770" w:type="dxa"/>
            <w:gridSpan w:val="2"/>
            <w:tcBorders>
              <w:top w:val="nil"/>
              <w:left w:val="nil"/>
              <w:bottom w:val="nil"/>
              <w:right w:val="nil"/>
            </w:tcBorders>
            <w:shd w:val="clear" w:color="auto" w:fill="FFFFFF"/>
            <w:vAlign w:val="center"/>
          </w:tcPr>
          <w:p>
            <w:pPr>
              <w:widowControl/>
              <w:jc w:val="left"/>
              <w:rPr>
                <w:rFonts w:ascii="宋体" w:hAnsi="宋体" w:eastAsia="宋体" w:cs="宋体"/>
                <w:kern w:val="0"/>
                <w:sz w:val="20"/>
              </w:rPr>
            </w:pPr>
            <w:r>
              <w:rPr>
                <w:rFonts w:hint="eastAsia" w:ascii="宋体" w:hAnsi="宋体" w:eastAsia="宋体" w:cs="宋体"/>
                <w:kern w:val="0"/>
                <w:sz w:val="20"/>
              </w:rPr>
              <w:t>　</w:t>
            </w:r>
          </w:p>
          <w:p>
            <w:pPr>
              <w:widowControl/>
              <w:ind w:right="97"/>
              <w:jc w:val="right"/>
              <w:rPr>
                <w:rFonts w:ascii="宋体" w:hAnsi="宋体" w:eastAsia="宋体" w:cs="宋体"/>
                <w:color w:val="000000"/>
                <w:kern w:val="0"/>
                <w:sz w:val="20"/>
              </w:rPr>
            </w:pPr>
            <w:r>
              <w:rPr>
                <w:rFonts w:hint="eastAsia" w:ascii="宋体" w:hAnsi="宋体" w:eastAsia="宋体" w:cs="宋体"/>
                <w:color w:val="000000"/>
                <w:kern w:val="0"/>
                <w:sz w:val="20"/>
              </w:rPr>
              <w:t>公开06表</w:t>
            </w:r>
          </w:p>
        </w:tc>
      </w:tr>
      <w:tr>
        <w:tblPrEx>
          <w:tblCellMar>
            <w:top w:w="0" w:type="dxa"/>
            <w:left w:w="108" w:type="dxa"/>
            <w:bottom w:w="0" w:type="dxa"/>
            <w:right w:w="108" w:type="dxa"/>
          </w:tblCellMar>
        </w:tblPrEx>
        <w:trPr>
          <w:gridAfter w:val="1"/>
          <w:wAfter w:w="469" w:type="dxa"/>
          <w:trHeight w:val="240" w:hRule="atLeast"/>
        </w:trPr>
        <w:tc>
          <w:tcPr>
            <w:tcW w:w="2917" w:type="dxa"/>
            <w:gridSpan w:val="2"/>
            <w:tcBorders>
              <w:top w:val="nil"/>
              <w:left w:val="nil"/>
              <w:bottom w:val="nil"/>
              <w:right w:val="nil"/>
            </w:tcBorders>
            <w:vAlign w:val="center"/>
          </w:tcPr>
          <w:p>
            <w:pPr>
              <w:widowControl/>
              <w:jc w:val="left"/>
              <w:rPr>
                <w:rFonts w:ascii="Arial" w:hAnsi="Arial" w:eastAsia="宋体" w:cs="Arial"/>
                <w:color w:val="000000"/>
                <w:kern w:val="0"/>
                <w:sz w:val="20"/>
              </w:rPr>
            </w:pPr>
            <w:r>
              <w:rPr>
                <w:rFonts w:ascii="Arial" w:hAnsi="Arial" w:eastAsia="宋体" w:cs="Arial"/>
                <w:color w:val="000000"/>
                <w:kern w:val="0"/>
                <w:sz w:val="20"/>
              </w:rPr>
              <w:t>部门：</w:t>
            </w:r>
          </w:p>
        </w:tc>
        <w:tc>
          <w:tcPr>
            <w:tcW w:w="555" w:type="dxa"/>
            <w:tcBorders>
              <w:top w:val="nil"/>
              <w:left w:val="nil"/>
              <w:bottom w:val="nil"/>
              <w:right w:val="nil"/>
            </w:tcBorders>
            <w:vAlign w:val="center"/>
          </w:tcPr>
          <w:p>
            <w:pPr>
              <w:widowControl/>
              <w:jc w:val="left"/>
              <w:rPr>
                <w:rFonts w:ascii="Arial" w:hAnsi="Arial" w:eastAsia="宋体" w:cs="Arial"/>
                <w:color w:val="000000"/>
                <w:kern w:val="0"/>
                <w:sz w:val="20"/>
              </w:rPr>
            </w:pPr>
          </w:p>
        </w:tc>
        <w:tc>
          <w:tcPr>
            <w:tcW w:w="651" w:type="dxa"/>
            <w:tcBorders>
              <w:top w:val="nil"/>
              <w:left w:val="nil"/>
              <w:bottom w:val="nil"/>
              <w:right w:val="nil"/>
            </w:tcBorders>
            <w:vAlign w:val="center"/>
          </w:tcPr>
          <w:p>
            <w:pPr>
              <w:widowControl/>
              <w:jc w:val="left"/>
              <w:rPr>
                <w:rFonts w:ascii="Arial" w:hAnsi="Arial" w:eastAsia="宋体" w:cs="Arial"/>
                <w:color w:val="000000"/>
                <w:kern w:val="0"/>
                <w:sz w:val="20"/>
              </w:rPr>
            </w:pPr>
          </w:p>
        </w:tc>
        <w:tc>
          <w:tcPr>
            <w:tcW w:w="1638" w:type="dxa"/>
            <w:tcBorders>
              <w:top w:val="nil"/>
              <w:left w:val="nil"/>
              <w:bottom w:val="nil"/>
              <w:right w:val="nil"/>
            </w:tcBorders>
            <w:vAlign w:val="center"/>
          </w:tcPr>
          <w:p>
            <w:pPr>
              <w:widowControl/>
              <w:jc w:val="left"/>
              <w:rPr>
                <w:rFonts w:ascii="Arial" w:hAnsi="Arial" w:eastAsia="宋体" w:cs="Arial"/>
                <w:color w:val="000000"/>
                <w:kern w:val="0"/>
                <w:sz w:val="20"/>
              </w:rPr>
            </w:pPr>
          </w:p>
        </w:tc>
        <w:tc>
          <w:tcPr>
            <w:tcW w:w="536" w:type="dxa"/>
            <w:tcBorders>
              <w:top w:val="nil"/>
              <w:left w:val="nil"/>
              <w:bottom w:val="nil"/>
              <w:right w:val="nil"/>
            </w:tcBorders>
            <w:vAlign w:val="center"/>
          </w:tcPr>
          <w:p>
            <w:pPr>
              <w:widowControl/>
              <w:jc w:val="left"/>
              <w:rPr>
                <w:rFonts w:ascii="Arial" w:hAnsi="Arial" w:eastAsia="宋体" w:cs="Arial"/>
                <w:color w:val="000000"/>
                <w:kern w:val="0"/>
                <w:sz w:val="20"/>
              </w:rPr>
            </w:pPr>
          </w:p>
        </w:tc>
        <w:tc>
          <w:tcPr>
            <w:tcW w:w="651" w:type="dxa"/>
            <w:tcBorders>
              <w:top w:val="nil"/>
              <w:left w:val="nil"/>
              <w:bottom w:val="nil"/>
              <w:right w:val="nil"/>
            </w:tcBorders>
            <w:vAlign w:val="center"/>
          </w:tcPr>
          <w:p>
            <w:pPr>
              <w:widowControl/>
              <w:jc w:val="left"/>
              <w:rPr>
                <w:rFonts w:ascii="Arial" w:hAnsi="Arial" w:eastAsia="宋体" w:cs="Arial"/>
                <w:color w:val="000000"/>
                <w:kern w:val="0"/>
                <w:sz w:val="20"/>
              </w:rPr>
            </w:pPr>
          </w:p>
        </w:tc>
        <w:tc>
          <w:tcPr>
            <w:tcW w:w="2770" w:type="dxa"/>
            <w:gridSpan w:val="2"/>
            <w:tcBorders>
              <w:top w:val="nil"/>
              <w:left w:val="nil"/>
              <w:bottom w:val="nil"/>
              <w:right w:val="nil"/>
            </w:tcBorders>
            <w:vAlign w:val="center"/>
          </w:tcPr>
          <w:p>
            <w:pPr>
              <w:widowControl/>
              <w:jc w:val="right"/>
              <w:rPr>
                <w:rFonts w:ascii="宋体" w:hAnsi="宋体" w:eastAsia="宋体" w:cs="宋体"/>
                <w:color w:val="000000"/>
                <w:kern w:val="0"/>
                <w:sz w:val="20"/>
              </w:rPr>
            </w:pPr>
            <w:r>
              <w:rPr>
                <w:rFonts w:hint="eastAsia" w:ascii="宋体" w:hAnsi="宋体" w:eastAsia="宋体" w:cs="宋体"/>
                <w:color w:val="000000"/>
                <w:kern w:val="0"/>
                <w:sz w:val="20"/>
              </w:rPr>
              <w:t>金额单位：万元</w:t>
            </w:r>
          </w:p>
        </w:tc>
      </w:tr>
      <w:tr>
        <w:tblPrEx>
          <w:tblCellMar>
            <w:top w:w="0" w:type="dxa"/>
            <w:left w:w="108" w:type="dxa"/>
            <w:bottom w:w="0" w:type="dxa"/>
            <w:right w:w="108" w:type="dxa"/>
          </w:tblCellMar>
        </w:tblPrEx>
        <w:trPr>
          <w:gridAfter w:val="1"/>
          <w:wAfter w:w="469" w:type="dxa"/>
          <w:trHeight w:val="495" w:hRule="atLeast"/>
        </w:trPr>
        <w:tc>
          <w:tcPr>
            <w:tcW w:w="651" w:type="dxa"/>
            <w:tcBorders>
              <w:top w:val="single" w:color="auto" w:sz="8" w:space="0"/>
              <w:left w:val="single" w:color="auto" w:sz="8" w:space="0"/>
              <w:bottom w:val="single" w:color="auto" w:sz="4" w:space="0"/>
              <w:right w:val="single" w:color="auto" w:sz="4" w:space="0"/>
            </w:tcBorders>
            <w:vAlign w:val="center"/>
          </w:tcPr>
          <w:p>
            <w:pPr>
              <w:widowControl/>
              <w:jc w:val="center"/>
              <w:rPr>
                <w:rFonts w:ascii="宋体" w:hAnsi="宋体" w:eastAsia="宋体" w:cs="宋体"/>
                <w:color w:val="000000"/>
                <w:kern w:val="0"/>
                <w:sz w:val="20"/>
              </w:rPr>
            </w:pPr>
            <w:r>
              <w:rPr>
                <w:rFonts w:hint="eastAsia" w:ascii="宋体" w:hAnsi="宋体" w:eastAsia="宋体" w:cs="宋体"/>
                <w:color w:val="0000FF"/>
                <w:kern w:val="0"/>
                <w:sz w:val="20"/>
              </w:rPr>
              <w:t>经济分类</w:t>
            </w:r>
            <w:r>
              <w:rPr>
                <w:rFonts w:hint="eastAsia" w:ascii="宋体" w:hAnsi="宋体" w:eastAsia="宋体" w:cs="宋体"/>
                <w:color w:val="000000"/>
                <w:kern w:val="0"/>
                <w:sz w:val="20"/>
              </w:rPr>
              <w:t>科目编码</w:t>
            </w:r>
          </w:p>
        </w:tc>
        <w:tc>
          <w:tcPr>
            <w:tcW w:w="2266" w:type="dxa"/>
            <w:tcBorders>
              <w:top w:val="single" w:color="auto" w:sz="8" w:space="0"/>
              <w:left w:val="nil"/>
              <w:bottom w:val="single" w:color="auto" w:sz="4" w:space="0"/>
              <w:right w:val="single" w:color="auto" w:sz="4" w:space="0"/>
            </w:tcBorders>
            <w:vAlign w:val="center"/>
          </w:tcPr>
          <w:p>
            <w:pPr>
              <w:widowControl/>
              <w:jc w:val="center"/>
              <w:rPr>
                <w:rFonts w:ascii="宋体" w:hAnsi="宋体" w:eastAsia="宋体" w:cs="宋体"/>
                <w:color w:val="000000"/>
                <w:kern w:val="0"/>
                <w:sz w:val="20"/>
              </w:rPr>
            </w:pPr>
            <w:r>
              <w:rPr>
                <w:rFonts w:hint="eastAsia" w:ascii="宋体" w:hAnsi="宋体" w:eastAsia="宋体" w:cs="宋体"/>
                <w:color w:val="000000"/>
                <w:kern w:val="0"/>
                <w:sz w:val="20"/>
              </w:rPr>
              <w:t>科目名称</w:t>
            </w:r>
          </w:p>
        </w:tc>
        <w:tc>
          <w:tcPr>
            <w:tcW w:w="555" w:type="dxa"/>
            <w:tcBorders>
              <w:top w:val="single" w:color="auto" w:sz="8" w:space="0"/>
              <w:left w:val="nil"/>
              <w:bottom w:val="single" w:color="auto" w:sz="4" w:space="0"/>
              <w:right w:val="single" w:color="auto" w:sz="4" w:space="0"/>
            </w:tcBorders>
            <w:vAlign w:val="center"/>
          </w:tcPr>
          <w:p>
            <w:pPr>
              <w:widowControl/>
              <w:jc w:val="center"/>
              <w:rPr>
                <w:rFonts w:ascii="宋体" w:hAnsi="宋体" w:eastAsia="宋体" w:cs="宋体"/>
                <w:color w:val="000000"/>
                <w:kern w:val="0"/>
                <w:sz w:val="20"/>
              </w:rPr>
            </w:pPr>
            <w:r>
              <w:rPr>
                <w:rFonts w:hint="eastAsia" w:ascii="宋体" w:hAnsi="宋体" w:eastAsia="宋体" w:cs="宋体"/>
                <w:color w:val="000000"/>
                <w:kern w:val="0"/>
                <w:sz w:val="20"/>
              </w:rPr>
              <w:t>决算数</w:t>
            </w:r>
          </w:p>
        </w:tc>
        <w:tc>
          <w:tcPr>
            <w:tcW w:w="651" w:type="dxa"/>
            <w:tcBorders>
              <w:top w:val="single" w:color="auto" w:sz="8" w:space="0"/>
              <w:left w:val="single" w:color="auto" w:sz="8" w:space="0"/>
              <w:bottom w:val="single" w:color="auto" w:sz="4" w:space="0"/>
              <w:right w:val="single" w:color="auto" w:sz="4" w:space="0"/>
            </w:tcBorders>
            <w:vAlign w:val="center"/>
          </w:tcPr>
          <w:p>
            <w:pPr>
              <w:widowControl/>
              <w:jc w:val="center"/>
              <w:rPr>
                <w:rFonts w:ascii="宋体" w:hAnsi="宋体" w:eastAsia="宋体" w:cs="宋体"/>
                <w:color w:val="000000"/>
                <w:kern w:val="0"/>
                <w:sz w:val="20"/>
              </w:rPr>
            </w:pPr>
            <w:r>
              <w:rPr>
                <w:rFonts w:hint="eastAsia" w:ascii="宋体" w:hAnsi="宋体" w:eastAsia="宋体" w:cs="宋体"/>
                <w:color w:val="0000FF"/>
                <w:kern w:val="0"/>
                <w:sz w:val="20"/>
              </w:rPr>
              <w:t>经济分类</w:t>
            </w:r>
            <w:r>
              <w:rPr>
                <w:rFonts w:hint="eastAsia" w:ascii="宋体" w:hAnsi="宋体" w:eastAsia="宋体" w:cs="宋体"/>
                <w:color w:val="000000"/>
                <w:kern w:val="0"/>
                <w:sz w:val="20"/>
              </w:rPr>
              <w:t>科目编码</w:t>
            </w:r>
          </w:p>
        </w:tc>
        <w:tc>
          <w:tcPr>
            <w:tcW w:w="1638" w:type="dxa"/>
            <w:tcBorders>
              <w:top w:val="single" w:color="auto" w:sz="8" w:space="0"/>
              <w:left w:val="nil"/>
              <w:bottom w:val="single" w:color="auto" w:sz="4" w:space="0"/>
              <w:right w:val="single" w:color="auto" w:sz="4" w:space="0"/>
            </w:tcBorders>
            <w:vAlign w:val="center"/>
          </w:tcPr>
          <w:p>
            <w:pPr>
              <w:widowControl/>
              <w:jc w:val="center"/>
              <w:rPr>
                <w:rFonts w:ascii="宋体" w:hAnsi="宋体" w:eastAsia="宋体" w:cs="宋体"/>
                <w:color w:val="000000"/>
                <w:kern w:val="0"/>
                <w:sz w:val="20"/>
              </w:rPr>
            </w:pPr>
            <w:r>
              <w:rPr>
                <w:rFonts w:hint="eastAsia" w:ascii="宋体" w:hAnsi="宋体" w:eastAsia="宋体" w:cs="宋体"/>
                <w:color w:val="000000"/>
                <w:kern w:val="0"/>
                <w:sz w:val="20"/>
              </w:rPr>
              <w:t>科目名称</w:t>
            </w:r>
          </w:p>
        </w:tc>
        <w:tc>
          <w:tcPr>
            <w:tcW w:w="536" w:type="dxa"/>
            <w:tcBorders>
              <w:top w:val="single" w:color="auto" w:sz="8" w:space="0"/>
              <w:left w:val="nil"/>
              <w:bottom w:val="single" w:color="auto" w:sz="4" w:space="0"/>
              <w:right w:val="single" w:color="auto" w:sz="4" w:space="0"/>
            </w:tcBorders>
            <w:vAlign w:val="center"/>
          </w:tcPr>
          <w:p>
            <w:pPr>
              <w:widowControl/>
              <w:jc w:val="center"/>
              <w:rPr>
                <w:rFonts w:ascii="宋体" w:hAnsi="宋体" w:eastAsia="宋体" w:cs="宋体"/>
                <w:color w:val="000000"/>
                <w:kern w:val="0"/>
                <w:sz w:val="20"/>
              </w:rPr>
            </w:pPr>
            <w:r>
              <w:rPr>
                <w:rFonts w:hint="eastAsia" w:ascii="宋体" w:hAnsi="宋体" w:eastAsia="宋体" w:cs="宋体"/>
                <w:color w:val="000000"/>
                <w:kern w:val="0"/>
                <w:sz w:val="20"/>
              </w:rPr>
              <w:t>决算数</w:t>
            </w:r>
          </w:p>
        </w:tc>
        <w:tc>
          <w:tcPr>
            <w:tcW w:w="651" w:type="dxa"/>
            <w:tcBorders>
              <w:top w:val="single" w:color="auto" w:sz="8" w:space="0"/>
              <w:left w:val="single" w:color="auto" w:sz="8" w:space="0"/>
              <w:bottom w:val="single" w:color="auto" w:sz="4" w:space="0"/>
              <w:right w:val="single" w:color="auto" w:sz="4" w:space="0"/>
            </w:tcBorders>
            <w:vAlign w:val="center"/>
          </w:tcPr>
          <w:p>
            <w:pPr>
              <w:widowControl/>
              <w:jc w:val="center"/>
              <w:rPr>
                <w:rFonts w:ascii="宋体" w:hAnsi="宋体" w:eastAsia="宋体" w:cs="宋体"/>
                <w:color w:val="000000"/>
                <w:kern w:val="0"/>
                <w:sz w:val="20"/>
              </w:rPr>
            </w:pPr>
            <w:r>
              <w:rPr>
                <w:rFonts w:hint="eastAsia" w:ascii="宋体" w:hAnsi="宋体" w:eastAsia="宋体" w:cs="宋体"/>
                <w:color w:val="0000FF"/>
                <w:kern w:val="0"/>
                <w:sz w:val="20"/>
              </w:rPr>
              <w:t>经济分类</w:t>
            </w:r>
            <w:r>
              <w:rPr>
                <w:rFonts w:hint="eastAsia" w:ascii="宋体" w:hAnsi="宋体" w:eastAsia="宋体" w:cs="宋体"/>
                <w:color w:val="000000"/>
                <w:kern w:val="0"/>
                <w:sz w:val="20"/>
              </w:rPr>
              <w:t>科目编码</w:t>
            </w:r>
          </w:p>
        </w:tc>
        <w:tc>
          <w:tcPr>
            <w:tcW w:w="2301" w:type="dxa"/>
            <w:tcBorders>
              <w:top w:val="single" w:color="auto" w:sz="8" w:space="0"/>
              <w:left w:val="nil"/>
              <w:bottom w:val="single" w:color="auto" w:sz="4" w:space="0"/>
              <w:right w:val="single" w:color="auto" w:sz="4" w:space="0"/>
            </w:tcBorders>
            <w:vAlign w:val="center"/>
          </w:tcPr>
          <w:p>
            <w:pPr>
              <w:widowControl/>
              <w:jc w:val="center"/>
              <w:rPr>
                <w:rFonts w:ascii="宋体" w:hAnsi="宋体" w:eastAsia="宋体" w:cs="宋体"/>
                <w:color w:val="000000"/>
                <w:kern w:val="0"/>
                <w:sz w:val="20"/>
              </w:rPr>
            </w:pPr>
            <w:r>
              <w:rPr>
                <w:rFonts w:hint="eastAsia" w:ascii="宋体" w:hAnsi="宋体" w:eastAsia="宋体" w:cs="宋体"/>
                <w:color w:val="000000"/>
                <w:kern w:val="0"/>
                <w:sz w:val="20"/>
              </w:rPr>
              <w:t>科目名称</w:t>
            </w:r>
          </w:p>
        </w:tc>
        <w:tc>
          <w:tcPr>
            <w:tcW w:w="469" w:type="dxa"/>
            <w:tcBorders>
              <w:top w:val="single" w:color="auto" w:sz="8" w:space="0"/>
              <w:left w:val="nil"/>
              <w:bottom w:val="single" w:color="auto" w:sz="4" w:space="0"/>
              <w:right w:val="single" w:color="auto" w:sz="8" w:space="0"/>
            </w:tcBorders>
            <w:vAlign w:val="center"/>
          </w:tcPr>
          <w:p>
            <w:pPr>
              <w:widowControl/>
              <w:jc w:val="center"/>
              <w:rPr>
                <w:rFonts w:ascii="宋体" w:hAnsi="宋体" w:eastAsia="宋体" w:cs="宋体"/>
                <w:color w:val="000000"/>
                <w:kern w:val="0"/>
                <w:sz w:val="20"/>
              </w:rPr>
            </w:pPr>
            <w:r>
              <w:rPr>
                <w:rFonts w:hint="eastAsia" w:ascii="宋体" w:hAnsi="宋体" w:eastAsia="宋体" w:cs="宋体"/>
                <w:color w:val="000000"/>
                <w:kern w:val="0"/>
                <w:sz w:val="20"/>
              </w:rPr>
              <w:t>决算数</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工资福利支出</w:t>
            </w:r>
          </w:p>
        </w:tc>
        <w:tc>
          <w:tcPr>
            <w:tcW w:w="555" w:type="dxa"/>
            <w:tcBorders>
              <w:top w:val="nil"/>
              <w:left w:val="nil"/>
              <w:bottom w:val="single" w:color="auto" w:sz="4"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417.5</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商品和服务支出</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lang w:val="en-US" w:eastAsia="zh-CN"/>
              </w:rPr>
              <w:t>1536.35</w:t>
            </w: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307</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债务利息及费用支出</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30101</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基本工资</w:t>
            </w:r>
          </w:p>
        </w:tc>
        <w:tc>
          <w:tcPr>
            <w:tcW w:w="555" w:type="dxa"/>
            <w:tcBorders>
              <w:top w:val="nil"/>
              <w:left w:val="nil"/>
              <w:bottom w:val="single" w:color="auto" w:sz="4"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168.23</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30201</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办公费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lang w:val="en-US" w:eastAsia="zh-CN"/>
              </w:rPr>
              <w:t>275</w:t>
            </w: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30701</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国内债务付息</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30102</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津贴补贴</w:t>
            </w:r>
          </w:p>
        </w:tc>
        <w:tc>
          <w:tcPr>
            <w:tcW w:w="555" w:type="dxa"/>
            <w:tcBorders>
              <w:top w:val="nil"/>
              <w:left w:val="nil"/>
              <w:bottom w:val="single" w:color="auto" w:sz="4"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71.85</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30202</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印刷费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lang w:val="en-US" w:eastAsia="zh-CN"/>
              </w:rPr>
              <w:t>110</w:t>
            </w: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30702</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国外债务付息</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30103</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奖金</w:t>
            </w:r>
          </w:p>
        </w:tc>
        <w:tc>
          <w:tcPr>
            <w:tcW w:w="555" w:type="dxa"/>
            <w:tcBorders>
              <w:top w:val="nil"/>
              <w:left w:val="nil"/>
              <w:bottom w:val="single" w:color="auto" w:sz="4"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7.96</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30203</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咨询费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30703</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国内债务发行费用</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30106</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伙食补助费</w:t>
            </w:r>
          </w:p>
        </w:tc>
        <w:tc>
          <w:tcPr>
            <w:tcW w:w="555" w:type="dxa"/>
            <w:tcBorders>
              <w:top w:val="nil"/>
              <w:left w:val="nil"/>
              <w:bottom w:val="single" w:color="auto" w:sz="4"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20.28</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30204</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手续费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30704</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国外债务发行费用</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30107</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绩效工资</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30205</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水费</w:t>
            </w:r>
          </w:p>
        </w:tc>
        <w:tc>
          <w:tcPr>
            <w:tcW w:w="536" w:type="dxa"/>
            <w:tcBorders>
              <w:top w:val="nil"/>
              <w:left w:val="nil"/>
              <w:bottom w:val="single" w:color="auto" w:sz="4"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lang w:val="en-US" w:eastAsia="zh-CN"/>
              </w:rPr>
              <w:t>27</w:t>
            </w:r>
          </w:p>
        </w:tc>
        <w:tc>
          <w:tcPr>
            <w:tcW w:w="651" w:type="dxa"/>
            <w:tcBorders>
              <w:top w:val="nil"/>
              <w:left w:val="nil"/>
              <w:bottom w:val="single" w:color="auto" w:sz="4" w:space="0"/>
              <w:right w:val="single" w:color="auto" w:sz="4" w:space="0"/>
            </w:tcBorders>
            <w:vAlign w:val="center"/>
          </w:tcPr>
          <w:p>
            <w:pPr>
              <w:widowControl/>
              <w:jc w:val="left"/>
              <w:rPr>
                <w:rFonts w:hint="default" w:ascii="宋体" w:hAnsi="宋体" w:eastAsia="宋体" w:cs="宋体"/>
                <w:color w:val="000000"/>
                <w:kern w:val="0"/>
                <w:sz w:val="18"/>
                <w:szCs w:val="18"/>
                <w:lang w:val="en-US"/>
              </w:rPr>
            </w:pP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资本性支出</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30108</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机关事业单位基本养老保险费</w:t>
            </w:r>
          </w:p>
        </w:tc>
        <w:tc>
          <w:tcPr>
            <w:tcW w:w="555" w:type="dxa"/>
            <w:tcBorders>
              <w:top w:val="nil"/>
              <w:left w:val="nil"/>
              <w:bottom w:val="single" w:color="auto" w:sz="4"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26.94</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30206</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电费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lang w:val="en-US" w:eastAsia="zh-CN"/>
              </w:rPr>
              <w:t>75</w:t>
            </w: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31001</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房屋建筑物购建</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30109</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职业年金缴费</w:t>
            </w:r>
          </w:p>
        </w:tc>
        <w:tc>
          <w:tcPr>
            <w:tcW w:w="555" w:type="dxa"/>
            <w:tcBorders>
              <w:top w:val="nil"/>
              <w:left w:val="nil"/>
              <w:bottom w:val="single" w:color="auto" w:sz="4"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1.82</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30207</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邮电费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31002</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办公设备购置</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30110</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职工基本医疗保险缴费</w:t>
            </w:r>
          </w:p>
        </w:tc>
        <w:tc>
          <w:tcPr>
            <w:tcW w:w="555" w:type="dxa"/>
            <w:tcBorders>
              <w:top w:val="nil"/>
              <w:left w:val="nil"/>
              <w:bottom w:val="single" w:color="auto" w:sz="4"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11.75</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30208</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取暖费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31003</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专用设备购置</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30111</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公务员医疗补助缴费</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30209</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物业管理费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31005</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基础设施建设</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30112</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其他社会保障缴费</w:t>
            </w:r>
          </w:p>
        </w:tc>
        <w:tc>
          <w:tcPr>
            <w:tcW w:w="555" w:type="dxa"/>
            <w:tcBorders>
              <w:top w:val="nil"/>
              <w:left w:val="nil"/>
              <w:bottom w:val="single" w:color="auto" w:sz="4"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6.13</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30211</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差旅费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lang w:val="en-US" w:eastAsia="zh-CN"/>
              </w:rPr>
              <w:t>115</w:t>
            </w: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31006</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大型修缮</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30113</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住房公积金</w:t>
            </w:r>
          </w:p>
        </w:tc>
        <w:tc>
          <w:tcPr>
            <w:tcW w:w="555" w:type="dxa"/>
            <w:tcBorders>
              <w:top w:val="nil"/>
              <w:left w:val="nil"/>
              <w:bottom w:val="single" w:color="auto" w:sz="4"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87.55</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30212</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因公出国（境）费用</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31007</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信息网络及软件购置更新</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30114</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医疗费</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30213</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维修（护）费</w:t>
            </w:r>
          </w:p>
        </w:tc>
        <w:tc>
          <w:tcPr>
            <w:tcW w:w="536" w:type="dxa"/>
            <w:tcBorders>
              <w:top w:val="nil"/>
              <w:left w:val="nil"/>
              <w:bottom w:val="single" w:color="auto" w:sz="4"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125</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31008</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物资储备</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30199</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其他工资福利支出</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lang w:val="en-US" w:eastAsia="zh-CN"/>
              </w:rPr>
              <w:t>15</w:t>
            </w: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30214</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租赁费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31009</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土地补偿</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对个人和家庭的补助</w:t>
            </w:r>
          </w:p>
        </w:tc>
        <w:tc>
          <w:tcPr>
            <w:tcW w:w="555" w:type="dxa"/>
            <w:tcBorders>
              <w:top w:val="nil"/>
              <w:left w:val="nil"/>
              <w:bottom w:val="single" w:color="auto" w:sz="4"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535</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30215</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会议费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lang w:val="en-US" w:eastAsia="zh-CN"/>
              </w:rPr>
              <w:t>20</w:t>
            </w: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31010</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安置补助</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30301</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离休费</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30216</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培训费</w:t>
            </w:r>
          </w:p>
        </w:tc>
        <w:tc>
          <w:tcPr>
            <w:tcW w:w="536" w:type="dxa"/>
            <w:tcBorders>
              <w:top w:val="nil"/>
              <w:left w:val="nil"/>
              <w:bottom w:val="single" w:color="auto" w:sz="4"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10</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31011</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地上附着物和青苗补偿</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30302</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退休费</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30217</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公务接待费</w:t>
            </w:r>
          </w:p>
        </w:tc>
        <w:tc>
          <w:tcPr>
            <w:tcW w:w="536" w:type="dxa"/>
            <w:tcBorders>
              <w:top w:val="nil"/>
              <w:left w:val="nil"/>
              <w:bottom w:val="single" w:color="auto" w:sz="4"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25.44</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31012</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拆迁补偿</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30303</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退职（役）费</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30218</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专用材料费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31013</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公务用车购置</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30304</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抚恤金</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30224</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被装购置费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31019</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其他交通工具购置</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30305</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生活补助</w:t>
            </w:r>
          </w:p>
        </w:tc>
        <w:tc>
          <w:tcPr>
            <w:tcW w:w="555" w:type="dxa"/>
            <w:tcBorders>
              <w:top w:val="nil"/>
              <w:left w:val="nil"/>
              <w:bottom w:val="single" w:color="auto" w:sz="4"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535</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30225</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专用燃料费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31021</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文物和陈列品购置</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30306</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救济费</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30226</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劳务费</w:t>
            </w:r>
          </w:p>
        </w:tc>
        <w:tc>
          <w:tcPr>
            <w:tcW w:w="536" w:type="dxa"/>
            <w:tcBorders>
              <w:top w:val="nil"/>
              <w:left w:val="nil"/>
              <w:bottom w:val="single" w:color="auto" w:sz="4"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475</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31022</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无形资产购置</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30307</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医疗费补助</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30227</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委托业务费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31099</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其他资本性支出</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30308</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助学金</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30228</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工会经费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312</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对企业补助</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lang w:val="en-US" w:eastAsia="zh-CN"/>
              </w:rPr>
              <w:t>100</w:t>
            </w: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30309</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奖励金</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30229</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福利费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31201</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资本金注入</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30310</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个人农业生产补贴</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30231</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公务用车运行维护费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lang w:val="en-US" w:eastAsia="zh-CN"/>
              </w:rPr>
              <w:t>5.91</w:t>
            </w: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31203</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政府投资基金股权投资</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30311</w:t>
            </w:r>
          </w:p>
        </w:tc>
        <w:tc>
          <w:tcPr>
            <w:tcW w:w="2266" w:type="dxa"/>
            <w:tcBorders>
              <w:top w:val="nil"/>
              <w:left w:val="nil"/>
              <w:bottom w:val="single" w:color="auto" w:sz="4" w:space="0"/>
              <w:right w:val="single" w:color="auto" w:sz="4" w:space="0"/>
            </w:tcBorders>
            <w:vAlign w:val="center"/>
          </w:tcPr>
          <w:p>
            <w:pPr>
              <w:widowControl/>
              <w:jc w:val="left"/>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代缴社会保险费</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30239</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其他交通费用</w:t>
            </w:r>
          </w:p>
        </w:tc>
        <w:tc>
          <w:tcPr>
            <w:tcW w:w="536" w:type="dxa"/>
            <w:tcBorders>
              <w:top w:val="nil"/>
              <w:left w:val="nil"/>
              <w:bottom w:val="single" w:color="auto" w:sz="4"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100</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31204</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费用补贴</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lang w:val="en-US" w:eastAsia="zh-CN"/>
              </w:rPr>
              <w:t>100</w:t>
            </w: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30399</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对其他个人和家庭的补助支出</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30240</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税金及附加费用</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31205</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利息补贴</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30299</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其他商品和服务支出</w:t>
            </w:r>
          </w:p>
        </w:tc>
        <w:tc>
          <w:tcPr>
            <w:tcW w:w="536" w:type="dxa"/>
            <w:tcBorders>
              <w:top w:val="nil"/>
              <w:left w:val="nil"/>
              <w:bottom w:val="single" w:color="auto" w:sz="4"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173</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31299</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其他对企业补助</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399</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其他支出</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39906</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赠与</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39907</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国家赔偿费用支出</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39908</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对民间非营利组织和群众性自治组织补贴</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trHeight w:val="222" w:hRule="atLeast"/>
        </w:trPr>
        <w:tc>
          <w:tcPr>
            <w:tcW w:w="2917" w:type="dxa"/>
            <w:gridSpan w:val="2"/>
            <w:tcBorders>
              <w:top w:val="single" w:color="auto" w:sz="4" w:space="0"/>
              <w:left w:val="single" w:color="auto" w:sz="8" w:space="0"/>
              <w:bottom w:val="single" w:color="auto" w:sz="4" w:space="0"/>
              <w:right w:val="single" w:color="auto" w:sz="4" w:space="0"/>
            </w:tcBorders>
            <w:vAlign w:val="center"/>
          </w:tcPr>
          <w:p>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39999</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其他支出</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p>
        </w:tc>
        <w:tc>
          <w:tcPr>
            <w:tcW w:w="469" w:type="dxa"/>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2917" w:type="dxa"/>
            <w:gridSpan w:val="2"/>
            <w:tcBorders>
              <w:top w:val="single" w:color="auto" w:sz="4" w:space="0"/>
              <w:left w:val="single" w:color="auto" w:sz="8" w:space="0"/>
              <w:bottom w:val="single" w:color="auto" w:sz="8" w:space="0"/>
              <w:right w:val="single" w:color="auto" w:sz="4" w:space="0"/>
            </w:tcBorders>
            <w:vAlign w:val="center"/>
          </w:tcPr>
          <w:p>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人员经费合计</w:t>
            </w:r>
          </w:p>
        </w:tc>
        <w:tc>
          <w:tcPr>
            <w:tcW w:w="555" w:type="dxa"/>
            <w:tcBorders>
              <w:top w:val="nil"/>
              <w:left w:val="nil"/>
              <w:bottom w:val="single" w:color="auto" w:sz="8"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952.51</w:t>
            </w:r>
          </w:p>
        </w:tc>
        <w:tc>
          <w:tcPr>
            <w:tcW w:w="5777" w:type="dxa"/>
            <w:gridSpan w:val="5"/>
            <w:tcBorders>
              <w:top w:val="single" w:color="auto" w:sz="4" w:space="0"/>
              <w:left w:val="nil"/>
              <w:bottom w:val="single" w:color="auto" w:sz="8" w:space="0"/>
              <w:right w:val="single" w:color="auto" w:sz="4" w:space="0"/>
            </w:tcBorders>
            <w:vAlign w:val="center"/>
          </w:tcPr>
          <w:p>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公用经费合计</w:t>
            </w:r>
          </w:p>
        </w:tc>
        <w:tc>
          <w:tcPr>
            <w:tcW w:w="469" w:type="dxa"/>
            <w:tcBorders>
              <w:top w:val="nil"/>
              <w:left w:val="nil"/>
              <w:bottom w:val="single" w:color="auto" w:sz="8" w:space="0"/>
              <w:right w:val="single" w:color="auto" w:sz="8"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1636.35</w:t>
            </w:r>
          </w:p>
        </w:tc>
      </w:tr>
    </w:tbl>
    <w:p>
      <w:pPr>
        <w:rPr>
          <w:rFonts w:hint="eastAsia" w:ascii="黑体" w:hAnsi="黑体" w:eastAsia="黑体"/>
          <w:szCs w:val="32"/>
        </w:rPr>
      </w:pPr>
    </w:p>
    <w:p>
      <w:pPr>
        <w:jc w:val="center"/>
        <w:rPr>
          <w:rFonts w:ascii="黑体" w:hAnsi="黑体" w:eastAsia="黑体"/>
          <w:szCs w:val="32"/>
        </w:rPr>
      </w:pPr>
    </w:p>
    <w:p>
      <w:pPr>
        <w:jc w:val="center"/>
        <w:rPr>
          <w:rFonts w:ascii="黑体" w:hAnsi="黑体" w:eastAsia="黑体"/>
          <w:szCs w:val="32"/>
        </w:rPr>
      </w:pPr>
    </w:p>
    <w:p>
      <w:pPr>
        <w:jc w:val="center"/>
        <w:rPr>
          <w:rFonts w:ascii="黑体" w:hAnsi="黑体" w:eastAsia="黑体"/>
          <w:szCs w:val="32"/>
        </w:rPr>
      </w:pPr>
    </w:p>
    <w:p>
      <w:pPr>
        <w:jc w:val="center"/>
        <w:rPr>
          <w:rFonts w:ascii="黑体" w:hAnsi="黑体" w:eastAsia="黑体"/>
          <w:szCs w:val="32"/>
        </w:rPr>
      </w:pPr>
    </w:p>
    <w:p>
      <w:pPr>
        <w:jc w:val="center"/>
        <w:rPr>
          <w:rFonts w:ascii="黑体" w:hAnsi="黑体" w:eastAsia="黑体"/>
          <w:szCs w:val="32"/>
        </w:rPr>
      </w:pPr>
    </w:p>
    <w:p>
      <w:pPr>
        <w:jc w:val="center"/>
        <w:rPr>
          <w:rFonts w:ascii="黑体" w:hAnsi="黑体" w:eastAsia="黑体"/>
          <w:szCs w:val="32"/>
        </w:rPr>
      </w:pPr>
    </w:p>
    <w:p>
      <w:pPr>
        <w:jc w:val="center"/>
        <w:rPr>
          <w:rFonts w:hint="eastAsia" w:ascii="黑体" w:hAnsi="黑体" w:eastAsia="黑体"/>
          <w:szCs w:val="32"/>
        </w:rPr>
      </w:pPr>
      <w:r>
        <w:rPr>
          <w:rFonts w:hint="eastAsia" w:ascii="黑体" w:hAnsi="黑体" w:eastAsia="黑体"/>
          <w:szCs w:val="32"/>
        </w:rPr>
        <w:t>政府性基金预算财政拨款收入支出决算表</w:t>
      </w:r>
    </w:p>
    <w:p>
      <w:pPr>
        <w:jc w:val="right"/>
        <w:rPr>
          <w:rFonts w:hint="eastAsia" w:ascii="黑体" w:hAnsi="黑体" w:eastAsia="黑体"/>
          <w:sz w:val="20"/>
        </w:rPr>
      </w:pPr>
      <w:r>
        <w:rPr>
          <w:rFonts w:hint="eastAsia" w:ascii="黑体" w:hAnsi="黑体" w:eastAsia="黑体"/>
          <w:sz w:val="20"/>
        </w:rPr>
        <w:t xml:space="preserve">                                                                                  </w:t>
      </w:r>
      <w:r>
        <w:rPr>
          <w:rFonts w:hint="eastAsia" w:ascii="宋体" w:hAnsi="宋体" w:eastAsia="宋体" w:cs="宋体"/>
          <w:color w:val="000000"/>
          <w:kern w:val="0"/>
          <w:sz w:val="20"/>
        </w:rPr>
        <w:t>公开07表</w:t>
      </w:r>
    </w:p>
    <w:tbl>
      <w:tblPr>
        <w:tblStyle w:val="7"/>
        <w:tblW w:w="0" w:type="auto"/>
        <w:tblInd w:w="93" w:type="dxa"/>
        <w:tblLayout w:type="fixed"/>
        <w:tblCellMar>
          <w:top w:w="0" w:type="dxa"/>
          <w:left w:w="108" w:type="dxa"/>
          <w:bottom w:w="0" w:type="dxa"/>
          <w:right w:w="108" w:type="dxa"/>
        </w:tblCellMar>
      </w:tblPr>
      <w:tblGrid>
        <w:gridCol w:w="430"/>
        <w:gridCol w:w="430"/>
        <w:gridCol w:w="430"/>
        <w:gridCol w:w="540"/>
        <w:gridCol w:w="460"/>
        <w:gridCol w:w="580"/>
        <w:gridCol w:w="640"/>
        <w:gridCol w:w="480"/>
        <w:gridCol w:w="430"/>
        <w:gridCol w:w="430"/>
        <w:gridCol w:w="430"/>
        <w:gridCol w:w="430"/>
        <w:gridCol w:w="430"/>
        <w:gridCol w:w="460"/>
        <w:gridCol w:w="820"/>
        <w:gridCol w:w="880"/>
        <w:gridCol w:w="880"/>
      </w:tblGrid>
      <w:tr>
        <w:tblPrEx>
          <w:tblCellMar>
            <w:top w:w="0" w:type="dxa"/>
            <w:left w:w="108" w:type="dxa"/>
            <w:bottom w:w="0" w:type="dxa"/>
            <w:right w:w="108" w:type="dxa"/>
          </w:tblCellMar>
        </w:tblPrEx>
        <w:trPr>
          <w:trHeight w:val="255" w:hRule="atLeast"/>
        </w:trPr>
        <w:tc>
          <w:tcPr>
            <w:tcW w:w="860" w:type="dxa"/>
            <w:gridSpan w:val="2"/>
            <w:tcBorders>
              <w:top w:val="nil"/>
              <w:left w:val="nil"/>
              <w:bottom w:val="nil"/>
              <w:right w:val="nil"/>
            </w:tcBorders>
            <w:vAlign w:val="bottom"/>
          </w:tcPr>
          <w:p>
            <w:pPr>
              <w:widowControl/>
              <w:jc w:val="left"/>
              <w:rPr>
                <w:rFonts w:ascii="宋体" w:hAnsi="宋体" w:eastAsia="宋体" w:cs="Arial"/>
                <w:color w:val="000000"/>
                <w:kern w:val="0"/>
                <w:sz w:val="20"/>
              </w:rPr>
            </w:pPr>
            <w:r>
              <w:rPr>
                <w:rFonts w:hint="eastAsia" w:ascii="宋体" w:hAnsi="宋体" w:eastAsia="宋体" w:cs="Arial"/>
                <w:color w:val="000000"/>
                <w:kern w:val="0"/>
                <w:sz w:val="20"/>
              </w:rPr>
              <w:t>部门：</w:t>
            </w:r>
          </w:p>
        </w:tc>
        <w:tc>
          <w:tcPr>
            <w:tcW w:w="43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54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46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58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64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48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43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43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43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43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43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46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82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1760" w:type="dxa"/>
            <w:gridSpan w:val="2"/>
            <w:tcBorders>
              <w:top w:val="nil"/>
              <w:left w:val="nil"/>
              <w:bottom w:val="nil"/>
              <w:right w:val="nil"/>
            </w:tcBorders>
            <w:vAlign w:val="bottom"/>
          </w:tcPr>
          <w:p>
            <w:pPr>
              <w:widowControl/>
              <w:jc w:val="right"/>
              <w:rPr>
                <w:rFonts w:ascii="宋体" w:hAnsi="宋体" w:eastAsia="宋体" w:cs="Arial"/>
                <w:color w:val="000000"/>
                <w:kern w:val="0"/>
                <w:sz w:val="20"/>
              </w:rPr>
            </w:pPr>
            <w:r>
              <w:rPr>
                <w:rFonts w:hint="eastAsia" w:ascii="宋体" w:hAnsi="宋体" w:eastAsia="宋体" w:cs="Arial"/>
                <w:color w:val="000000"/>
                <w:kern w:val="0"/>
                <w:sz w:val="20"/>
              </w:rPr>
              <w:t>单位：万元</w:t>
            </w:r>
          </w:p>
        </w:tc>
      </w:tr>
      <w:tr>
        <w:tblPrEx>
          <w:tblCellMar>
            <w:top w:w="0" w:type="dxa"/>
            <w:left w:w="108" w:type="dxa"/>
            <w:bottom w:w="0" w:type="dxa"/>
            <w:right w:w="108" w:type="dxa"/>
          </w:tblCellMar>
        </w:tblPrEx>
        <w:trPr>
          <w:trHeight w:val="465" w:hRule="atLeast"/>
        </w:trPr>
        <w:tc>
          <w:tcPr>
            <w:tcW w:w="1290" w:type="dxa"/>
            <w:gridSpan w:val="3"/>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Arial"/>
                <w:color w:val="0000FF"/>
                <w:kern w:val="0"/>
                <w:sz w:val="22"/>
                <w:szCs w:val="22"/>
              </w:rPr>
            </w:pPr>
            <w:r>
              <w:rPr>
                <w:rFonts w:hint="eastAsia" w:ascii="宋体" w:hAnsi="宋体" w:eastAsia="宋体" w:cs="Arial"/>
                <w:color w:val="0000FF"/>
                <w:kern w:val="0"/>
                <w:sz w:val="22"/>
                <w:szCs w:val="22"/>
              </w:rPr>
              <w:t>功能分类</w:t>
            </w:r>
          </w:p>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科目编码</w:t>
            </w:r>
          </w:p>
        </w:tc>
        <w:tc>
          <w:tcPr>
            <w:tcW w:w="540" w:type="dxa"/>
            <w:vMerge w:val="restart"/>
            <w:tcBorders>
              <w:top w:val="single" w:color="000000" w:sz="4" w:space="0"/>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科目名称</w:t>
            </w:r>
          </w:p>
        </w:tc>
        <w:tc>
          <w:tcPr>
            <w:tcW w:w="1680" w:type="dxa"/>
            <w:gridSpan w:val="3"/>
            <w:tcBorders>
              <w:top w:val="single" w:color="000000" w:sz="4" w:space="0"/>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年初结转和结余</w:t>
            </w:r>
          </w:p>
        </w:tc>
        <w:tc>
          <w:tcPr>
            <w:tcW w:w="1340" w:type="dxa"/>
            <w:gridSpan w:val="3"/>
            <w:tcBorders>
              <w:top w:val="single" w:color="000000" w:sz="4" w:space="0"/>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本年收入</w:t>
            </w:r>
          </w:p>
        </w:tc>
        <w:tc>
          <w:tcPr>
            <w:tcW w:w="1290" w:type="dxa"/>
            <w:gridSpan w:val="3"/>
            <w:tcBorders>
              <w:top w:val="single" w:color="000000" w:sz="4" w:space="0"/>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本年支出</w:t>
            </w:r>
          </w:p>
        </w:tc>
        <w:tc>
          <w:tcPr>
            <w:tcW w:w="3040" w:type="dxa"/>
            <w:gridSpan w:val="4"/>
            <w:tcBorders>
              <w:top w:val="single" w:color="000000" w:sz="4" w:space="0"/>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年末结转和结余</w:t>
            </w:r>
          </w:p>
        </w:tc>
      </w:tr>
      <w:tr>
        <w:tblPrEx>
          <w:tblCellMar>
            <w:top w:w="0" w:type="dxa"/>
            <w:left w:w="108" w:type="dxa"/>
            <w:bottom w:w="0" w:type="dxa"/>
            <w:right w:w="108" w:type="dxa"/>
          </w:tblCellMar>
        </w:tblPrEx>
        <w:trPr>
          <w:trHeight w:val="615" w:hRule="atLeast"/>
        </w:trPr>
        <w:tc>
          <w:tcPr>
            <w:tcW w:w="1290" w:type="dxa"/>
            <w:gridSpan w:val="3"/>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540" w:type="dxa"/>
            <w:vMerge w:val="continue"/>
            <w:tcBorders>
              <w:top w:val="single" w:color="000000" w:sz="4" w:space="0"/>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6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合计</w:t>
            </w:r>
          </w:p>
        </w:tc>
        <w:tc>
          <w:tcPr>
            <w:tcW w:w="58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基本支出结转</w:t>
            </w:r>
          </w:p>
        </w:tc>
        <w:tc>
          <w:tcPr>
            <w:tcW w:w="64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项目支出结转和结余</w:t>
            </w:r>
          </w:p>
        </w:tc>
        <w:tc>
          <w:tcPr>
            <w:tcW w:w="48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合计</w:t>
            </w:r>
          </w:p>
        </w:tc>
        <w:tc>
          <w:tcPr>
            <w:tcW w:w="43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基本支出</w:t>
            </w:r>
          </w:p>
        </w:tc>
        <w:tc>
          <w:tcPr>
            <w:tcW w:w="43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项目支出</w:t>
            </w:r>
          </w:p>
        </w:tc>
        <w:tc>
          <w:tcPr>
            <w:tcW w:w="43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合计</w:t>
            </w:r>
          </w:p>
        </w:tc>
        <w:tc>
          <w:tcPr>
            <w:tcW w:w="43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基本支出</w:t>
            </w:r>
          </w:p>
        </w:tc>
        <w:tc>
          <w:tcPr>
            <w:tcW w:w="43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项目支出</w:t>
            </w:r>
          </w:p>
        </w:tc>
        <w:tc>
          <w:tcPr>
            <w:tcW w:w="46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合计</w:t>
            </w:r>
          </w:p>
        </w:tc>
        <w:tc>
          <w:tcPr>
            <w:tcW w:w="82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基本支出结转</w:t>
            </w:r>
          </w:p>
        </w:tc>
        <w:tc>
          <w:tcPr>
            <w:tcW w:w="1760" w:type="dxa"/>
            <w:gridSpan w:val="2"/>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项目支出结转和结余</w:t>
            </w:r>
          </w:p>
        </w:tc>
      </w:tr>
      <w:tr>
        <w:tblPrEx>
          <w:tblCellMar>
            <w:top w:w="0" w:type="dxa"/>
            <w:left w:w="108" w:type="dxa"/>
            <w:bottom w:w="0" w:type="dxa"/>
            <w:right w:w="108" w:type="dxa"/>
          </w:tblCellMar>
        </w:tblPrEx>
        <w:trPr>
          <w:trHeight w:val="312" w:hRule="atLeast"/>
        </w:trPr>
        <w:tc>
          <w:tcPr>
            <w:tcW w:w="1290" w:type="dxa"/>
            <w:gridSpan w:val="3"/>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540" w:type="dxa"/>
            <w:vMerge w:val="continue"/>
            <w:tcBorders>
              <w:top w:val="single" w:color="000000" w:sz="4" w:space="0"/>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6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58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64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8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3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3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3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3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3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6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82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88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项目支出结转</w:t>
            </w:r>
          </w:p>
        </w:tc>
        <w:tc>
          <w:tcPr>
            <w:tcW w:w="88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项目支出结余</w:t>
            </w:r>
          </w:p>
        </w:tc>
      </w:tr>
      <w:tr>
        <w:tblPrEx>
          <w:tblCellMar>
            <w:top w:w="0" w:type="dxa"/>
            <w:left w:w="108" w:type="dxa"/>
            <w:bottom w:w="0" w:type="dxa"/>
            <w:right w:w="108" w:type="dxa"/>
          </w:tblCellMar>
        </w:tblPrEx>
        <w:trPr>
          <w:trHeight w:val="615" w:hRule="atLeast"/>
        </w:trPr>
        <w:tc>
          <w:tcPr>
            <w:tcW w:w="1290" w:type="dxa"/>
            <w:gridSpan w:val="3"/>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540" w:type="dxa"/>
            <w:vMerge w:val="continue"/>
            <w:tcBorders>
              <w:top w:val="single" w:color="000000" w:sz="4" w:space="0"/>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6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58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64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8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3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3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3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3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3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6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82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88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88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r>
      <w:tr>
        <w:tblPrEx>
          <w:tblCellMar>
            <w:top w:w="0" w:type="dxa"/>
            <w:left w:w="108" w:type="dxa"/>
            <w:bottom w:w="0" w:type="dxa"/>
            <w:right w:w="108" w:type="dxa"/>
          </w:tblCellMar>
        </w:tblPrEx>
        <w:trPr>
          <w:trHeight w:val="308" w:hRule="atLeast"/>
        </w:trPr>
        <w:tc>
          <w:tcPr>
            <w:tcW w:w="4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Arial"/>
                <w:color w:val="000000"/>
                <w:kern w:val="0"/>
                <w:sz w:val="22"/>
                <w:szCs w:val="22"/>
              </w:rPr>
            </w:pPr>
            <w:r>
              <w:rPr>
                <w:rFonts w:hint="eastAsia" w:ascii="宋体" w:hAnsi="宋体" w:eastAsia="宋体" w:cs="Arial"/>
                <w:color w:val="000000"/>
                <w:kern w:val="0"/>
                <w:sz w:val="22"/>
                <w:szCs w:val="22"/>
              </w:rPr>
              <w:t>类</w:t>
            </w:r>
          </w:p>
        </w:tc>
        <w:tc>
          <w:tcPr>
            <w:tcW w:w="430" w:type="dxa"/>
            <w:tcBorders>
              <w:top w:val="single" w:color="auto" w:sz="4" w:space="0"/>
              <w:left w:val="nil"/>
              <w:bottom w:val="single" w:color="auto" w:sz="4" w:space="0"/>
              <w:right w:val="single" w:color="auto" w:sz="4" w:space="0"/>
            </w:tcBorders>
            <w:vAlign w:val="center"/>
          </w:tcPr>
          <w:p>
            <w:pPr>
              <w:widowControl/>
              <w:jc w:val="left"/>
              <w:rPr>
                <w:rFonts w:ascii="宋体" w:hAnsi="宋体" w:eastAsia="宋体" w:cs="Arial"/>
                <w:color w:val="000000"/>
                <w:kern w:val="0"/>
                <w:sz w:val="22"/>
                <w:szCs w:val="22"/>
              </w:rPr>
            </w:pPr>
            <w:r>
              <w:rPr>
                <w:rFonts w:hint="eastAsia" w:ascii="宋体" w:hAnsi="宋体" w:eastAsia="宋体" w:cs="Arial"/>
                <w:color w:val="000000"/>
                <w:kern w:val="0"/>
                <w:sz w:val="22"/>
                <w:szCs w:val="22"/>
              </w:rPr>
              <w:t>款</w:t>
            </w:r>
          </w:p>
        </w:tc>
        <w:tc>
          <w:tcPr>
            <w:tcW w:w="430" w:type="dxa"/>
            <w:tcBorders>
              <w:top w:val="single" w:color="auto" w:sz="4" w:space="0"/>
              <w:left w:val="nil"/>
              <w:bottom w:val="single" w:color="auto" w:sz="4" w:space="0"/>
              <w:right w:val="single" w:color="auto" w:sz="4" w:space="0"/>
            </w:tcBorders>
            <w:vAlign w:val="center"/>
          </w:tcPr>
          <w:p>
            <w:pPr>
              <w:widowControl/>
              <w:jc w:val="left"/>
              <w:rPr>
                <w:rFonts w:ascii="宋体" w:hAnsi="宋体" w:eastAsia="宋体" w:cs="Arial"/>
                <w:color w:val="000000"/>
                <w:kern w:val="0"/>
                <w:sz w:val="22"/>
                <w:szCs w:val="22"/>
              </w:rPr>
            </w:pPr>
            <w:r>
              <w:rPr>
                <w:rFonts w:hint="eastAsia" w:ascii="宋体" w:hAnsi="宋体" w:eastAsia="宋体" w:cs="Arial"/>
                <w:color w:val="000000"/>
                <w:kern w:val="0"/>
                <w:sz w:val="22"/>
                <w:szCs w:val="22"/>
              </w:rPr>
              <w:t>项</w:t>
            </w:r>
          </w:p>
        </w:tc>
        <w:tc>
          <w:tcPr>
            <w:tcW w:w="540" w:type="dxa"/>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合计</w:t>
            </w:r>
          </w:p>
        </w:tc>
        <w:tc>
          <w:tcPr>
            <w:tcW w:w="46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58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64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48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46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82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88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88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r>
      <w:tr>
        <w:tblPrEx>
          <w:tblCellMar>
            <w:top w:w="0" w:type="dxa"/>
            <w:left w:w="108" w:type="dxa"/>
            <w:bottom w:w="0" w:type="dxa"/>
            <w:right w:w="108" w:type="dxa"/>
          </w:tblCellMar>
        </w:tblPrEx>
        <w:trPr>
          <w:trHeight w:val="500" w:hRule="atLeast"/>
        </w:trPr>
        <w:tc>
          <w:tcPr>
            <w:tcW w:w="1290" w:type="dxa"/>
            <w:gridSpan w:val="3"/>
            <w:tcBorders>
              <w:top w:val="nil"/>
              <w:left w:val="single" w:color="000000" w:sz="4" w:space="0"/>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540" w:type="dxa"/>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6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5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64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6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82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8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8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r>
      <w:tr>
        <w:tblPrEx>
          <w:tblCellMar>
            <w:top w:w="0" w:type="dxa"/>
            <w:left w:w="108" w:type="dxa"/>
            <w:bottom w:w="0" w:type="dxa"/>
            <w:right w:w="108" w:type="dxa"/>
          </w:tblCellMar>
        </w:tblPrEx>
        <w:trPr>
          <w:trHeight w:val="550" w:hRule="atLeast"/>
        </w:trPr>
        <w:tc>
          <w:tcPr>
            <w:tcW w:w="1290" w:type="dxa"/>
            <w:gridSpan w:val="3"/>
            <w:tcBorders>
              <w:top w:val="nil"/>
              <w:left w:val="single" w:color="000000" w:sz="4" w:space="0"/>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540" w:type="dxa"/>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6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5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64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6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82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8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8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r>
      <w:tr>
        <w:tblPrEx>
          <w:tblCellMar>
            <w:top w:w="0" w:type="dxa"/>
            <w:left w:w="108" w:type="dxa"/>
            <w:bottom w:w="0" w:type="dxa"/>
            <w:right w:w="108" w:type="dxa"/>
          </w:tblCellMar>
        </w:tblPrEx>
        <w:trPr>
          <w:trHeight w:val="559" w:hRule="atLeast"/>
        </w:trPr>
        <w:tc>
          <w:tcPr>
            <w:tcW w:w="1290" w:type="dxa"/>
            <w:gridSpan w:val="3"/>
            <w:tcBorders>
              <w:top w:val="nil"/>
              <w:left w:val="single" w:color="000000" w:sz="4" w:space="0"/>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540" w:type="dxa"/>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6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5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64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6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82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8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8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r>
    </w:tbl>
    <w:p>
      <w:pPr>
        <w:rPr>
          <w:rFonts w:hint="eastAsia" w:ascii="黑体" w:hAnsi="黑体" w:eastAsia="黑体"/>
          <w:sz w:val="20"/>
        </w:rPr>
      </w:pPr>
    </w:p>
    <w:p>
      <w:pPr>
        <w:jc w:val="center"/>
        <w:rPr>
          <w:rFonts w:hint="eastAsia" w:ascii="黑体" w:hAnsi="黑体" w:eastAsia="黑体"/>
          <w:szCs w:val="32"/>
        </w:rPr>
      </w:pPr>
    </w:p>
    <w:p>
      <w:pPr>
        <w:rPr>
          <w:rFonts w:hint="eastAsia" w:eastAsia="楷体_GB2312"/>
          <w:sz w:val="20"/>
          <w:lang w:eastAsia="zh-CN"/>
        </w:rPr>
      </w:pPr>
      <w:r>
        <w:rPr>
          <w:rFonts w:hint="eastAsia"/>
          <w:szCs w:val="32"/>
          <w:lang w:eastAsia="zh-CN"/>
        </w:rPr>
        <w:t>池州市贵池区人民政府墩上街道办事处（本级）</w:t>
      </w:r>
      <w:r>
        <w:rPr>
          <w:szCs w:val="32"/>
        </w:rPr>
        <w:t>没有政府性基金收入，也没有使用政府性基金安排的支出，故本表无数据</w:t>
      </w:r>
      <w:r>
        <w:rPr>
          <w:rFonts w:hint="eastAsia"/>
          <w:szCs w:val="32"/>
          <w:lang w:eastAsia="zh-CN"/>
        </w:rPr>
        <w:t>。</w:t>
      </w:r>
    </w:p>
    <w:p>
      <w:pPr>
        <w:jc w:val="left"/>
        <w:rPr>
          <w:rFonts w:hint="eastAsia" w:ascii="黑体" w:hAnsi="黑体" w:eastAsia="黑体"/>
          <w:szCs w:val="32"/>
        </w:rPr>
      </w:pPr>
    </w:p>
    <w:p>
      <w:pPr>
        <w:jc w:val="center"/>
        <w:rPr>
          <w:rFonts w:hint="eastAsia" w:ascii="黑体" w:hAnsi="黑体" w:eastAsia="黑体"/>
          <w:szCs w:val="32"/>
        </w:rPr>
      </w:pPr>
    </w:p>
    <w:p>
      <w:pPr>
        <w:jc w:val="center"/>
        <w:rPr>
          <w:rFonts w:hint="eastAsia" w:ascii="黑体" w:hAnsi="黑体" w:eastAsia="黑体"/>
          <w:szCs w:val="32"/>
        </w:rPr>
      </w:pPr>
    </w:p>
    <w:p>
      <w:pPr>
        <w:jc w:val="center"/>
        <w:rPr>
          <w:rFonts w:hint="eastAsia" w:ascii="黑体" w:hAnsi="黑体" w:eastAsia="黑体"/>
          <w:szCs w:val="32"/>
        </w:rPr>
      </w:pPr>
    </w:p>
    <w:p>
      <w:pPr>
        <w:jc w:val="center"/>
        <w:rPr>
          <w:rFonts w:hint="eastAsia" w:ascii="黑体" w:hAnsi="黑体" w:eastAsia="黑体"/>
          <w:szCs w:val="32"/>
        </w:rPr>
      </w:pPr>
    </w:p>
    <w:p>
      <w:pPr>
        <w:jc w:val="center"/>
        <w:rPr>
          <w:rFonts w:hint="eastAsia" w:ascii="黑体" w:hAnsi="黑体" w:eastAsia="黑体"/>
          <w:szCs w:val="32"/>
        </w:rPr>
      </w:pPr>
    </w:p>
    <w:p>
      <w:pPr>
        <w:jc w:val="center"/>
        <w:rPr>
          <w:rFonts w:hint="eastAsia" w:ascii="黑体" w:hAnsi="黑体" w:eastAsia="黑体"/>
          <w:szCs w:val="32"/>
        </w:rPr>
      </w:pPr>
    </w:p>
    <w:p>
      <w:pPr>
        <w:jc w:val="center"/>
        <w:rPr>
          <w:rFonts w:ascii="黑体" w:hAnsi="黑体" w:eastAsia="黑体"/>
          <w:szCs w:val="32"/>
        </w:rPr>
      </w:pPr>
    </w:p>
    <w:p>
      <w:pPr>
        <w:jc w:val="center"/>
        <w:rPr>
          <w:rFonts w:hint="eastAsia" w:ascii="黑体" w:hAnsi="黑体" w:eastAsia="黑体"/>
          <w:szCs w:val="32"/>
        </w:rPr>
      </w:pPr>
    </w:p>
    <w:p>
      <w:pPr>
        <w:ind w:firstLine="640" w:firstLineChars="200"/>
        <w:jc w:val="center"/>
        <w:rPr>
          <w:rFonts w:hint="eastAsia" w:ascii="黑体" w:hAnsi="黑体" w:eastAsia="黑体"/>
          <w:szCs w:val="32"/>
        </w:rPr>
      </w:pPr>
    </w:p>
    <w:p>
      <w:pPr>
        <w:jc w:val="center"/>
        <w:rPr>
          <w:rFonts w:hint="eastAsia" w:ascii="黑体" w:hAnsi="黑体" w:eastAsia="黑体"/>
          <w:szCs w:val="32"/>
        </w:rPr>
      </w:pPr>
      <w:r>
        <w:rPr>
          <w:rFonts w:hint="eastAsia" w:ascii="黑体" w:hAnsi="黑体" w:eastAsia="黑体"/>
          <w:szCs w:val="32"/>
        </w:rPr>
        <w:t>国有资本经营预算财政拨款支出决算表</w:t>
      </w:r>
    </w:p>
    <w:tbl>
      <w:tblPr>
        <w:tblStyle w:val="7"/>
        <w:tblW w:w="0" w:type="auto"/>
        <w:tblInd w:w="93" w:type="dxa"/>
        <w:tblLayout w:type="fixed"/>
        <w:tblCellMar>
          <w:top w:w="15" w:type="dxa"/>
          <w:left w:w="108" w:type="dxa"/>
          <w:bottom w:w="15" w:type="dxa"/>
          <w:right w:w="108" w:type="dxa"/>
        </w:tblCellMar>
      </w:tblPr>
      <w:tblGrid>
        <w:gridCol w:w="573"/>
        <w:gridCol w:w="573"/>
        <w:gridCol w:w="574"/>
        <w:gridCol w:w="1425"/>
        <w:gridCol w:w="1252"/>
        <w:gridCol w:w="2191"/>
        <w:gridCol w:w="2191"/>
      </w:tblGrid>
      <w:tr>
        <w:tblPrEx>
          <w:tblCellMar>
            <w:top w:w="15" w:type="dxa"/>
            <w:left w:w="108" w:type="dxa"/>
            <w:bottom w:w="15" w:type="dxa"/>
            <w:right w:w="108" w:type="dxa"/>
          </w:tblCellMar>
        </w:tblPrEx>
        <w:trPr>
          <w:trHeight w:val="360" w:hRule="atLeast"/>
        </w:trPr>
        <w:tc>
          <w:tcPr>
            <w:tcW w:w="8779" w:type="dxa"/>
            <w:gridSpan w:val="7"/>
            <w:vAlign w:val="bottom"/>
          </w:tcPr>
          <w:p>
            <w:pPr>
              <w:widowControl/>
              <w:jc w:val="right"/>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公开08表</w:t>
            </w:r>
          </w:p>
        </w:tc>
      </w:tr>
      <w:tr>
        <w:tblPrEx>
          <w:tblCellMar>
            <w:top w:w="15" w:type="dxa"/>
            <w:left w:w="108" w:type="dxa"/>
            <w:bottom w:w="15" w:type="dxa"/>
            <w:right w:w="108" w:type="dxa"/>
          </w:tblCellMar>
        </w:tblPrEx>
        <w:trPr>
          <w:trHeight w:val="450" w:hRule="atLeast"/>
        </w:trPr>
        <w:tc>
          <w:tcPr>
            <w:tcW w:w="8779" w:type="dxa"/>
            <w:gridSpan w:val="7"/>
            <w:tcBorders>
              <w:bottom w:val="single" w:color="auto" w:sz="4" w:space="0"/>
            </w:tcBorders>
            <w:vAlign w:val="center"/>
          </w:tcPr>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部门：                                                             金额单位：万元</w:t>
            </w:r>
          </w:p>
        </w:tc>
      </w:tr>
      <w:tr>
        <w:tblPrEx>
          <w:tblCellMar>
            <w:top w:w="15" w:type="dxa"/>
            <w:left w:w="108" w:type="dxa"/>
            <w:bottom w:w="15" w:type="dxa"/>
            <w:right w:w="108" w:type="dxa"/>
          </w:tblCellMar>
        </w:tblPrEx>
        <w:trPr>
          <w:trHeight w:val="781" w:hRule="atLeast"/>
        </w:trPr>
        <w:tc>
          <w:tcPr>
            <w:tcW w:w="1720" w:type="dxa"/>
            <w:gridSpan w:val="3"/>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功能分类</w:t>
            </w:r>
          </w:p>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科目编码</w:t>
            </w:r>
          </w:p>
        </w:tc>
        <w:tc>
          <w:tcPr>
            <w:tcW w:w="1425"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科目名称</w:t>
            </w:r>
          </w:p>
        </w:tc>
        <w:tc>
          <w:tcPr>
            <w:tcW w:w="5634"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本年支出</w:t>
            </w:r>
          </w:p>
        </w:tc>
      </w:tr>
      <w:tr>
        <w:tblPrEx>
          <w:tblCellMar>
            <w:top w:w="15" w:type="dxa"/>
            <w:left w:w="108" w:type="dxa"/>
            <w:bottom w:w="15" w:type="dxa"/>
            <w:right w:w="108" w:type="dxa"/>
          </w:tblCellMar>
        </w:tblPrEx>
        <w:trPr>
          <w:trHeight w:val="312" w:hRule="atLeast"/>
        </w:trPr>
        <w:tc>
          <w:tcPr>
            <w:tcW w:w="1720"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1425"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1252"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合计</w:t>
            </w:r>
          </w:p>
        </w:tc>
        <w:tc>
          <w:tcPr>
            <w:tcW w:w="2191"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基本支出</w:t>
            </w:r>
          </w:p>
        </w:tc>
        <w:tc>
          <w:tcPr>
            <w:tcW w:w="2191"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项目支出</w:t>
            </w:r>
          </w:p>
        </w:tc>
      </w:tr>
      <w:tr>
        <w:tblPrEx>
          <w:tblCellMar>
            <w:top w:w="15" w:type="dxa"/>
            <w:left w:w="108" w:type="dxa"/>
            <w:bottom w:w="15" w:type="dxa"/>
            <w:right w:w="108" w:type="dxa"/>
          </w:tblCellMar>
        </w:tblPrEx>
        <w:trPr>
          <w:trHeight w:val="312" w:hRule="atLeast"/>
        </w:trPr>
        <w:tc>
          <w:tcPr>
            <w:tcW w:w="1720"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1425"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1252"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2191"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2191"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r>
      <w:tr>
        <w:tblPrEx>
          <w:tblCellMar>
            <w:top w:w="15" w:type="dxa"/>
            <w:left w:w="108" w:type="dxa"/>
            <w:bottom w:w="15" w:type="dxa"/>
            <w:right w:w="108" w:type="dxa"/>
          </w:tblCellMar>
        </w:tblPrEx>
        <w:trPr>
          <w:trHeight w:val="454" w:hRule="atLeast"/>
        </w:trPr>
        <w:tc>
          <w:tcPr>
            <w:tcW w:w="1720"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1425"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1252"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2191"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2191"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r>
      <w:tr>
        <w:tblPrEx>
          <w:tblCellMar>
            <w:top w:w="15" w:type="dxa"/>
            <w:left w:w="108" w:type="dxa"/>
            <w:bottom w:w="15" w:type="dxa"/>
            <w:right w:w="108" w:type="dxa"/>
          </w:tblCellMar>
        </w:tblPrEx>
        <w:trPr>
          <w:trHeight w:val="673" w:hRule="atLeast"/>
        </w:trPr>
        <w:tc>
          <w:tcPr>
            <w:tcW w:w="57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类</w:t>
            </w:r>
          </w:p>
        </w:tc>
        <w:tc>
          <w:tcPr>
            <w:tcW w:w="57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款</w:t>
            </w:r>
          </w:p>
        </w:tc>
        <w:tc>
          <w:tcPr>
            <w:tcW w:w="574"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项</w:t>
            </w: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合计</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r>
      <w:tr>
        <w:tblPrEx>
          <w:tblCellMar>
            <w:top w:w="15" w:type="dxa"/>
            <w:left w:w="108" w:type="dxa"/>
            <w:bottom w:w="15" w:type="dxa"/>
            <w:right w:w="108" w:type="dxa"/>
          </w:tblCellMar>
        </w:tblPrEx>
        <w:trPr>
          <w:trHeight w:val="634"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r>
      <w:tr>
        <w:tblPrEx>
          <w:tblCellMar>
            <w:top w:w="15" w:type="dxa"/>
            <w:left w:w="108" w:type="dxa"/>
            <w:bottom w:w="15" w:type="dxa"/>
            <w:right w:w="108" w:type="dxa"/>
          </w:tblCellMar>
        </w:tblPrEx>
        <w:trPr>
          <w:trHeight w:val="799"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r>
    </w:tbl>
    <w:p>
      <w:pPr>
        <w:rPr>
          <w:rFonts w:hint="eastAsia" w:ascii="黑体" w:hAnsi="黑体" w:eastAsia="黑体"/>
          <w:sz w:val="20"/>
        </w:rPr>
      </w:pPr>
    </w:p>
    <w:p>
      <w:pPr>
        <w:rPr>
          <w:rFonts w:hint="eastAsia" w:eastAsia="楷体_GB2312"/>
          <w:sz w:val="20"/>
          <w:lang w:eastAsia="zh-CN"/>
        </w:rPr>
      </w:pPr>
      <w:r>
        <w:rPr>
          <w:rFonts w:hint="eastAsia"/>
          <w:szCs w:val="32"/>
          <w:lang w:eastAsia="zh-CN"/>
        </w:rPr>
        <w:t>池州市贵池区人民政府墩上街道办事处</w:t>
      </w:r>
      <w:r>
        <w:rPr>
          <w:rFonts w:hint="eastAsia"/>
          <w:szCs w:val="32"/>
          <w:lang w:val="en-US" w:eastAsia="zh-CN"/>
        </w:rPr>
        <w:t>(本级)</w:t>
      </w:r>
      <w:r>
        <w:rPr>
          <w:szCs w:val="32"/>
        </w:rPr>
        <w:t>没有</w:t>
      </w:r>
      <w:r>
        <w:rPr>
          <w:rFonts w:hint="eastAsia"/>
          <w:szCs w:val="32"/>
          <w:lang w:eastAsia="zh-CN"/>
        </w:rPr>
        <w:t>使用国有资本经营预算安排的</w:t>
      </w:r>
      <w:r>
        <w:rPr>
          <w:szCs w:val="32"/>
        </w:rPr>
        <w:t>支出，故本表无数据</w:t>
      </w:r>
      <w:r>
        <w:rPr>
          <w:rFonts w:hint="eastAsia"/>
          <w:szCs w:val="32"/>
          <w:lang w:eastAsia="zh-CN"/>
        </w:rPr>
        <w:t>。</w:t>
      </w:r>
    </w:p>
    <w:p>
      <w:pPr>
        <w:ind w:firstLine="640" w:firstLineChars="200"/>
        <w:rPr>
          <w:rFonts w:hint="eastAsia" w:ascii="黑体" w:hAnsi="黑体" w:eastAsia="黑体"/>
          <w:szCs w:val="32"/>
        </w:rPr>
      </w:pPr>
      <w:r>
        <w:rPr>
          <w:rFonts w:hint="eastAsia" w:ascii="黑体" w:hAnsi="黑体" w:eastAsia="黑体"/>
          <w:szCs w:val="32"/>
        </w:rPr>
        <w:t xml:space="preserve">第三部分 </w:t>
      </w:r>
      <w:r>
        <w:rPr>
          <w:rFonts w:hint="eastAsia" w:ascii="黑体" w:hAnsi="黑体" w:eastAsia="黑体"/>
          <w:szCs w:val="32"/>
          <w:lang w:eastAsia="zh-CN"/>
        </w:rPr>
        <w:t>池州市贵池区人民政府墩上街道办事处（本级）</w:t>
      </w:r>
      <w:r>
        <w:rPr>
          <w:rFonts w:hint="eastAsia" w:ascii="黑体" w:hAnsi="黑体" w:eastAsia="黑体"/>
          <w:szCs w:val="32"/>
        </w:rPr>
        <w:t>单位2020年度单位决算情况说明</w:t>
      </w:r>
    </w:p>
    <w:p>
      <w:pPr>
        <w:ind w:firstLine="640" w:firstLineChars="200"/>
        <w:rPr>
          <w:rFonts w:hint="eastAsia" w:ascii="黑体" w:hAnsi="黑体" w:eastAsia="黑体"/>
          <w:szCs w:val="32"/>
        </w:rPr>
      </w:pPr>
      <w:r>
        <w:rPr>
          <w:rFonts w:hint="eastAsia" w:ascii="黑体" w:hAnsi="黑体" w:eastAsia="黑体"/>
          <w:szCs w:val="32"/>
        </w:rPr>
        <w:t>一、收入支出决算总体情况说明</w:t>
      </w:r>
    </w:p>
    <w:p>
      <w:pPr>
        <w:ind w:firstLine="640" w:firstLineChars="200"/>
        <w:rPr>
          <w:rFonts w:hint="eastAsia" w:ascii="仿宋_GB2312" w:hAnsi="仿宋"/>
          <w:szCs w:val="32"/>
        </w:rPr>
      </w:pPr>
      <w:r>
        <w:rPr>
          <w:rFonts w:hint="eastAsia" w:ascii="仿宋_GB2312" w:hAnsi="仿宋"/>
          <w:szCs w:val="32"/>
        </w:rPr>
        <w:t>2020年度收入总计</w:t>
      </w:r>
      <w:r>
        <w:rPr>
          <w:rFonts w:hint="eastAsia" w:ascii="仿宋_GB2312" w:hAnsi="仿宋"/>
          <w:szCs w:val="32"/>
          <w:lang w:val="en-US" w:eastAsia="zh-CN"/>
        </w:rPr>
        <w:t>5084.2</w:t>
      </w:r>
      <w:r>
        <w:rPr>
          <w:rFonts w:hint="eastAsia" w:ascii="仿宋_GB2312" w:hAnsi="仿宋"/>
          <w:szCs w:val="32"/>
        </w:rPr>
        <w:t>万元（含使用非财政拨款结转结余和年初结转结余）、支出总计</w:t>
      </w:r>
      <w:r>
        <w:rPr>
          <w:rFonts w:hint="eastAsia" w:ascii="仿宋_GB2312" w:hAnsi="仿宋"/>
          <w:szCs w:val="32"/>
          <w:lang w:val="en-US" w:eastAsia="zh-CN"/>
        </w:rPr>
        <w:t>5084.2</w:t>
      </w:r>
      <w:r>
        <w:rPr>
          <w:rFonts w:hint="eastAsia" w:ascii="仿宋_GB2312" w:hAnsi="仿宋"/>
          <w:szCs w:val="32"/>
        </w:rPr>
        <w:t>万元（含结余分配和年末结转结余）。与2019年相比，收、支总计各增加</w:t>
      </w:r>
      <w:r>
        <w:rPr>
          <w:rFonts w:hint="eastAsia" w:ascii="仿宋_GB2312" w:hAnsi="仿宋"/>
          <w:szCs w:val="32"/>
          <w:lang w:val="en-US" w:eastAsia="zh-CN"/>
        </w:rPr>
        <w:t>2344.97</w:t>
      </w:r>
      <w:r>
        <w:rPr>
          <w:rFonts w:hint="eastAsia" w:ascii="仿宋_GB2312" w:hAnsi="仿宋"/>
          <w:szCs w:val="32"/>
        </w:rPr>
        <w:t>万元，增长</w:t>
      </w:r>
      <w:r>
        <w:rPr>
          <w:rFonts w:hint="eastAsia" w:ascii="仿宋_GB2312" w:hAnsi="仿宋"/>
          <w:szCs w:val="32"/>
          <w:lang w:val="en-US" w:eastAsia="zh-CN"/>
        </w:rPr>
        <w:t>85.6</w:t>
      </w:r>
      <w:r>
        <w:rPr>
          <w:rFonts w:hint="eastAsia" w:ascii="仿宋_GB2312" w:hAnsi="仿宋"/>
          <w:szCs w:val="32"/>
        </w:rPr>
        <w:t>%，主要原因：一是</w:t>
      </w:r>
      <w:r>
        <w:rPr>
          <w:rFonts w:hint="eastAsia" w:ascii="仿宋_GB2312" w:hAnsi="仿宋"/>
          <w:szCs w:val="32"/>
          <w:lang w:eastAsia="zh-CN"/>
        </w:rPr>
        <w:t>人员工资的增加</w:t>
      </w:r>
      <w:r>
        <w:rPr>
          <w:rFonts w:hint="eastAsia" w:ascii="仿宋_GB2312" w:hAnsi="仿宋"/>
          <w:szCs w:val="32"/>
        </w:rPr>
        <w:t>；二是</w:t>
      </w:r>
      <w:r>
        <w:rPr>
          <w:rFonts w:hint="eastAsia" w:ascii="仿宋_GB2312" w:hAnsi="仿宋"/>
          <w:szCs w:val="32"/>
          <w:lang w:eastAsia="zh-CN"/>
        </w:rPr>
        <w:t>办公经费的增加</w:t>
      </w:r>
      <w:r>
        <w:rPr>
          <w:rFonts w:hint="eastAsia" w:ascii="仿宋_GB2312" w:hAnsi="仿宋"/>
          <w:szCs w:val="32"/>
        </w:rPr>
        <w:t>。</w:t>
      </w:r>
    </w:p>
    <w:p>
      <w:pPr>
        <w:ind w:firstLine="640" w:firstLineChars="200"/>
        <w:rPr>
          <w:rFonts w:hint="eastAsia" w:ascii="黑体" w:hAnsi="仿宋" w:eastAsia="黑体"/>
          <w:szCs w:val="32"/>
        </w:rPr>
      </w:pPr>
      <w:r>
        <w:rPr>
          <w:rFonts w:hint="eastAsia" w:ascii="黑体" w:hAnsi="仿宋" w:eastAsia="黑体"/>
          <w:szCs w:val="32"/>
        </w:rPr>
        <w:t>二、收入决算情况说明</w:t>
      </w:r>
    </w:p>
    <w:p>
      <w:pPr>
        <w:ind w:firstLine="640" w:firstLineChars="200"/>
        <w:rPr>
          <w:rFonts w:hint="eastAsia" w:ascii="仿宋_GB2312" w:hAnsi="仿宋"/>
          <w:szCs w:val="32"/>
        </w:rPr>
      </w:pPr>
      <w:r>
        <w:rPr>
          <w:rFonts w:hint="eastAsia" w:ascii="仿宋_GB2312" w:hAnsi="仿宋"/>
          <w:szCs w:val="32"/>
        </w:rPr>
        <w:t>2020年度收入合计</w:t>
      </w:r>
      <w:r>
        <w:rPr>
          <w:rFonts w:hint="eastAsia" w:ascii="仿宋_GB2312" w:hAnsi="仿宋"/>
          <w:szCs w:val="32"/>
          <w:lang w:val="en-US" w:eastAsia="zh-CN"/>
        </w:rPr>
        <w:t>5084.2</w:t>
      </w:r>
      <w:r>
        <w:rPr>
          <w:rFonts w:hint="eastAsia" w:ascii="仿宋_GB2312" w:hAnsi="仿宋"/>
          <w:szCs w:val="32"/>
        </w:rPr>
        <w:t>万元，其中：财政拨款收入</w:t>
      </w:r>
      <w:r>
        <w:rPr>
          <w:rFonts w:hint="eastAsia" w:ascii="仿宋_GB2312" w:hAnsi="仿宋"/>
          <w:szCs w:val="32"/>
          <w:lang w:val="en-US" w:eastAsia="zh-CN"/>
        </w:rPr>
        <w:t>5084.2</w:t>
      </w:r>
      <w:r>
        <w:rPr>
          <w:rFonts w:hint="eastAsia" w:ascii="仿宋_GB2312" w:hAnsi="仿宋"/>
          <w:szCs w:val="32"/>
        </w:rPr>
        <w:t>万元，占</w:t>
      </w:r>
      <w:r>
        <w:rPr>
          <w:rFonts w:hint="eastAsia" w:ascii="仿宋_GB2312" w:hAnsi="仿宋"/>
          <w:szCs w:val="32"/>
          <w:lang w:val="en-US" w:eastAsia="zh-CN"/>
        </w:rPr>
        <w:t>100</w:t>
      </w:r>
      <w:r>
        <w:rPr>
          <w:rFonts w:hint="eastAsia" w:ascii="仿宋_GB2312" w:hAnsi="仿宋"/>
          <w:szCs w:val="32"/>
        </w:rPr>
        <w:t>%；事业收入</w:t>
      </w:r>
      <w:r>
        <w:rPr>
          <w:rFonts w:hint="eastAsia" w:ascii="仿宋_GB2312" w:hAnsi="仿宋"/>
          <w:szCs w:val="32"/>
          <w:lang w:val="en-US" w:eastAsia="zh-CN"/>
        </w:rPr>
        <w:t>0</w:t>
      </w:r>
      <w:r>
        <w:rPr>
          <w:rFonts w:hint="eastAsia" w:ascii="仿宋_GB2312" w:hAnsi="仿宋"/>
          <w:szCs w:val="32"/>
        </w:rPr>
        <w:t>万元，占</w:t>
      </w:r>
      <w:r>
        <w:rPr>
          <w:rFonts w:hint="eastAsia" w:ascii="仿宋_GB2312" w:hAnsi="仿宋"/>
          <w:szCs w:val="32"/>
          <w:lang w:val="en-US" w:eastAsia="zh-CN"/>
        </w:rPr>
        <w:t>0</w:t>
      </w:r>
      <w:r>
        <w:rPr>
          <w:rFonts w:hint="eastAsia" w:ascii="仿宋_GB2312" w:hAnsi="仿宋"/>
          <w:szCs w:val="32"/>
        </w:rPr>
        <w:t>%；经营收入</w:t>
      </w:r>
      <w:r>
        <w:rPr>
          <w:rFonts w:hint="eastAsia" w:ascii="仿宋_GB2312" w:hAnsi="仿宋"/>
          <w:szCs w:val="32"/>
          <w:lang w:val="en-US" w:eastAsia="zh-CN"/>
        </w:rPr>
        <w:t>0</w:t>
      </w:r>
      <w:r>
        <w:rPr>
          <w:rFonts w:hint="eastAsia" w:ascii="仿宋_GB2312" w:hAnsi="仿宋"/>
          <w:szCs w:val="32"/>
        </w:rPr>
        <w:t>万元，占</w:t>
      </w:r>
      <w:r>
        <w:rPr>
          <w:rFonts w:hint="eastAsia" w:ascii="仿宋_GB2312" w:hAnsi="仿宋"/>
          <w:szCs w:val="32"/>
          <w:lang w:val="en-US" w:eastAsia="zh-CN"/>
        </w:rPr>
        <w:t>0</w:t>
      </w:r>
      <w:r>
        <w:rPr>
          <w:rFonts w:hint="eastAsia" w:ascii="仿宋_GB2312" w:hAnsi="仿宋"/>
          <w:szCs w:val="32"/>
        </w:rPr>
        <w:t>%；其他收入</w:t>
      </w:r>
      <w:r>
        <w:rPr>
          <w:rFonts w:hint="eastAsia" w:ascii="仿宋_GB2312" w:hAnsi="仿宋"/>
          <w:szCs w:val="32"/>
          <w:lang w:val="en-US" w:eastAsia="zh-CN"/>
        </w:rPr>
        <w:t>0</w:t>
      </w:r>
      <w:r>
        <w:rPr>
          <w:rFonts w:hint="eastAsia" w:ascii="仿宋_GB2312" w:hAnsi="仿宋"/>
          <w:szCs w:val="32"/>
        </w:rPr>
        <w:t>万元，占</w:t>
      </w:r>
      <w:r>
        <w:rPr>
          <w:rFonts w:hint="eastAsia" w:ascii="仿宋_GB2312" w:hAnsi="仿宋"/>
          <w:szCs w:val="32"/>
          <w:lang w:val="en-US" w:eastAsia="zh-CN"/>
        </w:rPr>
        <w:t>0</w:t>
      </w:r>
      <w:r>
        <w:rPr>
          <w:rFonts w:hint="eastAsia" w:ascii="仿宋_GB2312" w:hAnsi="仿宋"/>
          <w:szCs w:val="32"/>
        </w:rPr>
        <w:t>%。</w:t>
      </w:r>
    </w:p>
    <w:p>
      <w:pPr>
        <w:ind w:firstLine="640" w:firstLineChars="200"/>
        <w:rPr>
          <w:rFonts w:hint="eastAsia" w:ascii="黑体" w:hAnsi="仿宋" w:eastAsia="黑体"/>
          <w:szCs w:val="32"/>
        </w:rPr>
      </w:pPr>
      <w:r>
        <w:rPr>
          <w:rFonts w:hint="eastAsia" w:ascii="黑体" w:hAnsi="仿宋" w:eastAsia="黑体"/>
          <w:szCs w:val="32"/>
        </w:rPr>
        <w:t>三、支出决算情况说明</w:t>
      </w:r>
    </w:p>
    <w:p>
      <w:pPr>
        <w:ind w:firstLine="640" w:firstLineChars="200"/>
        <w:rPr>
          <w:rFonts w:hint="eastAsia" w:ascii="仿宋_GB2312" w:hAnsi="仿宋"/>
          <w:szCs w:val="32"/>
        </w:rPr>
      </w:pPr>
      <w:r>
        <w:rPr>
          <w:rFonts w:hint="eastAsia" w:ascii="仿宋_GB2312" w:hAnsi="仿宋"/>
          <w:szCs w:val="32"/>
        </w:rPr>
        <w:t>2020年度支出合计</w:t>
      </w:r>
      <w:r>
        <w:rPr>
          <w:rFonts w:hint="eastAsia" w:ascii="仿宋_GB2312" w:hAnsi="仿宋"/>
          <w:szCs w:val="32"/>
          <w:lang w:val="en-US" w:eastAsia="zh-CN"/>
        </w:rPr>
        <w:t>5084.2</w:t>
      </w:r>
      <w:r>
        <w:rPr>
          <w:rFonts w:hint="eastAsia" w:ascii="仿宋_GB2312" w:hAnsi="仿宋"/>
          <w:szCs w:val="32"/>
        </w:rPr>
        <w:t>万元，其中：基本支出</w:t>
      </w:r>
      <w:r>
        <w:rPr>
          <w:rFonts w:hint="eastAsia" w:ascii="仿宋_GB2312" w:hAnsi="仿宋"/>
          <w:szCs w:val="32"/>
          <w:lang w:val="en-US" w:eastAsia="zh-CN"/>
        </w:rPr>
        <w:t>2588.86</w:t>
      </w:r>
      <w:r>
        <w:rPr>
          <w:rFonts w:hint="eastAsia" w:ascii="仿宋_GB2312" w:hAnsi="仿宋"/>
          <w:szCs w:val="32"/>
        </w:rPr>
        <w:t>万元，占</w:t>
      </w:r>
      <w:r>
        <w:rPr>
          <w:rFonts w:hint="eastAsia" w:ascii="仿宋_GB2312" w:hAnsi="仿宋"/>
          <w:szCs w:val="32"/>
          <w:lang w:val="en-US" w:eastAsia="zh-CN"/>
        </w:rPr>
        <w:t>50.9</w:t>
      </w:r>
      <w:r>
        <w:rPr>
          <w:rFonts w:hint="eastAsia" w:ascii="仿宋_GB2312" w:hAnsi="仿宋"/>
          <w:szCs w:val="32"/>
        </w:rPr>
        <w:t>%；项目支出</w:t>
      </w:r>
      <w:r>
        <w:rPr>
          <w:rFonts w:hint="eastAsia" w:ascii="仿宋_GB2312" w:hAnsi="仿宋"/>
          <w:szCs w:val="32"/>
          <w:lang w:val="en-US" w:eastAsia="zh-CN"/>
        </w:rPr>
        <w:t>2495.34</w:t>
      </w:r>
      <w:r>
        <w:rPr>
          <w:rFonts w:hint="eastAsia" w:ascii="仿宋_GB2312" w:hAnsi="仿宋"/>
          <w:szCs w:val="32"/>
        </w:rPr>
        <w:t>万元，占</w:t>
      </w:r>
      <w:r>
        <w:rPr>
          <w:rFonts w:hint="eastAsia" w:ascii="仿宋_GB2312" w:hAnsi="仿宋"/>
          <w:szCs w:val="32"/>
          <w:lang w:val="en-US" w:eastAsia="zh-CN"/>
        </w:rPr>
        <w:t>49.1</w:t>
      </w:r>
      <w:r>
        <w:rPr>
          <w:rFonts w:hint="eastAsia" w:ascii="仿宋_GB2312" w:hAnsi="仿宋"/>
          <w:szCs w:val="32"/>
        </w:rPr>
        <w:t>%；经营支出</w:t>
      </w:r>
      <w:r>
        <w:rPr>
          <w:rFonts w:hint="eastAsia" w:ascii="仿宋_GB2312" w:hAnsi="仿宋"/>
          <w:szCs w:val="32"/>
          <w:lang w:val="en-US" w:eastAsia="zh-CN"/>
        </w:rPr>
        <w:t>0</w:t>
      </w:r>
      <w:r>
        <w:rPr>
          <w:rFonts w:hint="eastAsia" w:ascii="仿宋_GB2312" w:hAnsi="仿宋"/>
          <w:szCs w:val="32"/>
        </w:rPr>
        <w:t>万元，占</w:t>
      </w:r>
      <w:r>
        <w:rPr>
          <w:rFonts w:hint="eastAsia" w:ascii="仿宋_GB2312" w:hAnsi="仿宋"/>
          <w:szCs w:val="32"/>
          <w:lang w:val="en-US" w:eastAsia="zh-CN"/>
        </w:rPr>
        <w:t>0</w:t>
      </w:r>
      <w:r>
        <w:rPr>
          <w:rFonts w:hint="eastAsia" w:ascii="仿宋_GB2312" w:hAnsi="仿宋"/>
          <w:szCs w:val="32"/>
        </w:rPr>
        <w:t>%。</w:t>
      </w:r>
    </w:p>
    <w:p>
      <w:pPr>
        <w:ind w:firstLine="640" w:firstLineChars="200"/>
        <w:rPr>
          <w:rFonts w:hint="eastAsia" w:ascii="黑体" w:hAnsi="仿宋" w:eastAsia="黑体"/>
          <w:szCs w:val="32"/>
        </w:rPr>
      </w:pPr>
      <w:r>
        <w:rPr>
          <w:rFonts w:hint="eastAsia" w:ascii="黑体" w:hAnsi="仿宋" w:eastAsia="黑体"/>
          <w:szCs w:val="32"/>
        </w:rPr>
        <w:t>四、</w:t>
      </w:r>
      <w:r>
        <w:rPr>
          <w:rFonts w:hint="eastAsia" w:ascii="黑体" w:eastAsia="黑体"/>
          <w:szCs w:val="32"/>
        </w:rPr>
        <w:t>财政拨款收入支出决算总体情况说明</w:t>
      </w:r>
    </w:p>
    <w:p>
      <w:pPr>
        <w:ind w:firstLine="640" w:firstLineChars="200"/>
        <w:rPr>
          <w:rFonts w:hint="eastAsia" w:ascii="仿宋_GB2312" w:hAnsi="仿宋"/>
          <w:szCs w:val="32"/>
        </w:rPr>
      </w:pPr>
      <w:r>
        <w:rPr>
          <w:rFonts w:hint="eastAsia" w:ascii="仿宋_GB2312" w:hAnsi="仿宋"/>
          <w:szCs w:val="32"/>
        </w:rPr>
        <w:t>2020年度财政拨款收入总计</w:t>
      </w:r>
      <w:r>
        <w:rPr>
          <w:rFonts w:hint="eastAsia" w:ascii="仿宋_GB2312" w:hAnsi="仿宋"/>
          <w:szCs w:val="32"/>
          <w:lang w:val="en-US" w:eastAsia="zh-CN"/>
        </w:rPr>
        <w:t>5084.2</w:t>
      </w:r>
      <w:r>
        <w:rPr>
          <w:rFonts w:hint="eastAsia" w:ascii="仿宋_GB2312" w:hAnsi="仿宋"/>
          <w:szCs w:val="32"/>
        </w:rPr>
        <w:t>万元（含年初财政拨款结转结余），支出总计</w:t>
      </w:r>
      <w:r>
        <w:rPr>
          <w:rFonts w:hint="eastAsia" w:ascii="仿宋_GB2312" w:hAnsi="仿宋"/>
          <w:szCs w:val="32"/>
          <w:lang w:val="en-US" w:eastAsia="zh-CN"/>
        </w:rPr>
        <w:t>5084.2</w:t>
      </w:r>
      <w:r>
        <w:rPr>
          <w:rFonts w:hint="eastAsia" w:ascii="仿宋_GB2312" w:hAnsi="仿宋"/>
          <w:szCs w:val="32"/>
        </w:rPr>
        <w:t>万元（含年末财政拨款结转和结余）。与2019年相比，财政拨款收、支总计各增加</w:t>
      </w:r>
      <w:r>
        <w:rPr>
          <w:rFonts w:hint="eastAsia" w:ascii="仿宋_GB2312" w:hAnsi="仿宋"/>
          <w:szCs w:val="32"/>
          <w:lang w:val="en-US" w:eastAsia="zh-CN"/>
        </w:rPr>
        <w:t>2344.97</w:t>
      </w:r>
      <w:r>
        <w:rPr>
          <w:rFonts w:hint="eastAsia" w:ascii="仿宋_GB2312" w:hAnsi="仿宋"/>
          <w:szCs w:val="32"/>
        </w:rPr>
        <w:t>万元，增长</w:t>
      </w:r>
      <w:r>
        <w:rPr>
          <w:rFonts w:hint="eastAsia" w:ascii="仿宋_GB2312" w:hAnsi="仿宋"/>
          <w:szCs w:val="32"/>
          <w:lang w:val="en-US" w:eastAsia="zh-CN"/>
        </w:rPr>
        <w:t>85.6</w:t>
      </w:r>
      <w:r>
        <w:rPr>
          <w:rFonts w:hint="eastAsia" w:ascii="仿宋_GB2312" w:hAnsi="仿宋"/>
          <w:szCs w:val="32"/>
        </w:rPr>
        <w:t>%，主要原因：一是</w:t>
      </w:r>
      <w:r>
        <w:rPr>
          <w:rFonts w:hint="eastAsia" w:ascii="仿宋_GB2312" w:hAnsi="仿宋"/>
          <w:szCs w:val="32"/>
          <w:lang w:eastAsia="zh-CN"/>
        </w:rPr>
        <w:t>人员经费的增加</w:t>
      </w:r>
      <w:r>
        <w:rPr>
          <w:rFonts w:hint="eastAsia" w:ascii="仿宋_GB2312" w:hAnsi="仿宋"/>
          <w:szCs w:val="32"/>
        </w:rPr>
        <w:t>；二是</w:t>
      </w:r>
      <w:r>
        <w:rPr>
          <w:rFonts w:hint="eastAsia" w:ascii="仿宋_GB2312" w:hAnsi="仿宋"/>
          <w:szCs w:val="32"/>
          <w:lang w:eastAsia="zh-CN"/>
        </w:rPr>
        <w:t>办公经费的增加</w:t>
      </w:r>
      <w:r>
        <w:rPr>
          <w:rFonts w:hint="eastAsia" w:ascii="仿宋_GB2312" w:hAnsi="仿宋"/>
          <w:szCs w:val="32"/>
        </w:rPr>
        <w:t>。</w:t>
      </w:r>
    </w:p>
    <w:p>
      <w:pPr>
        <w:ind w:firstLine="640" w:firstLineChars="200"/>
        <w:rPr>
          <w:rFonts w:hint="eastAsia" w:ascii="黑体" w:hAnsi="仿宋" w:eastAsia="黑体"/>
          <w:szCs w:val="32"/>
        </w:rPr>
      </w:pPr>
      <w:r>
        <w:rPr>
          <w:rFonts w:hint="eastAsia" w:ascii="黑体" w:hAnsi="仿宋" w:eastAsia="黑体"/>
          <w:szCs w:val="32"/>
        </w:rPr>
        <w:t>五、一般公共预算财政拨款支出决算情况说明</w:t>
      </w:r>
    </w:p>
    <w:p>
      <w:pPr>
        <w:ind w:firstLine="643" w:firstLineChars="200"/>
        <w:rPr>
          <w:rFonts w:hint="eastAsia" w:ascii="仿宋_GB2312" w:hAnsi="仿宋"/>
          <w:b/>
          <w:bCs/>
          <w:szCs w:val="32"/>
        </w:rPr>
      </w:pPr>
      <w:r>
        <w:rPr>
          <w:rFonts w:hint="eastAsia" w:ascii="仿宋_GB2312" w:hAnsi="仿宋"/>
          <w:b/>
          <w:bCs/>
          <w:szCs w:val="32"/>
        </w:rPr>
        <w:t>（一）一般公共预算财政拨款支出决算总体情况。</w:t>
      </w:r>
    </w:p>
    <w:p>
      <w:pPr>
        <w:ind w:firstLine="640" w:firstLineChars="200"/>
        <w:rPr>
          <w:rFonts w:hint="eastAsia" w:ascii="仿宋_GB2312" w:hAnsi="仿宋"/>
          <w:szCs w:val="32"/>
        </w:rPr>
      </w:pPr>
      <w:r>
        <w:rPr>
          <w:rFonts w:hint="eastAsia" w:ascii="仿宋_GB2312" w:hAnsi="仿宋"/>
          <w:szCs w:val="32"/>
        </w:rPr>
        <w:t>2020年度一般公共预算财政拨款支出</w:t>
      </w:r>
      <w:r>
        <w:rPr>
          <w:rFonts w:hint="eastAsia" w:ascii="仿宋_GB2312" w:hAnsi="仿宋"/>
          <w:szCs w:val="32"/>
          <w:lang w:val="en-US" w:eastAsia="zh-CN"/>
        </w:rPr>
        <w:t>5084.2</w:t>
      </w:r>
      <w:r>
        <w:rPr>
          <w:rFonts w:hint="eastAsia" w:ascii="仿宋_GB2312" w:hAnsi="仿宋"/>
          <w:szCs w:val="32"/>
        </w:rPr>
        <w:t>万元，占本年支出的</w:t>
      </w:r>
      <w:r>
        <w:rPr>
          <w:rFonts w:hint="eastAsia" w:ascii="仿宋_GB2312" w:hAnsi="仿宋"/>
          <w:szCs w:val="32"/>
          <w:lang w:val="en-US" w:eastAsia="zh-CN"/>
        </w:rPr>
        <w:t>100</w:t>
      </w:r>
      <w:r>
        <w:rPr>
          <w:rFonts w:hint="eastAsia" w:ascii="仿宋_GB2312" w:hAnsi="仿宋"/>
          <w:szCs w:val="32"/>
        </w:rPr>
        <w:t>%。与2019年相比，一般公共预算财政拨款支出增加</w:t>
      </w:r>
      <w:r>
        <w:rPr>
          <w:rFonts w:hint="eastAsia" w:ascii="仿宋_GB2312" w:hAnsi="仿宋"/>
          <w:szCs w:val="32"/>
          <w:lang w:val="en-US" w:eastAsia="zh-CN"/>
        </w:rPr>
        <w:t>2344.97</w:t>
      </w:r>
      <w:r>
        <w:rPr>
          <w:rFonts w:hint="eastAsia" w:ascii="仿宋_GB2312" w:hAnsi="仿宋"/>
          <w:szCs w:val="32"/>
        </w:rPr>
        <w:t>万元，增长</w:t>
      </w:r>
      <w:r>
        <w:rPr>
          <w:rFonts w:hint="eastAsia" w:ascii="仿宋_GB2312" w:hAnsi="仿宋"/>
          <w:szCs w:val="32"/>
          <w:lang w:val="en-US" w:eastAsia="zh-CN"/>
        </w:rPr>
        <w:t>85.6</w:t>
      </w:r>
      <w:r>
        <w:rPr>
          <w:rFonts w:hint="eastAsia" w:ascii="仿宋_GB2312" w:hAnsi="仿宋"/>
          <w:szCs w:val="32"/>
        </w:rPr>
        <w:t>%。主要原因一是</w:t>
      </w:r>
      <w:r>
        <w:rPr>
          <w:rFonts w:hint="eastAsia" w:ascii="仿宋_GB2312" w:hAnsi="仿宋"/>
          <w:szCs w:val="32"/>
          <w:lang w:eastAsia="zh-CN"/>
        </w:rPr>
        <w:t>人员经费的增加</w:t>
      </w:r>
      <w:r>
        <w:rPr>
          <w:rFonts w:hint="eastAsia" w:ascii="仿宋_GB2312" w:hAnsi="仿宋"/>
          <w:szCs w:val="32"/>
        </w:rPr>
        <w:t>；二是</w:t>
      </w:r>
      <w:r>
        <w:rPr>
          <w:rFonts w:hint="eastAsia" w:ascii="仿宋_GB2312" w:hAnsi="仿宋"/>
          <w:szCs w:val="32"/>
          <w:lang w:eastAsia="zh-CN"/>
        </w:rPr>
        <w:t>办公经费的增加</w:t>
      </w:r>
      <w:r>
        <w:rPr>
          <w:rFonts w:hint="eastAsia" w:ascii="仿宋_GB2312" w:hAnsi="仿宋"/>
          <w:szCs w:val="32"/>
        </w:rPr>
        <w:t>。</w:t>
      </w:r>
    </w:p>
    <w:p>
      <w:pPr>
        <w:ind w:firstLine="643" w:firstLineChars="200"/>
        <w:rPr>
          <w:rFonts w:hint="eastAsia" w:ascii="仿宋_GB2312" w:hAnsi="仿宋"/>
          <w:b/>
          <w:szCs w:val="32"/>
        </w:rPr>
      </w:pPr>
      <w:r>
        <w:rPr>
          <w:rFonts w:hint="eastAsia" w:ascii="仿宋_GB2312" w:hAnsi="仿宋"/>
          <w:b/>
          <w:szCs w:val="32"/>
        </w:rPr>
        <w:t>（二）一般公共预算财政拨款支出决算结构情况。</w:t>
      </w:r>
    </w:p>
    <w:p>
      <w:pPr>
        <w:ind w:firstLine="640" w:firstLineChars="200"/>
        <w:rPr>
          <w:rFonts w:ascii="仿宋_GB2312" w:hAnsi="仿宋"/>
          <w:szCs w:val="32"/>
        </w:rPr>
      </w:pPr>
      <w:r>
        <w:rPr>
          <w:rFonts w:hint="eastAsia" w:ascii="仿宋_GB2312" w:hAnsi="仿宋"/>
          <w:szCs w:val="32"/>
        </w:rPr>
        <w:t>2020年度一般公共预算财政拨款支出</w:t>
      </w:r>
      <w:r>
        <w:rPr>
          <w:rFonts w:hint="eastAsia" w:ascii="仿宋_GB2312" w:hAnsi="仿宋"/>
          <w:szCs w:val="32"/>
          <w:lang w:val="en-US" w:eastAsia="zh-CN"/>
        </w:rPr>
        <w:t>5084.2</w:t>
      </w:r>
      <w:r>
        <w:rPr>
          <w:rFonts w:hint="eastAsia" w:ascii="仿宋_GB2312" w:hAnsi="仿宋"/>
          <w:szCs w:val="32"/>
        </w:rPr>
        <w:t>万元，主要用于以下方面：</w:t>
      </w:r>
      <w:r>
        <w:rPr>
          <w:rFonts w:hint="eastAsia" w:ascii="仿宋_GB2312" w:hAnsi="仿宋"/>
          <w:b/>
          <w:szCs w:val="32"/>
        </w:rPr>
        <w:t>一般公共服务（类）</w:t>
      </w:r>
      <w:r>
        <w:rPr>
          <w:rFonts w:hint="eastAsia" w:ascii="仿宋_GB2312" w:hAnsi="仿宋"/>
          <w:szCs w:val="32"/>
        </w:rPr>
        <w:t>支出</w:t>
      </w:r>
      <w:r>
        <w:rPr>
          <w:rFonts w:hint="eastAsia" w:ascii="仿宋_GB2312" w:hAnsi="仿宋"/>
          <w:szCs w:val="32"/>
          <w:lang w:val="en-US" w:eastAsia="zh-CN"/>
        </w:rPr>
        <w:t>439.31</w:t>
      </w:r>
      <w:r>
        <w:rPr>
          <w:rFonts w:hint="eastAsia" w:ascii="仿宋_GB2312" w:hAnsi="仿宋"/>
          <w:szCs w:val="32"/>
        </w:rPr>
        <w:t>万元，占</w:t>
      </w:r>
      <w:r>
        <w:rPr>
          <w:rFonts w:hint="eastAsia" w:ascii="仿宋_GB2312" w:hAnsi="仿宋"/>
          <w:szCs w:val="32"/>
          <w:lang w:val="en-US" w:eastAsia="zh-CN"/>
        </w:rPr>
        <w:t>8.7</w:t>
      </w:r>
      <w:r>
        <w:rPr>
          <w:rFonts w:hint="eastAsia" w:ascii="仿宋_GB2312" w:hAnsi="仿宋"/>
          <w:szCs w:val="32"/>
        </w:rPr>
        <w:t>%;</w:t>
      </w:r>
      <w:r>
        <w:rPr>
          <w:rFonts w:hint="eastAsia" w:ascii="仿宋_GB2312" w:hAnsi="仿宋"/>
          <w:b/>
          <w:szCs w:val="32"/>
        </w:rPr>
        <w:t>社会保障和就业（类）</w:t>
      </w:r>
      <w:r>
        <w:rPr>
          <w:rFonts w:hint="eastAsia" w:ascii="仿宋_GB2312" w:hAnsi="仿宋"/>
          <w:szCs w:val="32"/>
        </w:rPr>
        <w:t>支出</w:t>
      </w:r>
      <w:r>
        <w:rPr>
          <w:rFonts w:hint="eastAsia" w:ascii="仿宋_GB2312" w:hAnsi="仿宋"/>
          <w:szCs w:val="32"/>
          <w:lang w:val="en-US" w:eastAsia="zh-CN"/>
        </w:rPr>
        <w:t>457</w:t>
      </w:r>
      <w:r>
        <w:rPr>
          <w:rFonts w:hint="eastAsia" w:ascii="仿宋_GB2312" w:hAnsi="仿宋"/>
          <w:szCs w:val="32"/>
        </w:rPr>
        <w:t>万元，占</w:t>
      </w:r>
      <w:r>
        <w:rPr>
          <w:rFonts w:hint="eastAsia" w:ascii="仿宋_GB2312" w:hAnsi="仿宋"/>
          <w:szCs w:val="32"/>
          <w:lang w:val="en-US" w:eastAsia="zh-CN"/>
        </w:rPr>
        <w:t>9</w:t>
      </w:r>
      <w:r>
        <w:rPr>
          <w:rFonts w:hint="eastAsia" w:ascii="仿宋_GB2312" w:hAnsi="仿宋"/>
          <w:szCs w:val="32"/>
        </w:rPr>
        <w:t>%；</w:t>
      </w:r>
      <w:r>
        <w:rPr>
          <w:rFonts w:hint="eastAsia" w:ascii="仿宋_GB2312" w:hAnsi="仿宋"/>
          <w:b/>
          <w:bCs/>
          <w:szCs w:val="32"/>
          <w:lang w:val="en-US" w:eastAsia="zh-CN"/>
        </w:rPr>
        <w:t>节能环保（类）</w:t>
      </w:r>
      <w:r>
        <w:rPr>
          <w:rFonts w:hint="eastAsia" w:ascii="仿宋_GB2312" w:hAnsi="仿宋"/>
          <w:szCs w:val="32"/>
          <w:lang w:val="en-US" w:eastAsia="zh-CN"/>
        </w:rPr>
        <w:t>支出399万元，占7.8%；</w:t>
      </w:r>
      <w:r>
        <w:rPr>
          <w:rFonts w:hint="eastAsia" w:ascii="仿宋_GB2312" w:hAnsi="仿宋"/>
          <w:b/>
          <w:bCs/>
          <w:szCs w:val="32"/>
          <w:lang w:val="en-US" w:eastAsia="zh-CN"/>
        </w:rPr>
        <w:t>城乡社区（类）</w:t>
      </w:r>
      <w:r>
        <w:rPr>
          <w:rFonts w:hint="eastAsia" w:ascii="仿宋_GB2312" w:hAnsi="仿宋"/>
          <w:b w:val="0"/>
          <w:bCs w:val="0"/>
          <w:szCs w:val="32"/>
          <w:lang w:val="en-US" w:eastAsia="zh-CN"/>
        </w:rPr>
        <w:t>支出326万元，占6.4%；</w:t>
      </w:r>
      <w:r>
        <w:rPr>
          <w:rFonts w:hint="eastAsia" w:ascii="仿宋_GB2312" w:hAnsi="仿宋"/>
          <w:b/>
          <w:szCs w:val="32"/>
        </w:rPr>
        <w:t>农林水（类）</w:t>
      </w:r>
      <w:r>
        <w:rPr>
          <w:rFonts w:hint="eastAsia" w:ascii="仿宋_GB2312" w:hAnsi="仿宋"/>
          <w:szCs w:val="32"/>
        </w:rPr>
        <w:t>支出</w:t>
      </w:r>
      <w:r>
        <w:rPr>
          <w:rFonts w:hint="eastAsia" w:ascii="仿宋_GB2312" w:hAnsi="仿宋"/>
          <w:szCs w:val="32"/>
          <w:lang w:val="en-US" w:eastAsia="zh-CN"/>
        </w:rPr>
        <w:t>3375.34</w:t>
      </w:r>
      <w:r>
        <w:rPr>
          <w:rFonts w:hint="eastAsia" w:ascii="仿宋_GB2312" w:hAnsi="仿宋"/>
          <w:szCs w:val="32"/>
        </w:rPr>
        <w:t>万元，占</w:t>
      </w:r>
      <w:r>
        <w:rPr>
          <w:rFonts w:hint="eastAsia" w:ascii="仿宋_GB2312" w:hAnsi="仿宋"/>
          <w:szCs w:val="32"/>
          <w:lang w:val="en-US" w:eastAsia="zh-CN"/>
        </w:rPr>
        <w:t>66.4</w:t>
      </w:r>
      <w:r>
        <w:rPr>
          <w:rFonts w:hint="eastAsia" w:ascii="仿宋_GB2312" w:hAnsi="仿宋"/>
          <w:szCs w:val="32"/>
        </w:rPr>
        <w:t>%；</w:t>
      </w:r>
      <w:r>
        <w:rPr>
          <w:rFonts w:hint="eastAsia" w:ascii="仿宋_GB2312" w:hAnsi="仿宋"/>
          <w:b/>
          <w:szCs w:val="32"/>
        </w:rPr>
        <w:t>住房保障（类）</w:t>
      </w:r>
      <w:r>
        <w:rPr>
          <w:rFonts w:hint="eastAsia" w:ascii="仿宋_GB2312" w:hAnsi="仿宋"/>
          <w:szCs w:val="32"/>
        </w:rPr>
        <w:t>支出</w:t>
      </w:r>
      <w:r>
        <w:rPr>
          <w:rFonts w:hint="eastAsia" w:ascii="仿宋_GB2312" w:hAnsi="仿宋"/>
          <w:szCs w:val="32"/>
          <w:lang w:val="en-US" w:eastAsia="zh-CN"/>
        </w:rPr>
        <w:t>87.55</w:t>
      </w:r>
      <w:r>
        <w:rPr>
          <w:rFonts w:hint="eastAsia" w:ascii="仿宋_GB2312" w:hAnsi="仿宋"/>
          <w:szCs w:val="32"/>
        </w:rPr>
        <w:t>万元，占</w:t>
      </w:r>
      <w:r>
        <w:rPr>
          <w:rFonts w:hint="eastAsia" w:ascii="仿宋_GB2312" w:hAnsi="仿宋"/>
          <w:szCs w:val="32"/>
          <w:lang w:val="en-US" w:eastAsia="zh-CN"/>
        </w:rPr>
        <w:t>1.7</w:t>
      </w:r>
      <w:r>
        <w:rPr>
          <w:rFonts w:hint="eastAsia" w:ascii="仿宋_GB2312" w:hAnsi="仿宋"/>
          <w:szCs w:val="32"/>
        </w:rPr>
        <w:t>%。</w:t>
      </w:r>
    </w:p>
    <w:p>
      <w:pPr>
        <w:ind w:firstLine="643" w:firstLineChars="200"/>
        <w:rPr>
          <w:rFonts w:hint="eastAsia" w:ascii="仿宋_GB2312" w:hAnsi="仿宋"/>
          <w:b/>
          <w:bCs/>
          <w:szCs w:val="32"/>
        </w:rPr>
      </w:pPr>
      <w:r>
        <w:rPr>
          <w:rFonts w:hint="eastAsia" w:ascii="仿宋_GB2312" w:hAnsi="仿宋"/>
          <w:b/>
          <w:bCs/>
          <w:szCs w:val="32"/>
        </w:rPr>
        <w:t>（三）一般公共预算财政拨款支出决算具体情况。</w:t>
      </w:r>
    </w:p>
    <w:p>
      <w:pPr>
        <w:ind w:firstLine="640" w:firstLineChars="200"/>
        <w:rPr>
          <w:rFonts w:hint="eastAsia" w:ascii="仿宋_GB2312" w:hAnsi="仿宋"/>
          <w:szCs w:val="32"/>
        </w:rPr>
      </w:pPr>
      <w:r>
        <w:rPr>
          <w:rFonts w:hint="eastAsia" w:ascii="仿宋_GB2312" w:hAnsi="仿宋"/>
          <w:szCs w:val="32"/>
        </w:rPr>
        <w:t>2020年度一般公共预算财政拨款支出年初预算为</w:t>
      </w:r>
      <w:r>
        <w:rPr>
          <w:rFonts w:hint="eastAsia" w:ascii="仿宋_GB2312" w:hAnsi="仿宋"/>
          <w:szCs w:val="32"/>
          <w:lang w:val="en-US" w:eastAsia="zh-CN"/>
        </w:rPr>
        <w:t>4075</w:t>
      </w:r>
      <w:r>
        <w:rPr>
          <w:rFonts w:hint="eastAsia" w:ascii="仿宋_GB2312" w:hAnsi="仿宋"/>
          <w:szCs w:val="32"/>
        </w:rPr>
        <w:t>万元，支出决算为</w:t>
      </w:r>
      <w:r>
        <w:rPr>
          <w:rFonts w:hint="eastAsia" w:ascii="仿宋_GB2312" w:hAnsi="仿宋"/>
          <w:szCs w:val="32"/>
          <w:lang w:val="en-US" w:eastAsia="zh-CN"/>
        </w:rPr>
        <w:t>5084.2</w:t>
      </w:r>
      <w:r>
        <w:rPr>
          <w:rFonts w:hint="eastAsia" w:ascii="仿宋_GB2312" w:hAnsi="仿宋"/>
          <w:szCs w:val="32"/>
        </w:rPr>
        <w:t>万元，完成年初预算的</w:t>
      </w:r>
      <w:r>
        <w:rPr>
          <w:rFonts w:hint="eastAsia" w:ascii="仿宋_GB2312" w:hAnsi="仿宋"/>
          <w:szCs w:val="32"/>
          <w:lang w:val="en-US" w:eastAsia="zh-CN"/>
        </w:rPr>
        <w:t>124.8</w:t>
      </w:r>
      <w:r>
        <w:rPr>
          <w:rFonts w:hint="eastAsia" w:ascii="仿宋_GB2312" w:hAnsi="仿宋"/>
          <w:szCs w:val="32"/>
        </w:rPr>
        <w:t>%。决算数大于预算数的主要原因:一是</w:t>
      </w:r>
      <w:r>
        <w:rPr>
          <w:rFonts w:hint="eastAsia" w:ascii="仿宋_GB2312" w:hAnsi="仿宋"/>
          <w:szCs w:val="32"/>
          <w:lang w:eastAsia="zh-CN"/>
        </w:rPr>
        <w:t>人员工资的增加</w:t>
      </w:r>
      <w:r>
        <w:rPr>
          <w:rFonts w:hint="eastAsia" w:ascii="仿宋_GB2312" w:hAnsi="仿宋"/>
          <w:szCs w:val="32"/>
        </w:rPr>
        <w:t>；二是</w:t>
      </w:r>
      <w:r>
        <w:rPr>
          <w:rFonts w:hint="eastAsia" w:ascii="仿宋_GB2312" w:hAnsi="仿宋"/>
          <w:szCs w:val="32"/>
          <w:lang w:eastAsia="zh-CN"/>
        </w:rPr>
        <w:t>办公经费的增加</w:t>
      </w:r>
      <w:r>
        <w:rPr>
          <w:rFonts w:hint="eastAsia" w:ascii="仿宋_GB2312" w:hAnsi="仿宋"/>
          <w:szCs w:val="32"/>
        </w:rPr>
        <w:t>。其中:基本支出</w:t>
      </w:r>
      <w:r>
        <w:rPr>
          <w:rFonts w:hint="eastAsia" w:ascii="仿宋_GB2312" w:hAnsi="仿宋"/>
          <w:szCs w:val="32"/>
          <w:lang w:val="en-US" w:eastAsia="zh-CN"/>
        </w:rPr>
        <w:t>2588.86</w:t>
      </w:r>
      <w:r>
        <w:rPr>
          <w:rFonts w:hint="eastAsia" w:ascii="仿宋_GB2312" w:hAnsi="仿宋"/>
          <w:szCs w:val="32"/>
        </w:rPr>
        <w:t>万元，占</w:t>
      </w:r>
      <w:r>
        <w:rPr>
          <w:rFonts w:hint="eastAsia" w:ascii="仿宋_GB2312" w:hAnsi="仿宋"/>
          <w:szCs w:val="32"/>
          <w:lang w:val="en-US" w:eastAsia="zh-CN"/>
        </w:rPr>
        <w:t>50.9</w:t>
      </w:r>
      <w:r>
        <w:rPr>
          <w:rFonts w:hint="eastAsia" w:ascii="仿宋_GB2312" w:hAnsi="仿宋"/>
          <w:szCs w:val="32"/>
        </w:rPr>
        <w:t>%；项目支出</w:t>
      </w:r>
      <w:r>
        <w:rPr>
          <w:rFonts w:hint="eastAsia" w:ascii="仿宋_GB2312" w:hAnsi="仿宋"/>
          <w:szCs w:val="32"/>
          <w:lang w:val="en-US" w:eastAsia="zh-CN"/>
        </w:rPr>
        <w:t>2495.34</w:t>
      </w:r>
      <w:r>
        <w:rPr>
          <w:rFonts w:hint="eastAsia" w:ascii="仿宋_GB2312" w:hAnsi="仿宋"/>
          <w:szCs w:val="32"/>
        </w:rPr>
        <w:t>万元，占</w:t>
      </w:r>
      <w:r>
        <w:rPr>
          <w:rFonts w:hint="eastAsia" w:ascii="仿宋_GB2312" w:hAnsi="仿宋"/>
          <w:szCs w:val="32"/>
          <w:lang w:val="en-US" w:eastAsia="zh-CN"/>
        </w:rPr>
        <w:t>49.1</w:t>
      </w:r>
      <w:r>
        <w:rPr>
          <w:rFonts w:hint="eastAsia" w:ascii="仿宋_GB2312" w:hAnsi="仿宋"/>
          <w:szCs w:val="32"/>
        </w:rPr>
        <w:t>%。具体情况如下：</w:t>
      </w:r>
    </w:p>
    <w:p>
      <w:pPr>
        <w:ind w:firstLine="643" w:firstLineChars="200"/>
        <w:rPr>
          <w:rFonts w:hint="eastAsia" w:ascii="仿宋_GB2312" w:hAnsi="仿宋"/>
          <w:szCs w:val="32"/>
        </w:rPr>
      </w:pPr>
      <w:r>
        <w:rPr>
          <w:rFonts w:hint="eastAsia" w:ascii="仿宋_GB2312" w:hAnsi="仿宋"/>
          <w:b/>
          <w:bCs/>
          <w:szCs w:val="32"/>
        </w:rPr>
        <w:t>1.</w:t>
      </w:r>
      <w:r>
        <w:rPr>
          <w:rFonts w:hint="eastAsia" w:ascii="仿宋_GB2312" w:hAnsi="仿宋"/>
          <w:b/>
          <w:szCs w:val="32"/>
        </w:rPr>
        <w:t>一般公共服务（类）</w:t>
      </w:r>
      <w:r>
        <w:rPr>
          <w:rFonts w:hint="eastAsia" w:ascii="仿宋_GB2312" w:hAnsi="仿宋"/>
          <w:b/>
          <w:szCs w:val="32"/>
          <w:lang w:eastAsia="zh-CN"/>
        </w:rPr>
        <w:t>政府办公厅（室）及相关机构事务</w:t>
      </w:r>
      <w:r>
        <w:rPr>
          <w:rFonts w:hint="eastAsia" w:ascii="仿宋_GB2312" w:hAnsi="仿宋"/>
          <w:b/>
          <w:szCs w:val="32"/>
        </w:rPr>
        <w:t>（款）行政运行（项）</w:t>
      </w:r>
      <w:r>
        <w:rPr>
          <w:rFonts w:hint="eastAsia" w:ascii="仿宋_GB2312" w:hAnsi="仿宋"/>
          <w:szCs w:val="32"/>
        </w:rPr>
        <w:t>。年初预算为</w:t>
      </w:r>
      <w:r>
        <w:rPr>
          <w:rFonts w:hint="eastAsia" w:ascii="仿宋_GB2312" w:hAnsi="仿宋"/>
          <w:szCs w:val="32"/>
          <w:lang w:val="en-US" w:eastAsia="zh-CN"/>
        </w:rPr>
        <w:t>410</w:t>
      </w:r>
      <w:r>
        <w:rPr>
          <w:rFonts w:hint="eastAsia" w:ascii="仿宋_GB2312" w:hAnsi="仿宋"/>
          <w:szCs w:val="32"/>
        </w:rPr>
        <w:t>万元，支出决算为</w:t>
      </w:r>
      <w:r>
        <w:rPr>
          <w:rFonts w:hint="eastAsia" w:ascii="仿宋_GB2312" w:hAnsi="仿宋"/>
          <w:szCs w:val="32"/>
          <w:lang w:val="en-US" w:eastAsia="zh-CN"/>
        </w:rPr>
        <w:t>439.31</w:t>
      </w:r>
      <w:r>
        <w:rPr>
          <w:rFonts w:hint="eastAsia" w:ascii="仿宋_GB2312" w:hAnsi="仿宋"/>
          <w:szCs w:val="32"/>
        </w:rPr>
        <w:t>万元，完成年初预算的</w:t>
      </w:r>
      <w:r>
        <w:rPr>
          <w:rFonts w:hint="eastAsia" w:ascii="仿宋_GB2312" w:hAnsi="仿宋"/>
          <w:szCs w:val="32"/>
          <w:lang w:val="en-US" w:eastAsia="zh-CN"/>
        </w:rPr>
        <w:t>107.1</w:t>
      </w:r>
      <w:r>
        <w:rPr>
          <w:rFonts w:hint="eastAsia" w:ascii="仿宋_GB2312" w:hAnsi="仿宋"/>
          <w:szCs w:val="32"/>
        </w:rPr>
        <w:t>%，决算数大于预算数的主要原因是</w:t>
      </w:r>
      <w:r>
        <w:rPr>
          <w:rFonts w:hint="eastAsia" w:ascii="仿宋_GB2312" w:hAnsi="仿宋"/>
          <w:szCs w:val="32"/>
          <w:lang w:eastAsia="zh-CN"/>
        </w:rPr>
        <w:t>人员工资的增加</w:t>
      </w:r>
      <w:r>
        <w:rPr>
          <w:rFonts w:hint="eastAsia" w:ascii="仿宋_GB2312" w:hAnsi="仿宋"/>
          <w:szCs w:val="32"/>
        </w:rPr>
        <w:t>。</w:t>
      </w:r>
    </w:p>
    <w:p>
      <w:pPr>
        <w:spacing w:line="600" w:lineRule="exact"/>
        <w:ind w:firstLine="643" w:firstLineChars="200"/>
        <w:rPr>
          <w:rFonts w:eastAsia="仿宋_GB2312"/>
          <w:szCs w:val="32"/>
        </w:rPr>
      </w:pPr>
      <w:r>
        <w:rPr>
          <w:rFonts w:hint="eastAsia"/>
          <w:b/>
          <w:bCs/>
          <w:szCs w:val="32"/>
          <w:lang w:val="en-US" w:eastAsia="zh-CN"/>
        </w:rPr>
        <w:t>2</w:t>
      </w:r>
      <w:r>
        <w:rPr>
          <w:rFonts w:eastAsia="仿宋_GB2312"/>
          <w:b/>
          <w:bCs/>
          <w:szCs w:val="32"/>
        </w:rPr>
        <w:t>.</w:t>
      </w:r>
      <w:r>
        <w:rPr>
          <w:rFonts w:hint="eastAsia" w:eastAsia="仿宋_GB2312"/>
          <w:b/>
          <w:bCs/>
          <w:szCs w:val="32"/>
          <w:lang w:eastAsia="zh-CN"/>
        </w:rPr>
        <w:t>社会保障和就业</w:t>
      </w:r>
      <w:r>
        <w:rPr>
          <w:rFonts w:eastAsia="仿宋_GB2312"/>
          <w:b/>
          <w:bCs/>
          <w:szCs w:val="32"/>
        </w:rPr>
        <w:t>（类）</w:t>
      </w:r>
      <w:r>
        <w:rPr>
          <w:rFonts w:hint="eastAsia" w:eastAsia="仿宋_GB2312"/>
          <w:b/>
          <w:bCs/>
          <w:szCs w:val="32"/>
          <w:lang w:eastAsia="zh-CN"/>
        </w:rPr>
        <w:t>最低生活保障</w:t>
      </w:r>
      <w:r>
        <w:rPr>
          <w:rFonts w:eastAsia="仿宋_GB2312"/>
          <w:b/>
          <w:bCs/>
          <w:szCs w:val="32"/>
        </w:rPr>
        <w:t>（款）</w:t>
      </w:r>
      <w:r>
        <w:rPr>
          <w:rFonts w:hint="eastAsia" w:eastAsia="仿宋_GB2312"/>
          <w:b/>
          <w:bCs/>
          <w:szCs w:val="32"/>
          <w:lang w:eastAsia="zh-CN"/>
        </w:rPr>
        <w:t>农村最低生活保障金支出</w:t>
      </w:r>
      <w:r>
        <w:rPr>
          <w:rFonts w:eastAsia="仿宋_GB2312"/>
          <w:b/>
          <w:bCs/>
          <w:szCs w:val="32"/>
        </w:rPr>
        <w:t>（项）</w:t>
      </w:r>
      <w:r>
        <w:rPr>
          <w:rFonts w:eastAsia="仿宋_GB2312"/>
          <w:szCs w:val="32"/>
        </w:rPr>
        <w:t>。年初预算为</w:t>
      </w:r>
      <w:r>
        <w:rPr>
          <w:rFonts w:hint="eastAsia"/>
          <w:szCs w:val="32"/>
          <w:lang w:val="en-US" w:eastAsia="zh-CN"/>
        </w:rPr>
        <w:t>100</w:t>
      </w:r>
      <w:r>
        <w:rPr>
          <w:rFonts w:eastAsia="仿宋_GB2312"/>
          <w:szCs w:val="32"/>
        </w:rPr>
        <w:t>万元，支出决算为</w:t>
      </w:r>
      <w:r>
        <w:rPr>
          <w:rFonts w:hint="eastAsia"/>
          <w:szCs w:val="32"/>
          <w:lang w:val="en-US" w:eastAsia="zh-CN"/>
        </w:rPr>
        <w:t>102</w:t>
      </w:r>
      <w:r>
        <w:rPr>
          <w:rFonts w:eastAsia="仿宋_GB2312"/>
          <w:szCs w:val="32"/>
        </w:rPr>
        <w:t>万元，完成年初预算的</w:t>
      </w:r>
      <w:r>
        <w:rPr>
          <w:rFonts w:hint="eastAsia"/>
          <w:szCs w:val="32"/>
          <w:lang w:val="en-US" w:eastAsia="zh-CN"/>
        </w:rPr>
        <w:t>102</w:t>
      </w:r>
      <w:r>
        <w:rPr>
          <w:rFonts w:eastAsia="仿宋_GB2312"/>
          <w:szCs w:val="32"/>
        </w:rPr>
        <w:t>%，决算数大于预算数的主要原因是</w:t>
      </w:r>
      <w:r>
        <w:rPr>
          <w:rFonts w:hint="eastAsia" w:eastAsia="仿宋_GB2312"/>
          <w:szCs w:val="32"/>
          <w:lang w:eastAsia="zh-CN"/>
        </w:rPr>
        <w:t>农村低保费用的增加</w:t>
      </w:r>
      <w:r>
        <w:rPr>
          <w:rFonts w:eastAsia="仿宋_GB2312"/>
          <w:szCs w:val="32"/>
        </w:rPr>
        <w:t>。</w:t>
      </w:r>
    </w:p>
    <w:p>
      <w:pPr>
        <w:spacing w:line="600" w:lineRule="exact"/>
        <w:ind w:firstLine="643" w:firstLineChars="200"/>
        <w:rPr>
          <w:rFonts w:hint="eastAsia" w:eastAsia="仿宋_GB2312"/>
          <w:b w:val="0"/>
          <w:bCs w:val="0"/>
          <w:szCs w:val="32"/>
          <w:lang w:val="en-US" w:eastAsia="zh-CN"/>
        </w:rPr>
      </w:pPr>
      <w:r>
        <w:rPr>
          <w:rFonts w:hint="eastAsia"/>
          <w:b/>
          <w:bCs/>
          <w:szCs w:val="32"/>
          <w:lang w:val="en-US" w:eastAsia="zh-CN"/>
        </w:rPr>
        <w:t>3</w:t>
      </w:r>
      <w:r>
        <w:rPr>
          <w:rFonts w:eastAsia="仿宋_GB2312"/>
          <w:b/>
          <w:bCs/>
          <w:szCs w:val="32"/>
        </w:rPr>
        <w:t>．</w:t>
      </w:r>
      <w:r>
        <w:rPr>
          <w:rFonts w:hint="eastAsia" w:eastAsia="仿宋_GB2312"/>
          <w:b/>
          <w:bCs/>
          <w:szCs w:val="32"/>
          <w:lang w:eastAsia="zh-CN"/>
        </w:rPr>
        <w:t>社会保障和就业（类）临时救助（款）临时救助支出（项）</w:t>
      </w:r>
      <w:r>
        <w:rPr>
          <w:rFonts w:eastAsia="仿宋_GB2312"/>
          <w:b/>
          <w:bCs/>
          <w:szCs w:val="32"/>
        </w:rPr>
        <w:t>。</w:t>
      </w:r>
      <w:r>
        <w:rPr>
          <w:rFonts w:hint="eastAsia" w:eastAsia="仿宋_GB2312"/>
          <w:b w:val="0"/>
          <w:bCs w:val="0"/>
          <w:szCs w:val="32"/>
          <w:lang w:eastAsia="zh-CN"/>
        </w:rPr>
        <w:t>年初预算数</w:t>
      </w:r>
      <w:r>
        <w:rPr>
          <w:rFonts w:hint="eastAsia"/>
          <w:b w:val="0"/>
          <w:bCs w:val="0"/>
          <w:szCs w:val="32"/>
          <w:lang w:val="en-US" w:eastAsia="zh-CN"/>
        </w:rPr>
        <w:t>4</w:t>
      </w:r>
      <w:r>
        <w:rPr>
          <w:rFonts w:hint="eastAsia" w:eastAsia="仿宋_GB2312"/>
          <w:b w:val="0"/>
          <w:bCs w:val="0"/>
          <w:szCs w:val="32"/>
          <w:lang w:val="en-US" w:eastAsia="zh-CN"/>
        </w:rPr>
        <w:t>万元，支出决算数为</w:t>
      </w:r>
      <w:r>
        <w:rPr>
          <w:rFonts w:hint="eastAsia"/>
          <w:b w:val="0"/>
          <w:bCs w:val="0"/>
          <w:szCs w:val="32"/>
          <w:lang w:val="en-US" w:eastAsia="zh-CN"/>
        </w:rPr>
        <w:t>5</w:t>
      </w:r>
      <w:r>
        <w:rPr>
          <w:rFonts w:hint="eastAsia" w:eastAsia="仿宋_GB2312"/>
          <w:b w:val="0"/>
          <w:bCs w:val="0"/>
          <w:szCs w:val="32"/>
          <w:lang w:val="en-US" w:eastAsia="zh-CN"/>
        </w:rPr>
        <w:t>万元，完成年初预算的</w:t>
      </w:r>
      <w:r>
        <w:rPr>
          <w:rFonts w:hint="eastAsia"/>
          <w:b w:val="0"/>
          <w:bCs w:val="0"/>
          <w:szCs w:val="32"/>
          <w:lang w:val="en-US" w:eastAsia="zh-CN"/>
        </w:rPr>
        <w:t>125</w:t>
      </w:r>
      <w:r>
        <w:rPr>
          <w:rFonts w:hint="eastAsia" w:eastAsia="仿宋_GB2312"/>
          <w:b w:val="0"/>
          <w:bCs w:val="0"/>
          <w:szCs w:val="32"/>
          <w:lang w:val="en-US" w:eastAsia="zh-CN"/>
        </w:rPr>
        <w:t>%，决算数大于预算数的主要原因是救助人员的增加。</w:t>
      </w:r>
    </w:p>
    <w:p>
      <w:pPr>
        <w:spacing w:line="600" w:lineRule="exact"/>
        <w:ind w:firstLine="643" w:firstLineChars="200"/>
        <w:rPr>
          <w:rFonts w:hint="eastAsia" w:eastAsia="仿宋_GB2312"/>
          <w:b w:val="0"/>
          <w:bCs w:val="0"/>
          <w:szCs w:val="32"/>
          <w:lang w:val="en-US" w:eastAsia="zh-CN"/>
        </w:rPr>
      </w:pPr>
      <w:r>
        <w:rPr>
          <w:rFonts w:hint="eastAsia"/>
          <w:b/>
          <w:bCs/>
          <w:szCs w:val="32"/>
          <w:lang w:val="en-US" w:eastAsia="zh-CN"/>
        </w:rPr>
        <w:t>4</w:t>
      </w:r>
      <w:r>
        <w:rPr>
          <w:rFonts w:hint="eastAsia" w:eastAsia="仿宋_GB2312"/>
          <w:b/>
          <w:bCs/>
          <w:szCs w:val="32"/>
          <w:lang w:val="en-US" w:eastAsia="zh-CN"/>
        </w:rPr>
        <w:t>.社会保障和就业（类）特困人员救助供养（款）农村特困人员救助供养支出（项）</w:t>
      </w:r>
      <w:r>
        <w:rPr>
          <w:rFonts w:hint="eastAsia" w:eastAsia="仿宋_GB2312"/>
          <w:b w:val="0"/>
          <w:bCs w:val="0"/>
          <w:szCs w:val="32"/>
          <w:lang w:val="en-US" w:eastAsia="zh-CN"/>
        </w:rPr>
        <w:t>。年初预算</w:t>
      </w:r>
      <w:r>
        <w:rPr>
          <w:rFonts w:hint="eastAsia"/>
          <w:b w:val="0"/>
          <w:bCs w:val="0"/>
          <w:szCs w:val="32"/>
          <w:lang w:val="en-US" w:eastAsia="zh-CN"/>
        </w:rPr>
        <w:t>88</w:t>
      </w:r>
      <w:r>
        <w:rPr>
          <w:rFonts w:hint="eastAsia" w:eastAsia="仿宋_GB2312"/>
          <w:b w:val="0"/>
          <w:bCs w:val="0"/>
          <w:szCs w:val="32"/>
          <w:lang w:val="en-US" w:eastAsia="zh-CN"/>
        </w:rPr>
        <w:t>万元，支出决算数为</w:t>
      </w:r>
      <w:r>
        <w:rPr>
          <w:rFonts w:hint="eastAsia"/>
          <w:b w:val="0"/>
          <w:bCs w:val="0"/>
          <w:szCs w:val="32"/>
          <w:lang w:val="en-US" w:eastAsia="zh-CN"/>
        </w:rPr>
        <w:t>90</w:t>
      </w:r>
      <w:r>
        <w:rPr>
          <w:rFonts w:hint="eastAsia" w:eastAsia="仿宋_GB2312"/>
          <w:b w:val="0"/>
          <w:bCs w:val="0"/>
          <w:szCs w:val="32"/>
          <w:lang w:val="en-US" w:eastAsia="zh-CN"/>
        </w:rPr>
        <w:t>万元，完成年初预算数的</w:t>
      </w:r>
      <w:r>
        <w:rPr>
          <w:rFonts w:hint="eastAsia"/>
          <w:b w:val="0"/>
          <w:bCs w:val="0"/>
          <w:szCs w:val="32"/>
          <w:lang w:val="en-US" w:eastAsia="zh-CN"/>
        </w:rPr>
        <w:t>102.3</w:t>
      </w:r>
      <w:r>
        <w:rPr>
          <w:rFonts w:hint="eastAsia" w:eastAsia="仿宋_GB2312"/>
          <w:b w:val="0"/>
          <w:bCs w:val="0"/>
          <w:szCs w:val="32"/>
          <w:lang w:val="en-US" w:eastAsia="zh-CN"/>
        </w:rPr>
        <w:t>%，决算数大于预算数的主要原因是农村特困人员费用的增加。</w:t>
      </w:r>
    </w:p>
    <w:p>
      <w:pPr>
        <w:spacing w:line="600" w:lineRule="exact"/>
        <w:ind w:firstLine="643" w:firstLineChars="200"/>
        <w:rPr>
          <w:rFonts w:hint="eastAsia" w:eastAsia="仿宋_GB2312"/>
          <w:b w:val="0"/>
          <w:bCs w:val="0"/>
          <w:szCs w:val="32"/>
          <w:lang w:val="en-US" w:eastAsia="zh-CN"/>
        </w:rPr>
      </w:pPr>
      <w:r>
        <w:rPr>
          <w:rFonts w:hint="eastAsia"/>
          <w:b/>
          <w:bCs/>
          <w:szCs w:val="32"/>
          <w:lang w:val="en-US" w:eastAsia="zh-CN"/>
        </w:rPr>
        <w:t>5</w:t>
      </w:r>
      <w:r>
        <w:rPr>
          <w:rFonts w:hint="eastAsia" w:eastAsia="仿宋_GB2312"/>
          <w:b/>
          <w:bCs/>
          <w:szCs w:val="32"/>
          <w:lang w:val="en-US" w:eastAsia="zh-CN"/>
        </w:rPr>
        <w:t>.社会保障和就业（类）其他社会保障和就业支出（款）其他社会保障和就业支出（项）</w:t>
      </w:r>
      <w:r>
        <w:rPr>
          <w:rFonts w:hint="eastAsia" w:eastAsia="仿宋_GB2312"/>
          <w:b w:val="0"/>
          <w:bCs w:val="0"/>
          <w:szCs w:val="32"/>
          <w:lang w:val="en-US" w:eastAsia="zh-CN"/>
        </w:rPr>
        <w:t>。年初预算数为</w:t>
      </w:r>
      <w:r>
        <w:rPr>
          <w:rFonts w:hint="eastAsia"/>
          <w:b w:val="0"/>
          <w:bCs w:val="0"/>
          <w:szCs w:val="32"/>
          <w:lang w:val="en-US" w:eastAsia="zh-CN"/>
        </w:rPr>
        <w:t>258</w:t>
      </w:r>
      <w:r>
        <w:rPr>
          <w:rFonts w:hint="eastAsia" w:eastAsia="仿宋_GB2312"/>
          <w:b w:val="0"/>
          <w:bCs w:val="0"/>
          <w:szCs w:val="32"/>
          <w:lang w:val="en-US" w:eastAsia="zh-CN"/>
        </w:rPr>
        <w:t>万元，决算数为</w:t>
      </w:r>
      <w:r>
        <w:rPr>
          <w:rFonts w:hint="eastAsia"/>
          <w:b w:val="0"/>
          <w:bCs w:val="0"/>
          <w:szCs w:val="32"/>
          <w:lang w:val="en-US" w:eastAsia="zh-CN"/>
        </w:rPr>
        <w:t>260</w:t>
      </w:r>
      <w:r>
        <w:rPr>
          <w:rFonts w:hint="eastAsia" w:eastAsia="仿宋_GB2312"/>
          <w:b w:val="0"/>
          <w:bCs w:val="0"/>
          <w:szCs w:val="32"/>
          <w:lang w:val="en-US" w:eastAsia="zh-CN"/>
        </w:rPr>
        <w:t>万元，完成年初预算数的</w:t>
      </w:r>
      <w:r>
        <w:rPr>
          <w:rFonts w:hint="eastAsia"/>
          <w:b w:val="0"/>
          <w:bCs w:val="0"/>
          <w:szCs w:val="32"/>
          <w:lang w:val="en-US" w:eastAsia="zh-CN"/>
        </w:rPr>
        <w:t>100.8</w:t>
      </w:r>
      <w:r>
        <w:rPr>
          <w:rFonts w:hint="eastAsia" w:eastAsia="仿宋_GB2312"/>
          <w:b w:val="0"/>
          <w:bCs w:val="0"/>
          <w:szCs w:val="32"/>
          <w:lang w:val="en-US" w:eastAsia="zh-CN"/>
        </w:rPr>
        <w:t>%，决算数大于预算数的主要原因是社会保障其他费用的增加。</w:t>
      </w:r>
    </w:p>
    <w:p>
      <w:pPr>
        <w:spacing w:line="600" w:lineRule="exact"/>
        <w:ind w:firstLine="643" w:firstLineChars="200"/>
        <w:rPr>
          <w:rFonts w:hint="eastAsia" w:eastAsia="仿宋_GB2312"/>
          <w:b w:val="0"/>
          <w:bCs w:val="0"/>
          <w:szCs w:val="32"/>
          <w:lang w:val="en-US" w:eastAsia="zh-CN"/>
        </w:rPr>
      </w:pPr>
      <w:r>
        <w:rPr>
          <w:rFonts w:hint="eastAsia"/>
          <w:b/>
          <w:bCs/>
          <w:szCs w:val="32"/>
          <w:lang w:val="en-US" w:eastAsia="zh-CN"/>
        </w:rPr>
        <w:t>6</w:t>
      </w:r>
      <w:r>
        <w:rPr>
          <w:rFonts w:hint="eastAsia" w:eastAsia="仿宋_GB2312"/>
          <w:b/>
          <w:bCs/>
          <w:szCs w:val="32"/>
          <w:lang w:val="en-US" w:eastAsia="zh-CN"/>
        </w:rPr>
        <w:t>.节能环保支出（类）其他节能环保支出（款）其他节能环保支出（项）</w:t>
      </w:r>
      <w:r>
        <w:rPr>
          <w:rFonts w:hint="eastAsia" w:eastAsia="仿宋_GB2312"/>
          <w:b w:val="0"/>
          <w:bCs w:val="0"/>
          <w:szCs w:val="32"/>
          <w:lang w:val="en-US" w:eastAsia="zh-CN"/>
        </w:rPr>
        <w:t>。年初预算数为</w:t>
      </w:r>
      <w:r>
        <w:rPr>
          <w:rFonts w:hint="eastAsia"/>
          <w:b w:val="0"/>
          <w:bCs w:val="0"/>
          <w:szCs w:val="32"/>
          <w:lang w:val="en-US" w:eastAsia="zh-CN"/>
        </w:rPr>
        <w:t>360</w:t>
      </w:r>
      <w:r>
        <w:rPr>
          <w:rFonts w:hint="eastAsia" w:eastAsia="仿宋_GB2312"/>
          <w:b w:val="0"/>
          <w:bCs w:val="0"/>
          <w:szCs w:val="32"/>
          <w:lang w:val="en-US" w:eastAsia="zh-CN"/>
        </w:rPr>
        <w:t>万元，决算数为</w:t>
      </w:r>
      <w:r>
        <w:rPr>
          <w:rFonts w:hint="eastAsia"/>
          <w:b w:val="0"/>
          <w:bCs w:val="0"/>
          <w:szCs w:val="32"/>
          <w:lang w:val="en-US" w:eastAsia="zh-CN"/>
        </w:rPr>
        <w:t>399</w:t>
      </w:r>
      <w:r>
        <w:rPr>
          <w:rFonts w:hint="eastAsia" w:eastAsia="仿宋_GB2312"/>
          <w:b w:val="0"/>
          <w:bCs w:val="0"/>
          <w:szCs w:val="32"/>
          <w:lang w:val="en-US" w:eastAsia="zh-CN"/>
        </w:rPr>
        <w:t>万元，完成年初预算数的</w:t>
      </w:r>
      <w:r>
        <w:rPr>
          <w:rFonts w:hint="eastAsia"/>
          <w:b w:val="0"/>
          <w:bCs w:val="0"/>
          <w:szCs w:val="32"/>
          <w:lang w:val="en-US" w:eastAsia="zh-CN"/>
        </w:rPr>
        <w:t>110.8</w:t>
      </w:r>
      <w:r>
        <w:rPr>
          <w:rFonts w:hint="eastAsia" w:eastAsia="仿宋_GB2312"/>
          <w:b w:val="0"/>
          <w:bCs w:val="0"/>
          <w:szCs w:val="32"/>
          <w:lang w:val="en-US" w:eastAsia="zh-CN"/>
        </w:rPr>
        <w:t>%，决算数</w:t>
      </w:r>
      <w:r>
        <w:rPr>
          <w:rFonts w:hint="eastAsia"/>
          <w:b w:val="0"/>
          <w:bCs w:val="0"/>
          <w:szCs w:val="32"/>
          <w:lang w:val="en-US" w:eastAsia="zh-CN"/>
        </w:rPr>
        <w:t>大于</w:t>
      </w:r>
      <w:r>
        <w:rPr>
          <w:rFonts w:hint="eastAsia" w:eastAsia="仿宋_GB2312"/>
          <w:b w:val="0"/>
          <w:bCs w:val="0"/>
          <w:szCs w:val="32"/>
          <w:lang w:val="en-US" w:eastAsia="zh-CN"/>
        </w:rPr>
        <w:t>预算数的主要原因是节能环保支出的</w:t>
      </w:r>
      <w:r>
        <w:rPr>
          <w:rFonts w:hint="eastAsia"/>
          <w:b w:val="0"/>
          <w:bCs w:val="0"/>
          <w:szCs w:val="32"/>
          <w:lang w:val="en-US" w:eastAsia="zh-CN"/>
        </w:rPr>
        <w:t>增加</w:t>
      </w:r>
      <w:r>
        <w:rPr>
          <w:rFonts w:hint="eastAsia" w:eastAsia="仿宋_GB2312"/>
          <w:b w:val="0"/>
          <w:bCs w:val="0"/>
          <w:szCs w:val="32"/>
          <w:lang w:val="en-US" w:eastAsia="zh-CN"/>
        </w:rPr>
        <w:t>。</w:t>
      </w:r>
    </w:p>
    <w:p>
      <w:pPr>
        <w:spacing w:line="600" w:lineRule="exact"/>
        <w:ind w:firstLine="643" w:firstLineChars="200"/>
        <w:rPr>
          <w:rFonts w:hint="eastAsia" w:eastAsia="仿宋_GB2312"/>
          <w:b w:val="0"/>
          <w:bCs w:val="0"/>
          <w:szCs w:val="32"/>
          <w:lang w:val="en-US" w:eastAsia="zh-CN"/>
        </w:rPr>
      </w:pPr>
      <w:r>
        <w:rPr>
          <w:rFonts w:hint="eastAsia"/>
          <w:b/>
          <w:bCs/>
          <w:szCs w:val="32"/>
          <w:lang w:val="en-US" w:eastAsia="zh-CN"/>
        </w:rPr>
        <w:t>7</w:t>
      </w:r>
      <w:r>
        <w:rPr>
          <w:rFonts w:hint="eastAsia" w:eastAsia="仿宋_GB2312"/>
          <w:b/>
          <w:bCs/>
          <w:szCs w:val="32"/>
          <w:lang w:val="en-US" w:eastAsia="zh-CN"/>
        </w:rPr>
        <w:t>.城乡社区支出（类）其他城乡社区支出（款）其他城乡社区支出（项）</w:t>
      </w:r>
      <w:r>
        <w:rPr>
          <w:rFonts w:hint="eastAsia" w:eastAsia="仿宋_GB2312"/>
          <w:b w:val="0"/>
          <w:bCs w:val="0"/>
          <w:szCs w:val="32"/>
          <w:lang w:val="en-US" w:eastAsia="zh-CN"/>
        </w:rPr>
        <w:t>。年初预算数为</w:t>
      </w:r>
      <w:r>
        <w:rPr>
          <w:rFonts w:hint="eastAsia"/>
          <w:b w:val="0"/>
          <w:bCs w:val="0"/>
          <w:szCs w:val="32"/>
          <w:lang w:val="en-US" w:eastAsia="zh-CN"/>
        </w:rPr>
        <w:t>315</w:t>
      </w:r>
      <w:r>
        <w:rPr>
          <w:rFonts w:hint="eastAsia" w:eastAsia="仿宋_GB2312"/>
          <w:b w:val="0"/>
          <w:bCs w:val="0"/>
          <w:szCs w:val="32"/>
          <w:lang w:val="en-US" w:eastAsia="zh-CN"/>
        </w:rPr>
        <w:t>万元，决算数为</w:t>
      </w:r>
      <w:r>
        <w:rPr>
          <w:rFonts w:hint="eastAsia"/>
          <w:b w:val="0"/>
          <w:bCs w:val="0"/>
          <w:szCs w:val="32"/>
          <w:lang w:val="en-US" w:eastAsia="zh-CN"/>
        </w:rPr>
        <w:t>326</w:t>
      </w:r>
      <w:r>
        <w:rPr>
          <w:rFonts w:hint="eastAsia" w:eastAsia="仿宋_GB2312"/>
          <w:b w:val="0"/>
          <w:bCs w:val="0"/>
          <w:szCs w:val="32"/>
          <w:lang w:val="en-US" w:eastAsia="zh-CN"/>
        </w:rPr>
        <w:t>万元，完成年初预算数的</w:t>
      </w:r>
      <w:r>
        <w:rPr>
          <w:rFonts w:hint="eastAsia"/>
          <w:b w:val="0"/>
          <w:bCs w:val="0"/>
          <w:szCs w:val="32"/>
          <w:lang w:val="en-US" w:eastAsia="zh-CN"/>
        </w:rPr>
        <w:t>103.5</w:t>
      </w:r>
      <w:r>
        <w:rPr>
          <w:rFonts w:hint="eastAsia" w:eastAsia="仿宋_GB2312"/>
          <w:b w:val="0"/>
          <w:bCs w:val="0"/>
          <w:szCs w:val="32"/>
          <w:lang w:val="en-US" w:eastAsia="zh-CN"/>
        </w:rPr>
        <w:t>%，决算数大于预算数的主要原因是城乡社区的其他支出增加。</w:t>
      </w:r>
    </w:p>
    <w:p>
      <w:pPr>
        <w:spacing w:line="600" w:lineRule="exact"/>
        <w:ind w:firstLine="640" w:firstLineChars="200"/>
        <w:rPr>
          <w:rFonts w:hint="eastAsia" w:eastAsia="仿宋_GB2312"/>
          <w:b w:val="0"/>
          <w:bCs w:val="0"/>
          <w:szCs w:val="32"/>
          <w:lang w:val="en-US" w:eastAsia="zh-CN"/>
        </w:rPr>
      </w:pPr>
      <w:r>
        <w:rPr>
          <w:rFonts w:hint="eastAsia"/>
          <w:b w:val="0"/>
          <w:bCs w:val="0"/>
          <w:szCs w:val="32"/>
          <w:lang w:val="en-US" w:eastAsia="zh-CN"/>
        </w:rPr>
        <w:t>8</w:t>
      </w:r>
      <w:r>
        <w:rPr>
          <w:rFonts w:hint="eastAsia" w:eastAsia="仿宋_GB2312"/>
          <w:b w:val="0"/>
          <w:bCs w:val="0"/>
          <w:szCs w:val="32"/>
          <w:lang w:val="en-US" w:eastAsia="zh-CN"/>
        </w:rPr>
        <w:t>.</w:t>
      </w:r>
      <w:r>
        <w:rPr>
          <w:rFonts w:hint="eastAsia" w:eastAsia="仿宋_GB2312"/>
          <w:b/>
          <w:bCs/>
          <w:szCs w:val="32"/>
          <w:lang w:val="en-US" w:eastAsia="zh-CN"/>
        </w:rPr>
        <w:t>农林水支出（类）</w:t>
      </w:r>
      <w:r>
        <w:rPr>
          <w:rFonts w:hint="eastAsia"/>
          <w:b/>
          <w:bCs/>
          <w:szCs w:val="32"/>
          <w:lang w:val="en-US" w:eastAsia="zh-CN"/>
        </w:rPr>
        <w:t>农村农业</w:t>
      </w:r>
      <w:r>
        <w:rPr>
          <w:rFonts w:hint="eastAsia" w:eastAsia="仿宋_GB2312"/>
          <w:b/>
          <w:bCs/>
          <w:szCs w:val="32"/>
          <w:lang w:val="en-US" w:eastAsia="zh-CN"/>
        </w:rPr>
        <w:t>（款）</w:t>
      </w:r>
      <w:r>
        <w:rPr>
          <w:rFonts w:hint="eastAsia"/>
          <w:b/>
          <w:bCs/>
          <w:szCs w:val="32"/>
          <w:lang w:val="en-US" w:eastAsia="zh-CN"/>
        </w:rPr>
        <w:t>其他农村农业支出</w:t>
      </w:r>
      <w:r>
        <w:rPr>
          <w:rFonts w:hint="eastAsia" w:eastAsia="仿宋_GB2312"/>
          <w:b/>
          <w:bCs/>
          <w:szCs w:val="32"/>
          <w:lang w:val="en-US" w:eastAsia="zh-CN"/>
        </w:rPr>
        <w:t>（项）</w:t>
      </w:r>
      <w:r>
        <w:rPr>
          <w:rFonts w:hint="eastAsia" w:eastAsia="仿宋_GB2312"/>
          <w:b w:val="0"/>
          <w:bCs w:val="0"/>
          <w:szCs w:val="32"/>
          <w:lang w:val="en-US" w:eastAsia="zh-CN"/>
        </w:rPr>
        <w:t>。年初预算数</w:t>
      </w:r>
      <w:r>
        <w:rPr>
          <w:rFonts w:hint="eastAsia"/>
          <w:b w:val="0"/>
          <w:bCs w:val="0"/>
          <w:szCs w:val="32"/>
          <w:lang w:val="en-US" w:eastAsia="zh-CN"/>
        </w:rPr>
        <w:t>580</w:t>
      </w:r>
      <w:r>
        <w:rPr>
          <w:rFonts w:hint="eastAsia" w:eastAsia="仿宋_GB2312"/>
          <w:b w:val="0"/>
          <w:bCs w:val="0"/>
          <w:szCs w:val="32"/>
          <w:lang w:val="en-US" w:eastAsia="zh-CN"/>
        </w:rPr>
        <w:t>万元，决算数为</w:t>
      </w:r>
      <w:r>
        <w:rPr>
          <w:rFonts w:hint="eastAsia"/>
          <w:b w:val="0"/>
          <w:bCs w:val="0"/>
          <w:szCs w:val="32"/>
          <w:lang w:val="en-US" w:eastAsia="zh-CN"/>
        </w:rPr>
        <w:t>780</w:t>
      </w:r>
      <w:r>
        <w:rPr>
          <w:rFonts w:hint="eastAsia" w:eastAsia="仿宋_GB2312"/>
          <w:b w:val="0"/>
          <w:bCs w:val="0"/>
          <w:szCs w:val="32"/>
          <w:lang w:val="en-US" w:eastAsia="zh-CN"/>
        </w:rPr>
        <w:t>万元，完成年初预算数的</w:t>
      </w:r>
      <w:r>
        <w:rPr>
          <w:rFonts w:hint="eastAsia"/>
          <w:b w:val="0"/>
          <w:bCs w:val="0"/>
          <w:szCs w:val="32"/>
          <w:lang w:val="en-US" w:eastAsia="zh-CN"/>
        </w:rPr>
        <w:t>134.5</w:t>
      </w:r>
      <w:r>
        <w:rPr>
          <w:rFonts w:hint="eastAsia" w:eastAsia="仿宋_GB2312"/>
          <w:b w:val="0"/>
          <w:bCs w:val="0"/>
          <w:szCs w:val="32"/>
          <w:lang w:val="en-US" w:eastAsia="zh-CN"/>
        </w:rPr>
        <w:t>%，决算数大于预算数的原因是</w:t>
      </w:r>
      <w:r>
        <w:rPr>
          <w:rFonts w:hint="eastAsia"/>
          <w:b w:val="0"/>
          <w:bCs w:val="0"/>
          <w:szCs w:val="32"/>
          <w:lang w:val="en-US" w:eastAsia="zh-CN"/>
        </w:rPr>
        <w:t>其他农业支出</w:t>
      </w:r>
      <w:r>
        <w:rPr>
          <w:rFonts w:hint="eastAsia" w:eastAsia="仿宋_GB2312"/>
          <w:b w:val="0"/>
          <w:bCs w:val="0"/>
          <w:szCs w:val="32"/>
          <w:lang w:val="en-US" w:eastAsia="zh-CN"/>
        </w:rPr>
        <w:t>费用的增加。</w:t>
      </w:r>
    </w:p>
    <w:p>
      <w:pPr>
        <w:spacing w:line="600" w:lineRule="exact"/>
        <w:ind w:firstLine="643" w:firstLineChars="200"/>
        <w:rPr>
          <w:rFonts w:hint="eastAsia" w:eastAsia="仿宋_GB2312"/>
          <w:b w:val="0"/>
          <w:bCs w:val="0"/>
          <w:szCs w:val="32"/>
          <w:lang w:val="en-US" w:eastAsia="zh-CN"/>
        </w:rPr>
      </w:pPr>
      <w:r>
        <w:rPr>
          <w:rFonts w:hint="eastAsia"/>
          <w:b/>
          <w:bCs/>
          <w:szCs w:val="32"/>
          <w:lang w:val="en-US" w:eastAsia="zh-CN"/>
        </w:rPr>
        <w:t>9</w:t>
      </w:r>
      <w:r>
        <w:rPr>
          <w:rFonts w:hint="eastAsia" w:eastAsia="仿宋_GB2312"/>
          <w:b/>
          <w:bCs/>
          <w:szCs w:val="32"/>
          <w:lang w:val="en-US" w:eastAsia="zh-CN"/>
        </w:rPr>
        <w:t>.农林水支出（类）水利（款）其他水利支出（项）</w:t>
      </w:r>
      <w:r>
        <w:rPr>
          <w:rFonts w:hint="eastAsia" w:eastAsia="仿宋_GB2312"/>
          <w:b w:val="0"/>
          <w:bCs w:val="0"/>
          <w:szCs w:val="32"/>
          <w:lang w:val="en-US" w:eastAsia="zh-CN"/>
        </w:rPr>
        <w:t>。年初预算数为</w:t>
      </w:r>
      <w:r>
        <w:rPr>
          <w:rFonts w:hint="eastAsia"/>
          <w:b w:val="0"/>
          <w:bCs w:val="0"/>
          <w:szCs w:val="32"/>
          <w:lang w:val="en-US" w:eastAsia="zh-CN"/>
        </w:rPr>
        <w:t>1800</w:t>
      </w:r>
      <w:r>
        <w:rPr>
          <w:rFonts w:hint="eastAsia" w:eastAsia="仿宋_GB2312"/>
          <w:b w:val="0"/>
          <w:bCs w:val="0"/>
          <w:szCs w:val="32"/>
          <w:lang w:val="en-US" w:eastAsia="zh-CN"/>
        </w:rPr>
        <w:t>万元，决算数为</w:t>
      </w:r>
      <w:r>
        <w:rPr>
          <w:rFonts w:hint="eastAsia"/>
          <w:b w:val="0"/>
          <w:bCs w:val="0"/>
          <w:szCs w:val="32"/>
          <w:lang w:val="en-US" w:eastAsia="zh-CN"/>
        </w:rPr>
        <w:t>2495.34</w:t>
      </w:r>
      <w:r>
        <w:rPr>
          <w:rFonts w:hint="eastAsia" w:eastAsia="仿宋_GB2312"/>
          <w:b w:val="0"/>
          <w:bCs w:val="0"/>
          <w:szCs w:val="32"/>
          <w:lang w:val="en-US" w:eastAsia="zh-CN"/>
        </w:rPr>
        <w:t>万元，完成年初预算数的</w:t>
      </w:r>
      <w:r>
        <w:rPr>
          <w:rFonts w:hint="eastAsia"/>
          <w:b w:val="0"/>
          <w:bCs w:val="0"/>
          <w:szCs w:val="32"/>
          <w:lang w:val="en-US" w:eastAsia="zh-CN"/>
        </w:rPr>
        <w:t>138.6</w:t>
      </w:r>
      <w:r>
        <w:rPr>
          <w:rFonts w:hint="eastAsia" w:eastAsia="仿宋_GB2312"/>
          <w:b w:val="0"/>
          <w:bCs w:val="0"/>
          <w:szCs w:val="32"/>
          <w:lang w:val="en-US" w:eastAsia="zh-CN"/>
        </w:rPr>
        <w:t>%，决算数大于预算数的主要原因是水利支出的增加。</w:t>
      </w:r>
    </w:p>
    <w:p>
      <w:pPr>
        <w:spacing w:line="600" w:lineRule="exact"/>
        <w:ind w:firstLine="643" w:firstLineChars="200"/>
        <w:rPr>
          <w:rFonts w:hint="eastAsia" w:eastAsia="仿宋_GB2312"/>
          <w:b w:val="0"/>
          <w:bCs w:val="0"/>
          <w:szCs w:val="32"/>
          <w:lang w:val="en-US" w:eastAsia="zh-CN"/>
        </w:rPr>
      </w:pPr>
      <w:r>
        <w:rPr>
          <w:rFonts w:hint="eastAsia"/>
          <w:b/>
          <w:bCs/>
          <w:szCs w:val="32"/>
          <w:lang w:val="en-US" w:eastAsia="zh-CN"/>
        </w:rPr>
        <w:t>10</w:t>
      </w:r>
      <w:r>
        <w:rPr>
          <w:rFonts w:hint="eastAsia" w:eastAsia="仿宋_GB2312"/>
          <w:b/>
          <w:bCs/>
          <w:szCs w:val="32"/>
          <w:lang w:val="en-US" w:eastAsia="zh-CN"/>
        </w:rPr>
        <w:t>.农林水支出（类）农村综合改革（款）对村集体经济组织的补助（项）</w:t>
      </w:r>
      <w:r>
        <w:rPr>
          <w:rFonts w:hint="eastAsia" w:eastAsia="仿宋_GB2312"/>
          <w:b w:val="0"/>
          <w:bCs w:val="0"/>
          <w:szCs w:val="32"/>
          <w:lang w:val="en-US" w:eastAsia="zh-CN"/>
        </w:rPr>
        <w:t>。年初预算数为</w:t>
      </w:r>
      <w:r>
        <w:rPr>
          <w:rFonts w:hint="eastAsia"/>
          <w:b w:val="0"/>
          <w:bCs w:val="0"/>
          <w:szCs w:val="32"/>
          <w:lang w:val="en-US" w:eastAsia="zh-CN"/>
        </w:rPr>
        <w:t>80</w:t>
      </w:r>
      <w:r>
        <w:rPr>
          <w:rFonts w:hint="eastAsia" w:eastAsia="仿宋_GB2312"/>
          <w:b w:val="0"/>
          <w:bCs w:val="0"/>
          <w:szCs w:val="32"/>
          <w:lang w:val="en-US" w:eastAsia="zh-CN"/>
        </w:rPr>
        <w:t>万元，决算数为</w:t>
      </w:r>
      <w:r>
        <w:rPr>
          <w:rFonts w:hint="eastAsia"/>
          <w:b w:val="0"/>
          <w:bCs w:val="0"/>
          <w:szCs w:val="32"/>
          <w:lang w:val="en-US" w:eastAsia="zh-CN"/>
        </w:rPr>
        <w:t>100</w:t>
      </w:r>
      <w:r>
        <w:rPr>
          <w:rFonts w:hint="eastAsia" w:eastAsia="仿宋_GB2312"/>
          <w:b w:val="0"/>
          <w:bCs w:val="0"/>
          <w:szCs w:val="32"/>
          <w:lang w:val="en-US" w:eastAsia="zh-CN"/>
        </w:rPr>
        <w:t>万元，完成年初预算数的114.29%，决算数大于预算数的主要原因是对村集体经济组织的补助增加。</w:t>
      </w:r>
    </w:p>
    <w:p>
      <w:pPr>
        <w:spacing w:line="600" w:lineRule="exact"/>
        <w:ind w:firstLine="643" w:firstLineChars="200"/>
        <w:rPr>
          <w:rFonts w:hint="default" w:eastAsia="仿宋_GB2312"/>
          <w:b w:val="0"/>
          <w:bCs w:val="0"/>
          <w:szCs w:val="32"/>
          <w:lang w:val="en-US" w:eastAsia="zh-CN"/>
        </w:rPr>
      </w:pPr>
      <w:r>
        <w:rPr>
          <w:rFonts w:hint="eastAsia"/>
          <w:b/>
          <w:bCs/>
          <w:szCs w:val="32"/>
          <w:lang w:val="en-US" w:eastAsia="zh-CN"/>
        </w:rPr>
        <w:t>11</w:t>
      </w:r>
      <w:r>
        <w:rPr>
          <w:rFonts w:hint="eastAsia" w:eastAsia="仿宋_GB2312"/>
          <w:b/>
          <w:bCs/>
          <w:szCs w:val="32"/>
          <w:lang w:val="en-US" w:eastAsia="zh-CN"/>
        </w:rPr>
        <w:t>.住房保障支出（类）住房改革支出（款）住房公积金（项）</w:t>
      </w:r>
      <w:r>
        <w:rPr>
          <w:rFonts w:hint="eastAsia" w:eastAsia="仿宋_GB2312"/>
          <w:b w:val="0"/>
          <w:bCs w:val="0"/>
          <w:szCs w:val="32"/>
          <w:lang w:val="en-US" w:eastAsia="zh-CN"/>
        </w:rPr>
        <w:t>。年初预算数为</w:t>
      </w:r>
      <w:r>
        <w:rPr>
          <w:rFonts w:hint="eastAsia"/>
          <w:b w:val="0"/>
          <w:bCs w:val="0"/>
          <w:szCs w:val="32"/>
          <w:lang w:val="en-US" w:eastAsia="zh-CN"/>
        </w:rPr>
        <w:t>80</w:t>
      </w:r>
      <w:r>
        <w:rPr>
          <w:rFonts w:hint="eastAsia" w:eastAsia="仿宋_GB2312"/>
          <w:b w:val="0"/>
          <w:bCs w:val="0"/>
          <w:szCs w:val="32"/>
          <w:lang w:val="en-US" w:eastAsia="zh-CN"/>
        </w:rPr>
        <w:t>万元，决算数为</w:t>
      </w:r>
      <w:r>
        <w:rPr>
          <w:rFonts w:hint="eastAsia"/>
          <w:b w:val="0"/>
          <w:bCs w:val="0"/>
          <w:szCs w:val="32"/>
          <w:lang w:val="en-US" w:eastAsia="zh-CN"/>
        </w:rPr>
        <w:t>87.55</w:t>
      </w:r>
      <w:r>
        <w:rPr>
          <w:rFonts w:hint="eastAsia" w:eastAsia="仿宋_GB2312"/>
          <w:b w:val="0"/>
          <w:bCs w:val="0"/>
          <w:szCs w:val="32"/>
          <w:lang w:val="en-US" w:eastAsia="zh-CN"/>
        </w:rPr>
        <w:t>万元，完成年初预算数的</w:t>
      </w:r>
      <w:r>
        <w:rPr>
          <w:rFonts w:hint="eastAsia"/>
          <w:b w:val="0"/>
          <w:bCs w:val="0"/>
          <w:szCs w:val="32"/>
          <w:lang w:val="en-US" w:eastAsia="zh-CN"/>
        </w:rPr>
        <w:t>109.4</w:t>
      </w:r>
      <w:r>
        <w:rPr>
          <w:rFonts w:hint="eastAsia" w:eastAsia="仿宋_GB2312"/>
          <w:b w:val="0"/>
          <w:bCs w:val="0"/>
          <w:szCs w:val="32"/>
          <w:lang w:val="en-US" w:eastAsia="zh-CN"/>
        </w:rPr>
        <w:t>%，决算数大于预算数的主要原因是人员工资的调整。</w:t>
      </w:r>
    </w:p>
    <w:p>
      <w:pPr>
        <w:ind w:firstLine="640" w:firstLineChars="200"/>
        <w:rPr>
          <w:rFonts w:hint="eastAsia" w:ascii="黑体" w:hAnsi="仿宋" w:eastAsia="黑体"/>
          <w:szCs w:val="32"/>
        </w:rPr>
      </w:pPr>
      <w:r>
        <w:rPr>
          <w:rFonts w:hint="eastAsia" w:ascii="黑体" w:hAnsi="仿宋" w:eastAsia="黑体"/>
          <w:szCs w:val="32"/>
        </w:rPr>
        <w:t>六、一般公共预算财政拨款基本支出决算情况说明</w:t>
      </w:r>
    </w:p>
    <w:p>
      <w:pPr>
        <w:ind w:firstLine="640" w:firstLineChars="200"/>
        <w:rPr>
          <w:rFonts w:hint="eastAsia" w:ascii="仿宋_GB2312" w:hAnsi="仿宋"/>
          <w:szCs w:val="32"/>
        </w:rPr>
      </w:pPr>
      <w:r>
        <w:rPr>
          <w:rFonts w:hint="eastAsia" w:ascii="仿宋_GB2312" w:hAnsi="仿宋"/>
          <w:szCs w:val="32"/>
        </w:rPr>
        <w:t>2020年度财政拨款基本支出</w:t>
      </w:r>
      <w:r>
        <w:rPr>
          <w:rFonts w:hint="eastAsia" w:ascii="仿宋_GB2312" w:hAnsi="仿宋"/>
          <w:szCs w:val="32"/>
          <w:lang w:val="en-US" w:eastAsia="zh-CN"/>
        </w:rPr>
        <w:t>2588.86</w:t>
      </w:r>
      <w:r>
        <w:rPr>
          <w:rFonts w:hint="eastAsia" w:ascii="仿宋_GB2312" w:hAnsi="仿宋"/>
          <w:szCs w:val="32"/>
        </w:rPr>
        <w:t>万元，其中</w:t>
      </w:r>
      <w:r>
        <w:rPr>
          <w:rFonts w:hint="eastAsia" w:ascii="仿宋_GB2312" w:hAnsi="仿宋"/>
          <w:color w:val="FF0000"/>
          <w:szCs w:val="32"/>
        </w:rPr>
        <w:t>：</w:t>
      </w:r>
      <w:r>
        <w:rPr>
          <w:rFonts w:hint="eastAsia" w:ascii="仿宋_GB2312" w:hAnsi="仿宋"/>
          <w:szCs w:val="32"/>
        </w:rPr>
        <w:t>人员经费</w:t>
      </w:r>
      <w:r>
        <w:rPr>
          <w:rFonts w:hint="eastAsia" w:ascii="仿宋_GB2312" w:hAnsi="仿宋"/>
          <w:szCs w:val="32"/>
          <w:lang w:val="en-US" w:eastAsia="zh-CN"/>
        </w:rPr>
        <w:t>952.51</w:t>
      </w:r>
      <w:r>
        <w:rPr>
          <w:rFonts w:hint="eastAsia" w:ascii="仿宋_GB2312" w:hAnsi="仿宋"/>
          <w:szCs w:val="32"/>
        </w:rPr>
        <w:t>万元，主要包括:基本工资、津贴补贴、奖金、伙食补助费、机关事业单位基本养老保险费、职业年金缴费、职工基本医疗保险缴费、其他社会保障缴费、住房公积金、其他工资福利支出</w:t>
      </w:r>
      <w:r>
        <w:rPr>
          <w:rFonts w:hint="eastAsia" w:ascii="仿宋_GB2312" w:hAnsi="仿宋"/>
          <w:szCs w:val="32"/>
          <w:lang w:eastAsia="zh-CN"/>
        </w:rPr>
        <w:t>、</w:t>
      </w:r>
      <w:r>
        <w:rPr>
          <w:rFonts w:hint="eastAsia" w:ascii="仿宋_GB2312" w:hAnsi="仿宋"/>
          <w:szCs w:val="32"/>
        </w:rPr>
        <w:t>生活补助；公用经费</w:t>
      </w:r>
      <w:r>
        <w:rPr>
          <w:rFonts w:hint="eastAsia" w:ascii="仿宋_GB2312" w:hAnsi="仿宋"/>
          <w:szCs w:val="32"/>
          <w:lang w:val="en-US" w:eastAsia="zh-CN"/>
        </w:rPr>
        <w:t>1636.35</w:t>
      </w:r>
      <w:r>
        <w:rPr>
          <w:rFonts w:hint="eastAsia" w:ascii="仿宋_GB2312" w:hAnsi="仿宋"/>
          <w:szCs w:val="32"/>
        </w:rPr>
        <w:t>万元，主要包括：办公费、印刷费、咨询费、水费、电费、差旅费、维修（护）费、会议费、培训费、公务接待费、劳务费、公务用车运行维护费、其他交通费用、其他商品服务支出、费用补贴。</w:t>
      </w:r>
    </w:p>
    <w:p>
      <w:pPr>
        <w:ind w:firstLine="640" w:firstLineChars="200"/>
        <w:rPr>
          <w:rFonts w:hint="eastAsia" w:ascii="黑体" w:hAnsi="黑体" w:eastAsia="黑体"/>
          <w:szCs w:val="32"/>
        </w:rPr>
      </w:pPr>
      <w:r>
        <w:rPr>
          <w:rFonts w:hint="eastAsia" w:ascii="黑体" w:hAnsi="仿宋" w:eastAsia="黑体"/>
          <w:szCs w:val="32"/>
        </w:rPr>
        <w:t>七、</w:t>
      </w:r>
      <w:r>
        <w:rPr>
          <w:rFonts w:hint="eastAsia" w:ascii="黑体" w:hAnsi="黑体" w:eastAsia="黑体"/>
          <w:szCs w:val="32"/>
        </w:rPr>
        <w:t>政府性基金财政拨款收入支出决算情况说明</w:t>
      </w:r>
    </w:p>
    <w:p>
      <w:pPr>
        <w:ind w:firstLine="640" w:firstLineChars="200"/>
        <w:rPr>
          <w:rFonts w:hint="eastAsia" w:ascii="楷体_GB2312" w:hAnsi="仿宋" w:eastAsia="楷体_GB2312"/>
          <w:szCs w:val="32"/>
        </w:rPr>
      </w:pPr>
      <w:r>
        <w:rPr>
          <w:rFonts w:hint="eastAsia" w:ascii="楷体_GB2312" w:hAnsi="仿宋" w:eastAsia="楷体_GB2312"/>
          <w:szCs w:val="32"/>
          <w:lang w:eastAsia="zh-CN"/>
        </w:rPr>
        <w:t>池州市贵池区人民政府墩上街道办事处（本级）</w:t>
      </w:r>
      <w:r>
        <w:rPr>
          <w:rFonts w:hint="eastAsia" w:ascii="楷体_GB2312" w:hAnsi="仿宋" w:eastAsia="楷体_GB2312"/>
          <w:szCs w:val="32"/>
        </w:rPr>
        <w:t>没有政府性基金收入，也没有使用政府性基金安排的支出。</w:t>
      </w:r>
    </w:p>
    <w:p>
      <w:pPr>
        <w:ind w:firstLine="640" w:firstLineChars="200"/>
        <w:rPr>
          <w:rFonts w:hint="eastAsia" w:ascii="黑体" w:hAnsi="黑体" w:eastAsia="黑体"/>
          <w:szCs w:val="32"/>
        </w:rPr>
      </w:pPr>
      <w:r>
        <w:rPr>
          <w:rFonts w:hint="eastAsia" w:ascii="黑体" w:hAnsi="黑体" w:eastAsia="黑体"/>
          <w:szCs w:val="32"/>
        </w:rPr>
        <w:t>八、国有资本经营预算财政拨款支出情况说明</w:t>
      </w:r>
    </w:p>
    <w:p>
      <w:pPr>
        <w:ind w:firstLine="640" w:firstLineChars="200"/>
        <w:rPr>
          <w:rFonts w:hint="eastAsia" w:ascii="楷体_GB2312" w:hAnsi="仿宋" w:eastAsia="楷体_GB2312"/>
          <w:szCs w:val="32"/>
        </w:rPr>
      </w:pPr>
      <w:r>
        <w:rPr>
          <w:rFonts w:hint="eastAsia" w:ascii="楷体_GB2312" w:hAnsi="仿宋" w:eastAsia="楷体_GB2312"/>
          <w:szCs w:val="32"/>
          <w:lang w:eastAsia="zh-CN"/>
        </w:rPr>
        <w:t>池州市贵池区人民政府墩上街道办事处（本级）</w:t>
      </w:r>
      <w:r>
        <w:rPr>
          <w:rFonts w:hint="eastAsia" w:ascii="楷体_GB2312" w:hAnsi="仿宋" w:eastAsia="楷体_GB2312"/>
          <w:szCs w:val="32"/>
        </w:rPr>
        <w:t>没有使用国有资本经营预算财政拨款安排的支出。</w:t>
      </w:r>
    </w:p>
    <w:p>
      <w:pPr>
        <w:adjustRightInd w:val="0"/>
        <w:snapToGrid w:val="0"/>
        <w:spacing w:line="600" w:lineRule="exact"/>
        <w:ind w:firstLine="640" w:firstLineChars="200"/>
        <w:rPr>
          <w:rFonts w:hint="eastAsia" w:ascii="黑体" w:hAnsi="黑体" w:eastAsia="黑体"/>
          <w:szCs w:val="32"/>
        </w:rPr>
      </w:pPr>
      <w:r>
        <w:rPr>
          <w:rFonts w:hint="eastAsia" w:ascii="黑体" w:hAnsi="黑体" w:eastAsia="黑体"/>
          <w:szCs w:val="32"/>
        </w:rPr>
        <w:t>九、其他重要事项情况说明</w:t>
      </w:r>
    </w:p>
    <w:p>
      <w:pPr>
        <w:adjustRightInd w:val="0"/>
        <w:snapToGrid w:val="0"/>
        <w:spacing w:line="600" w:lineRule="exact"/>
        <w:ind w:firstLine="643" w:firstLineChars="200"/>
        <w:rPr>
          <w:rFonts w:hint="eastAsia" w:ascii="仿宋_GB2312" w:hAnsi="楷体"/>
          <w:b/>
          <w:szCs w:val="32"/>
        </w:rPr>
      </w:pPr>
      <w:r>
        <w:rPr>
          <w:rFonts w:hint="eastAsia" w:ascii="仿宋_GB2312" w:hAnsi="楷体"/>
          <w:b/>
          <w:szCs w:val="32"/>
        </w:rPr>
        <w:t>（一）机关运行经费支出情况。</w:t>
      </w:r>
    </w:p>
    <w:p>
      <w:pPr>
        <w:adjustRightInd w:val="0"/>
        <w:snapToGrid w:val="0"/>
        <w:spacing w:line="600" w:lineRule="exact"/>
        <w:ind w:firstLine="640" w:firstLineChars="200"/>
        <w:rPr>
          <w:rFonts w:hint="eastAsia" w:ascii="仿宋_GB2312" w:hAnsi="仿宋"/>
          <w:szCs w:val="32"/>
        </w:rPr>
      </w:pPr>
      <w:r>
        <w:rPr>
          <w:rFonts w:hint="eastAsia" w:ascii="仿宋_GB2312" w:hAnsi="仿宋"/>
          <w:szCs w:val="32"/>
        </w:rPr>
        <w:t>2020年度，</w:t>
      </w:r>
      <w:r>
        <w:rPr>
          <w:rFonts w:hint="eastAsia" w:ascii="仿宋_GB2312" w:hAnsi="仿宋"/>
          <w:szCs w:val="32"/>
          <w:lang w:eastAsia="zh-CN"/>
        </w:rPr>
        <w:t>池州市贵池区人民政府墩上街道办事处（本级）</w:t>
      </w:r>
      <w:r>
        <w:rPr>
          <w:rFonts w:hint="eastAsia" w:ascii="仿宋_GB2312" w:hAnsi="仿宋"/>
          <w:szCs w:val="32"/>
        </w:rPr>
        <w:t>单位机关运行经费支出</w:t>
      </w:r>
      <w:r>
        <w:rPr>
          <w:rFonts w:hint="eastAsia" w:ascii="仿宋_GB2312" w:hAnsi="仿宋"/>
          <w:szCs w:val="32"/>
          <w:lang w:val="en-US" w:eastAsia="zh-CN"/>
        </w:rPr>
        <w:t>1636.35</w:t>
      </w:r>
      <w:r>
        <w:rPr>
          <w:rFonts w:hint="eastAsia" w:ascii="仿宋_GB2312" w:hAnsi="仿宋"/>
          <w:szCs w:val="32"/>
        </w:rPr>
        <w:t>万元，比2019年增加</w:t>
      </w:r>
      <w:r>
        <w:rPr>
          <w:rFonts w:hint="eastAsia" w:ascii="仿宋_GB2312" w:hAnsi="仿宋"/>
          <w:szCs w:val="32"/>
          <w:lang w:val="en-US" w:eastAsia="zh-CN"/>
        </w:rPr>
        <w:t>582.48</w:t>
      </w:r>
      <w:r>
        <w:rPr>
          <w:rFonts w:hint="eastAsia" w:ascii="仿宋_GB2312" w:hAnsi="仿宋"/>
          <w:szCs w:val="32"/>
        </w:rPr>
        <w:t>万元，增长</w:t>
      </w:r>
      <w:r>
        <w:rPr>
          <w:rFonts w:hint="eastAsia" w:ascii="仿宋_GB2312" w:hAnsi="仿宋"/>
          <w:szCs w:val="32"/>
          <w:lang w:val="en-US" w:eastAsia="zh-CN"/>
        </w:rPr>
        <w:t>55.3</w:t>
      </w:r>
      <w:r>
        <w:rPr>
          <w:rFonts w:hint="eastAsia" w:ascii="仿宋_GB2312" w:hAnsi="仿宋"/>
          <w:szCs w:val="32"/>
        </w:rPr>
        <w:t>%，主要原因是</w:t>
      </w:r>
      <w:r>
        <w:rPr>
          <w:rFonts w:hint="eastAsia" w:ascii="仿宋_GB2312" w:hAnsi="仿宋"/>
          <w:szCs w:val="32"/>
          <w:lang w:eastAsia="zh-CN"/>
        </w:rPr>
        <w:t>人员工资的增长及办公经费的增加</w:t>
      </w:r>
      <w:r>
        <w:rPr>
          <w:rFonts w:hint="eastAsia" w:ascii="仿宋_GB2312" w:hAnsi="仿宋"/>
          <w:szCs w:val="32"/>
        </w:rPr>
        <w:t>。</w:t>
      </w:r>
    </w:p>
    <w:p>
      <w:pPr>
        <w:adjustRightInd w:val="0"/>
        <w:snapToGrid w:val="0"/>
        <w:spacing w:line="600" w:lineRule="exact"/>
        <w:ind w:firstLine="643" w:firstLineChars="200"/>
        <w:rPr>
          <w:rFonts w:hint="eastAsia" w:ascii="仿宋_GB2312" w:hAnsi="楷体"/>
          <w:b/>
          <w:szCs w:val="32"/>
        </w:rPr>
      </w:pPr>
      <w:r>
        <w:rPr>
          <w:rFonts w:hint="eastAsia" w:ascii="仿宋_GB2312" w:hAnsi="楷体"/>
          <w:b/>
          <w:szCs w:val="32"/>
        </w:rPr>
        <w:t>（二）政府采购支出情况。</w:t>
      </w:r>
    </w:p>
    <w:p>
      <w:pPr>
        <w:adjustRightInd w:val="0"/>
        <w:snapToGrid w:val="0"/>
        <w:spacing w:line="600" w:lineRule="exact"/>
        <w:ind w:firstLine="640" w:firstLineChars="200"/>
        <w:rPr>
          <w:rFonts w:hint="eastAsia" w:ascii="仿宋_GB2312" w:hAnsi="楷体"/>
          <w:szCs w:val="32"/>
        </w:rPr>
      </w:pPr>
      <w:r>
        <w:rPr>
          <w:rFonts w:hint="eastAsia" w:ascii="仿宋_GB2312" w:hAnsi="仿宋"/>
          <w:szCs w:val="32"/>
        </w:rPr>
        <w:t xml:space="preserve">2020年度， </w:t>
      </w:r>
      <w:r>
        <w:rPr>
          <w:rFonts w:hint="eastAsia" w:ascii="仿宋_GB2312" w:hAnsi="仿宋"/>
          <w:szCs w:val="32"/>
          <w:lang w:eastAsia="zh-CN"/>
        </w:rPr>
        <w:t>池州市贵池区人民政府墩上街道办事处</w:t>
      </w:r>
      <w:r>
        <w:rPr>
          <w:rFonts w:hint="eastAsia" w:ascii="仿宋_GB2312" w:hAnsi="仿宋"/>
          <w:szCs w:val="32"/>
        </w:rPr>
        <w:t>单位政府采购支出总额</w:t>
      </w:r>
      <w:r>
        <w:rPr>
          <w:rFonts w:hint="eastAsia" w:ascii="仿宋_GB2312" w:hAnsi="仿宋"/>
          <w:szCs w:val="32"/>
          <w:lang w:val="en-US" w:eastAsia="zh-CN"/>
        </w:rPr>
        <w:t>0</w:t>
      </w:r>
      <w:r>
        <w:rPr>
          <w:rFonts w:hint="eastAsia" w:ascii="仿宋_GB2312" w:hAnsi="仿宋"/>
          <w:szCs w:val="32"/>
        </w:rPr>
        <w:t>万元，其中：政府采购货物支出</w:t>
      </w:r>
      <w:r>
        <w:rPr>
          <w:rFonts w:hint="eastAsia" w:ascii="仿宋_GB2312" w:hAnsi="仿宋"/>
          <w:szCs w:val="32"/>
          <w:lang w:val="en-US" w:eastAsia="zh-CN"/>
        </w:rPr>
        <w:t>0</w:t>
      </w:r>
      <w:r>
        <w:rPr>
          <w:rFonts w:hint="eastAsia" w:ascii="仿宋_GB2312" w:hAnsi="仿宋"/>
          <w:szCs w:val="32"/>
        </w:rPr>
        <w:t>万元、政府采购工程支出</w:t>
      </w:r>
      <w:r>
        <w:rPr>
          <w:rFonts w:hint="eastAsia" w:ascii="仿宋_GB2312" w:hAnsi="仿宋"/>
          <w:szCs w:val="32"/>
          <w:lang w:val="en-US" w:eastAsia="zh-CN"/>
        </w:rPr>
        <w:t>0</w:t>
      </w:r>
      <w:r>
        <w:rPr>
          <w:rFonts w:hint="eastAsia" w:ascii="仿宋_GB2312" w:hAnsi="仿宋"/>
          <w:szCs w:val="32"/>
        </w:rPr>
        <w:t>万元、政府采购服务支出</w:t>
      </w:r>
      <w:r>
        <w:rPr>
          <w:rFonts w:hint="eastAsia" w:ascii="仿宋_GB2312" w:hAnsi="仿宋"/>
          <w:szCs w:val="32"/>
          <w:lang w:val="en-US" w:eastAsia="zh-CN"/>
        </w:rPr>
        <w:t>0</w:t>
      </w:r>
      <w:r>
        <w:rPr>
          <w:rFonts w:hint="eastAsia" w:ascii="仿宋_GB2312" w:hAnsi="仿宋"/>
          <w:szCs w:val="32"/>
        </w:rPr>
        <w:t>万元。授予中小企业合同金额</w:t>
      </w:r>
      <w:r>
        <w:rPr>
          <w:rFonts w:hint="eastAsia" w:ascii="仿宋_GB2312" w:hAnsi="仿宋"/>
          <w:szCs w:val="32"/>
          <w:lang w:val="en-US" w:eastAsia="zh-CN"/>
        </w:rPr>
        <w:t>0</w:t>
      </w:r>
      <w:r>
        <w:rPr>
          <w:rFonts w:hint="eastAsia" w:ascii="仿宋_GB2312" w:hAnsi="仿宋"/>
          <w:szCs w:val="32"/>
        </w:rPr>
        <w:t>万元，占政府采购支出总额的</w:t>
      </w:r>
      <w:r>
        <w:rPr>
          <w:rFonts w:hint="eastAsia" w:ascii="仿宋_GB2312" w:hAnsi="仿宋"/>
          <w:szCs w:val="32"/>
          <w:lang w:val="en-US" w:eastAsia="zh-CN"/>
        </w:rPr>
        <w:t>0</w:t>
      </w:r>
      <w:r>
        <w:rPr>
          <w:rFonts w:hint="eastAsia" w:ascii="仿宋_GB2312" w:hAnsi="仿宋"/>
          <w:szCs w:val="32"/>
        </w:rPr>
        <w:t>%，其中：授予小微企业合同金额</w:t>
      </w:r>
      <w:r>
        <w:rPr>
          <w:rFonts w:hint="eastAsia" w:ascii="仿宋_GB2312" w:hAnsi="仿宋"/>
          <w:szCs w:val="32"/>
          <w:lang w:val="en-US" w:eastAsia="zh-CN"/>
        </w:rPr>
        <w:t>0</w:t>
      </w:r>
      <w:r>
        <w:rPr>
          <w:rFonts w:hint="eastAsia" w:ascii="仿宋_GB2312" w:hAnsi="仿宋"/>
          <w:szCs w:val="32"/>
        </w:rPr>
        <w:t>万元，占政府采购支出总额的</w:t>
      </w:r>
      <w:r>
        <w:rPr>
          <w:rFonts w:hint="eastAsia" w:ascii="仿宋_GB2312" w:hAnsi="仿宋"/>
          <w:szCs w:val="32"/>
          <w:lang w:val="en-US" w:eastAsia="zh-CN"/>
        </w:rPr>
        <w:t>0</w:t>
      </w:r>
      <w:r>
        <w:rPr>
          <w:rFonts w:hint="eastAsia" w:ascii="仿宋_GB2312" w:hAnsi="仿宋"/>
          <w:szCs w:val="32"/>
        </w:rPr>
        <w:t>%。</w:t>
      </w:r>
    </w:p>
    <w:p>
      <w:pPr>
        <w:adjustRightInd w:val="0"/>
        <w:snapToGrid w:val="0"/>
        <w:spacing w:line="600" w:lineRule="exact"/>
        <w:ind w:firstLine="643" w:firstLineChars="200"/>
        <w:rPr>
          <w:rFonts w:hint="eastAsia" w:ascii="仿宋_GB2312" w:hAnsi="楷体"/>
          <w:b/>
          <w:szCs w:val="32"/>
        </w:rPr>
      </w:pPr>
      <w:r>
        <w:rPr>
          <w:rFonts w:hint="eastAsia" w:ascii="仿宋_GB2312" w:hAnsi="楷体"/>
          <w:b/>
          <w:szCs w:val="32"/>
        </w:rPr>
        <w:t>（三）国有资产占有使用情况。</w:t>
      </w:r>
    </w:p>
    <w:p>
      <w:pPr>
        <w:adjustRightInd w:val="0"/>
        <w:snapToGrid w:val="0"/>
        <w:spacing w:line="600" w:lineRule="exact"/>
        <w:ind w:firstLine="640" w:firstLineChars="200"/>
        <w:rPr>
          <w:rFonts w:hint="eastAsia" w:ascii="仿宋_GB2312" w:hAnsi="楷体"/>
          <w:b/>
          <w:szCs w:val="32"/>
        </w:rPr>
      </w:pPr>
      <w:r>
        <w:rPr>
          <w:rFonts w:hint="eastAsia" w:ascii="仿宋_GB2312" w:hAnsi="楷体"/>
          <w:szCs w:val="32"/>
        </w:rPr>
        <w:t>截至2020年12月31日，</w:t>
      </w:r>
      <w:r>
        <w:rPr>
          <w:rFonts w:hint="eastAsia" w:ascii="仿宋_GB2312" w:hAnsi="仿宋"/>
          <w:szCs w:val="32"/>
        </w:rPr>
        <w:t>池州市贵池区</w:t>
      </w:r>
      <w:r>
        <w:rPr>
          <w:rFonts w:hint="eastAsia" w:ascii="仿宋_GB2312" w:hAnsi="仿宋"/>
          <w:szCs w:val="32"/>
          <w:lang w:eastAsia="zh-CN"/>
        </w:rPr>
        <w:t>人民政府墩上街道办事处</w:t>
      </w:r>
      <w:r>
        <w:rPr>
          <w:rFonts w:hint="eastAsia" w:ascii="仿宋_GB2312" w:hAnsi="仿宋"/>
          <w:szCs w:val="32"/>
        </w:rPr>
        <w:t>单位共有车辆</w:t>
      </w:r>
      <w:r>
        <w:rPr>
          <w:rFonts w:hint="eastAsia" w:ascii="仿宋_GB2312" w:hAnsi="仿宋"/>
          <w:szCs w:val="32"/>
          <w:lang w:val="en-US" w:eastAsia="zh-CN"/>
        </w:rPr>
        <w:t>2</w:t>
      </w:r>
      <w:r>
        <w:rPr>
          <w:rFonts w:hint="eastAsia" w:ascii="仿宋_GB2312" w:hAnsi="仿宋"/>
          <w:szCs w:val="32"/>
        </w:rPr>
        <w:t>辆，其中：主要领导干部用车</w:t>
      </w:r>
      <w:r>
        <w:rPr>
          <w:rFonts w:hint="eastAsia" w:ascii="仿宋_GB2312" w:hAnsi="仿宋"/>
          <w:szCs w:val="32"/>
          <w:lang w:val="en-US" w:eastAsia="zh-CN"/>
        </w:rPr>
        <w:t>2</w:t>
      </w:r>
      <w:r>
        <w:rPr>
          <w:rFonts w:hint="eastAsia" w:ascii="仿宋_GB2312" w:hAnsi="仿宋"/>
          <w:szCs w:val="32"/>
        </w:rPr>
        <w:t>辆；单价50万元以上的通用设备</w:t>
      </w:r>
      <w:r>
        <w:rPr>
          <w:rFonts w:hint="eastAsia" w:ascii="仿宋_GB2312" w:hAnsi="仿宋"/>
          <w:szCs w:val="32"/>
          <w:lang w:val="en-US" w:eastAsia="zh-CN"/>
        </w:rPr>
        <w:t>0</w:t>
      </w:r>
      <w:r>
        <w:rPr>
          <w:rFonts w:hint="eastAsia" w:ascii="仿宋_GB2312" w:hAnsi="仿宋"/>
          <w:szCs w:val="32"/>
        </w:rPr>
        <w:t>台（套），单价100万元以上专用设备</w:t>
      </w:r>
      <w:r>
        <w:rPr>
          <w:rFonts w:hint="eastAsia" w:ascii="仿宋_GB2312" w:hAnsi="仿宋"/>
          <w:szCs w:val="32"/>
          <w:lang w:val="en-US" w:eastAsia="zh-CN"/>
        </w:rPr>
        <w:t>0</w:t>
      </w:r>
      <w:r>
        <w:rPr>
          <w:rFonts w:hint="eastAsia" w:ascii="仿宋_GB2312" w:hAnsi="仿宋"/>
          <w:szCs w:val="32"/>
        </w:rPr>
        <w:t>台（套）。</w:t>
      </w:r>
      <w:r>
        <w:rPr>
          <w:rFonts w:ascii="仿宋_GB2312" w:hAnsi="仿宋"/>
          <w:szCs w:val="32"/>
        </w:rPr>
        <w:br w:type="textWrapping"/>
      </w:r>
      <w:r>
        <w:rPr>
          <w:rFonts w:hint="eastAsia" w:ascii="仿宋_GB2312" w:hAnsi="仿宋"/>
          <w:szCs w:val="32"/>
        </w:rPr>
        <w:t xml:space="preserve"> </w:t>
      </w:r>
      <w:r>
        <w:rPr>
          <w:rFonts w:hint="eastAsia" w:ascii="仿宋_GB2312" w:hAnsi="仿宋"/>
          <w:b/>
          <w:bCs/>
          <w:i/>
          <w:iCs/>
          <w:szCs w:val="32"/>
        </w:rPr>
        <w:t xml:space="preserve"> </w:t>
      </w:r>
      <w:r>
        <w:rPr>
          <w:rFonts w:hint="eastAsia" w:ascii="仿宋_GB2312" w:hAnsi="仿宋"/>
          <w:szCs w:val="32"/>
        </w:rPr>
        <w:t xml:space="preserve"> </w:t>
      </w:r>
      <w:r>
        <w:rPr>
          <w:rFonts w:hint="eastAsia" w:ascii="仿宋_GB2312" w:hAnsi="楷体"/>
          <w:b/>
          <w:szCs w:val="32"/>
        </w:rPr>
        <w:t>（四）关于2020年度预算绩效情况说明</w:t>
      </w:r>
    </w:p>
    <w:p>
      <w:pPr>
        <w:spacing w:line="560" w:lineRule="exact"/>
        <w:ind w:firstLine="643" w:firstLineChars="200"/>
        <w:rPr>
          <w:rFonts w:ascii="方正仿宋_GBK" w:hAnsi="仿宋_GB2312" w:eastAsia="方正仿宋_GBK" w:cs="仿宋_GB2312"/>
          <w:bCs/>
          <w:szCs w:val="32"/>
        </w:rPr>
      </w:pPr>
      <w:r>
        <w:rPr>
          <w:rFonts w:hint="eastAsia" w:ascii="仿宋_GB2312" w:hAnsi="仿宋"/>
          <w:b/>
          <w:szCs w:val="32"/>
        </w:rPr>
        <w:t>1</w:t>
      </w:r>
      <w:r>
        <w:rPr>
          <w:rFonts w:ascii="仿宋_GB2312" w:hAnsi="仿宋"/>
          <w:b/>
          <w:szCs w:val="32"/>
        </w:rPr>
        <w:t>.</w:t>
      </w:r>
      <w:r>
        <w:rPr>
          <w:rFonts w:hint="eastAsia" w:ascii="方正仿宋_GBK" w:hAnsi="仿宋_GB2312" w:eastAsia="方正仿宋_GBK" w:cs="仿宋_GB2312"/>
          <w:b/>
          <w:bCs/>
          <w:szCs w:val="32"/>
        </w:rPr>
        <w:t>预算绩效管理工作开展情况。</w:t>
      </w:r>
    </w:p>
    <w:p>
      <w:pPr>
        <w:spacing w:line="560" w:lineRule="exact"/>
        <w:ind w:firstLine="630"/>
        <w:rPr>
          <w:rFonts w:hint="eastAsia" w:ascii="楷体_GB2312" w:hAnsi="楷体_GB2312" w:eastAsia="楷体_GB2312" w:cs="楷体_GB2312"/>
          <w:szCs w:val="32"/>
        </w:rPr>
      </w:pPr>
      <w:r>
        <w:rPr>
          <w:rFonts w:hint="eastAsia" w:ascii="楷体_GB2312" w:hAnsi="楷体_GB2312" w:eastAsia="楷体_GB2312" w:cs="楷体_GB2312"/>
          <w:szCs w:val="32"/>
        </w:rPr>
        <w:t>本</w:t>
      </w:r>
      <w:r>
        <w:rPr>
          <w:rFonts w:hint="eastAsia" w:ascii="楷体_GB2312" w:hAnsi="楷体_GB2312" w:eastAsia="楷体_GB2312" w:cs="楷体_GB2312"/>
          <w:szCs w:val="32"/>
          <w:lang w:eastAsia="zh-CN"/>
        </w:rPr>
        <w:t>单位</w:t>
      </w:r>
      <w:r>
        <w:rPr>
          <w:rFonts w:hint="eastAsia" w:ascii="楷体_GB2312" w:hAnsi="楷体_GB2312" w:eastAsia="楷体_GB2312" w:cs="楷体_GB2312"/>
          <w:szCs w:val="32"/>
        </w:rPr>
        <w:t>没有省财政厅批复绩效目标的项目，因此无相关内容。</w:t>
      </w:r>
    </w:p>
    <w:p>
      <w:pPr>
        <w:numPr>
          <w:ilvl w:val="0"/>
          <w:numId w:val="1"/>
        </w:numPr>
        <w:spacing w:line="560" w:lineRule="exact"/>
        <w:ind w:firstLine="640" w:firstLineChars="200"/>
        <w:rPr>
          <w:rFonts w:hint="eastAsia" w:ascii="方正仿宋_GBK" w:hAnsi="仿宋_GB2312" w:eastAsia="方正仿宋_GBK" w:cs="仿宋_GB2312"/>
          <w:b/>
          <w:bCs/>
          <w:szCs w:val="32"/>
        </w:rPr>
      </w:pPr>
      <w:r>
        <w:rPr>
          <w:rFonts w:hint="eastAsia" w:ascii="方正仿宋_GBK" w:hAnsi="仿宋_GB2312" w:eastAsia="方正仿宋_GBK" w:cs="仿宋_GB2312"/>
          <w:b/>
          <w:bCs/>
          <w:szCs w:val="32"/>
        </w:rPr>
        <w:t>部门决算中项目绩效自评结果。</w:t>
      </w:r>
    </w:p>
    <w:p>
      <w:pPr>
        <w:spacing w:line="560" w:lineRule="exact"/>
        <w:ind w:firstLine="630"/>
        <w:rPr>
          <w:rFonts w:hint="eastAsia" w:ascii="楷体_GB2312" w:hAnsi="楷体_GB2312" w:eastAsia="楷体_GB2312" w:cs="楷体_GB2312"/>
          <w:szCs w:val="32"/>
        </w:rPr>
      </w:pPr>
      <w:r>
        <w:rPr>
          <w:rFonts w:hint="eastAsia" w:ascii="楷体_GB2312" w:hAnsi="楷体_GB2312" w:eastAsia="楷体_GB2312" w:cs="楷体_GB2312"/>
          <w:color w:val="FF0000"/>
          <w:szCs w:val="32"/>
        </w:rPr>
        <w:t xml:space="preserve"> </w:t>
      </w:r>
      <w:r>
        <w:rPr>
          <w:rFonts w:hint="eastAsia" w:ascii="楷体_GB2312" w:hAnsi="楷体_GB2312" w:eastAsia="楷体_GB2312" w:cs="楷体_GB2312"/>
          <w:szCs w:val="32"/>
        </w:rPr>
        <w:t>本</w:t>
      </w:r>
      <w:r>
        <w:rPr>
          <w:rFonts w:hint="eastAsia" w:ascii="楷体_GB2312" w:hAnsi="楷体_GB2312" w:eastAsia="楷体_GB2312" w:cs="楷体_GB2312"/>
          <w:szCs w:val="32"/>
          <w:lang w:eastAsia="zh-CN"/>
        </w:rPr>
        <w:t>单位</w:t>
      </w:r>
      <w:r>
        <w:rPr>
          <w:rFonts w:hint="eastAsia" w:ascii="楷体_GB2312" w:hAnsi="楷体_GB2312" w:eastAsia="楷体_GB2312" w:cs="楷体_GB2312"/>
          <w:szCs w:val="32"/>
        </w:rPr>
        <w:t>没有省财政厅批复绩效目标的项目，因此无相关内容。</w:t>
      </w:r>
    </w:p>
    <w:p>
      <w:pPr>
        <w:spacing w:line="560" w:lineRule="exact"/>
        <w:ind w:firstLine="630"/>
        <w:rPr>
          <w:rFonts w:hint="eastAsia" w:ascii="楷体_GB2312" w:hAnsi="楷体_GB2312" w:eastAsia="楷体_GB2312" w:cs="楷体_GB2312"/>
          <w:szCs w:val="32"/>
        </w:rPr>
      </w:pPr>
      <w:r>
        <w:rPr>
          <w:rFonts w:hint="eastAsia" w:ascii="仿宋_GB2312" w:hAnsi="仿宋"/>
          <w:b/>
          <w:szCs w:val="32"/>
        </w:rPr>
        <w:t>3</w:t>
      </w:r>
      <w:r>
        <w:rPr>
          <w:rFonts w:ascii="仿宋_GB2312" w:hAnsi="仿宋"/>
          <w:b/>
          <w:szCs w:val="32"/>
        </w:rPr>
        <w:t>.</w:t>
      </w:r>
      <w:r>
        <w:rPr>
          <w:rFonts w:hint="eastAsia" w:ascii="方正仿宋_GBK" w:hAnsi="仿宋_GB2312" w:eastAsia="方正仿宋_GBK" w:cs="仿宋_GB2312"/>
          <w:b/>
          <w:color w:val="000000"/>
          <w:szCs w:val="32"/>
        </w:rPr>
        <w:t>部门评价项目绩效评价结果。</w:t>
      </w:r>
      <w:r>
        <w:rPr>
          <w:rFonts w:hint="eastAsia" w:ascii="楷体_GB2312" w:hAnsi="楷体_GB2312" w:eastAsia="楷体_GB2312" w:cs="楷体_GB2312"/>
          <w:szCs w:val="32"/>
        </w:rPr>
        <w:t>本</w:t>
      </w:r>
      <w:r>
        <w:rPr>
          <w:rFonts w:hint="eastAsia" w:ascii="楷体_GB2312" w:hAnsi="楷体_GB2312" w:eastAsia="楷体_GB2312" w:cs="楷体_GB2312"/>
          <w:szCs w:val="32"/>
          <w:lang w:eastAsia="zh-CN"/>
        </w:rPr>
        <w:t>单位</w:t>
      </w:r>
      <w:r>
        <w:rPr>
          <w:rFonts w:hint="eastAsia" w:ascii="楷体_GB2312" w:hAnsi="楷体_GB2312" w:eastAsia="楷体_GB2312" w:cs="楷体_GB2312"/>
          <w:szCs w:val="32"/>
        </w:rPr>
        <w:t>没有省财政厅批复绩效目标的项目，因此无相关内容。</w:t>
      </w:r>
    </w:p>
    <w:p>
      <w:pPr>
        <w:spacing w:line="560" w:lineRule="exact"/>
        <w:ind w:firstLine="640"/>
        <w:rPr>
          <w:rFonts w:ascii="方正仿宋_GBK" w:hAnsi="仿宋_GB2312" w:eastAsia="方正仿宋_GBK" w:cs="仿宋_GB2312"/>
          <w:color w:val="000000"/>
          <w:szCs w:val="32"/>
        </w:rPr>
      </w:pPr>
    </w:p>
    <w:p>
      <w:pPr>
        <w:ind w:firstLine="640"/>
        <w:rPr>
          <w:rFonts w:hint="eastAsia" w:ascii="黑体" w:hAnsi="黑体" w:eastAsia="黑体"/>
          <w:szCs w:val="32"/>
        </w:rPr>
      </w:pPr>
      <w:r>
        <w:rPr>
          <w:rFonts w:hint="eastAsia" w:ascii="黑体" w:hAnsi="黑体" w:eastAsia="黑体"/>
          <w:szCs w:val="32"/>
        </w:rPr>
        <w:t>第四部分 名词解释</w:t>
      </w:r>
    </w:p>
    <w:p>
      <w:pPr>
        <w:adjustRightInd w:val="0"/>
        <w:snapToGrid w:val="0"/>
        <w:spacing w:line="600" w:lineRule="exact"/>
        <w:ind w:left="425" w:firstLine="206" w:firstLineChars="64"/>
        <w:rPr>
          <w:rFonts w:hint="eastAsia" w:ascii="仿宋_GB2312" w:hAnsi="仿宋"/>
          <w:szCs w:val="32"/>
        </w:rPr>
      </w:pPr>
      <w:r>
        <w:rPr>
          <w:rFonts w:hint="eastAsia" w:ascii="仿宋_GB2312" w:hAnsi="仿宋"/>
          <w:b/>
          <w:szCs w:val="32"/>
        </w:rPr>
        <w:t>一、财政拨款收入：</w:t>
      </w:r>
      <w:r>
        <w:rPr>
          <w:rFonts w:hint="eastAsia" w:ascii="仿宋_GB2312" w:hAnsi="仿宋"/>
          <w:szCs w:val="32"/>
        </w:rPr>
        <w:t>指单位从同级财政部门取得的财政预算资金。</w:t>
      </w:r>
    </w:p>
    <w:p>
      <w:pPr>
        <w:adjustRightInd w:val="0"/>
        <w:snapToGrid w:val="0"/>
        <w:spacing w:line="600" w:lineRule="exact"/>
        <w:ind w:firstLine="643" w:firstLineChars="200"/>
        <w:rPr>
          <w:rFonts w:hint="eastAsia" w:ascii="仿宋_GB2312" w:hAnsi="仿宋"/>
          <w:szCs w:val="32"/>
        </w:rPr>
      </w:pPr>
      <w:r>
        <w:rPr>
          <w:rFonts w:hint="eastAsia" w:ascii="仿宋_GB2312" w:hAnsi="仿宋"/>
          <w:b/>
          <w:bCs/>
          <w:szCs w:val="32"/>
        </w:rPr>
        <w:t>二、事业收入：</w:t>
      </w:r>
      <w:r>
        <w:rPr>
          <w:rFonts w:hint="eastAsia" w:ascii="仿宋_GB2312" w:hAnsi="仿宋"/>
          <w:szCs w:val="32"/>
        </w:rPr>
        <w:t>指事业单位开展专业业务活动及辅助活动所取得的收入。</w:t>
      </w:r>
    </w:p>
    <w:p>
      <w:pPr>
        <w:pStyle w:val="6"/>
        <w:adjustRightInd w:val="0"/>
        <w:snapToGrid w:val="0"/>
        <w:spacing w:line="600" w:lineRule="exact"/>
        <w:ind w:firstLine="630" w:firstLineChars="196"/>
        <w:rPr>
          <w:rFonts w:ascii="仿宋_GB2312" w:hAnsi="黑体"/>
          <w:b/>
          <w:bCs/>
          <w:szCs w:val="32"/>
        </w:rPr>
      </w:pPr>
      <w:r>
        <w:rPr>
          <w:rFonts w:hint="eastAsia" w:ascii="仿宋_GB2312" w:hAnsi="黑体" w:eastAsia="仿宋_GB2312"/>
          <w:b/>
          <w:sz w:val="32"/>
          <w:szCs w:val="32"/>
        </w:rPr>
        <w:t>三、</w:t>
      </w:r>
      <w:r>
        <w:rPr>
          <w:rFonts w:hint="eastAsia" w:ascii="仿宋_GB2312" w:hAnsi="黑体" w:eastAsia="仿宋_GB2312"/>
          <w:b/>
          <w:bCs/>
          <w:sz w:val="32"/>
          <w:szCs w:val="32"/>
        </w:rPr>
        <w:t>上级补助收入：</w:t>
      </w:r>
      <w:r>
        <w:rPr>
          <w:rFonts w:hint="eastAsia" w:ascii="仿宋_GB2312" w:hAnsi="黑体" w:eastAsia="仿宋_GB2312"/>
          <w:bCs/>
          <w:sz w:val="32"/>
          <w:szCs w:val="32"/>
        </w:rPr>
        <w:t>指</w:t>
      </w:r>
      <w:r>
        <w:rPr>
          <w:rFonts w:hint="eastAsia" w:ascii="仿宋_GB2312" w:hAnsi="仿宋" w:eastAsia="仿宋_GB2312" w:cs="Times New Roman"/>
          <w:kern w:val="2"/>
          <w:sz w:val="32"/>
          <w:szCs w:val="32"/>
        </w:rPr>
        <w:t>事业单位从主管部门和上级单位取得的非财政补助收入。</w:t>
      </w:r>
    </w:p>
    <w:p>
      <w:pPr>
        <w:pStyle w:val="6"/>
        <w:adjustRightInd w:val="0"/>
        <w:snapToGrid w:val="0"/>
        <w:spacing w:before="0" w:beforeAutospacing="0" w:after="0" w:afterAutospacing="0" w:line="600" w:lineRule="exact"/>
        <w:ind w:firstLine="630" w:firstLineChars="196"/>
        <w:rPr>
          <w:rFonts w:hint="eastAsia" w:ascii="仿宋_GB2312" w:hAnsi="黑体" w:eastAsia="仿宋_GB2312"/>
          <w:bCs/>
          <w:sz w:val="32"/>
          <w:szCs w:val="32"/>
        </w:rPr>
      </w:pPr>
      <w:r>
        <w:rPr>
          <w:rFonts w:hint="eastAsia" w:ascii="仿宋_GB2312" w:hAnsi="黑体" w:eastAsia="仿宋_GB2312"/>
          <w:b/>
          <w:bCs/>
          <w:sz w:val="32"/>
          <w:szCs w:val="32"/>
        </w:rPr>
        <w:t>四、附属单位上缴收入：</w:t>
      </w:r>
      <w:r>
        <w:rPr>
          <w:rFonts w:hint="eastAsia" w:ascii="仿宋_GB2312" w:hAnsi="黑体" w:eastAsia="仿宋_GB2312"/>
          <w:bCs/>
          <w:sz w:val="32"/>
          <w:szCs w:val="32"/>
        </w:rPr>
        <w:t>指事业单位附属独立核算单位按照有关规定上缴的收入。</w:t>
      </w:r>
    </w:p>
    <w:p>
      <w:pPr>
        <w:pStyle w:val="6"/>
        <w:adjustRightInd w:val="0"/>
        <w:snapToGrid w:val="0"/>
        <w:spacing w:before="0" w:beforeAutospacing="0" w:after="0" w:afterAutospacing="0" w:line="600" w:lineRule="exact"/>
        <w:ind w:firstLine="630" w:firstLineChars="196"/>
        <w:rPr>
          <w:rFonts w:hint="eastAsia" w:ascii="仿宋_GB2312" w:hAnsi="黑体" w:eastAsia="仿宋_GB2312"/>
          <w:bCs/>
          <w:sz w:val="32"/>
          <w:szCs w:val="32"/>
        </w:rPr>
      </w:pPr>
      <w:r>
        <w:rPr>
          <w:rFonts w:hint="eastAsia" w:ascii="仿宋_GB2312" w:hAnsi="黑体" w:eastAsia="仿宋_GB2312"/>
          <w:b/>
          <w:bCs/>
          <w:sz w:val="32"/>
          <w:szCs w:val="32"/>
        </w:rPr>
        <w:t>五、经营收入</w:t>
      </w:r>
      <w:r>
        <w:rPr>
          <w:rFonts w:hint="eastAsia"/>
          <w:b/>
          <w:bCs/>
          <w:color w:val="383535"/>
        </w:rPr>
        <w:t>：</w:t>
      </w:r>
      <w:r>
        <w:rPr>
          <w:rFonts w:hint="eastAsia" w:ascii="仿宋_GB2312" w:hAnsi="黑体" w:eastAsia="仿宋_GB2312"/>
          <w:bCs/>
          <w:sz w:val="32"/>
          <w:szCs w:val="32"/>
        </w:rPr>
        <w:t>指事业单位在专业业务活动及其辅助活动之外开展非独立核算经营活动取得的收入。</w:t>
      </w:r>
    </w:p>
    <w:p>
      <w:pPr>
        <w:pStyle w:val="6"/>
        <w:adjustRightInd w:val="0"/>
        <w:snapToGrid w:val="0"/>
        <w:spacing w:line="600" w:lineRule="exact"/>
        <w:ind w:firstLine="630" w:firstLineChars="196"/>
        <w:rPr>
          <w:rFonts w:hint="eastAsia" w:ascii="仿宋_GB2312" w:hAnsi="黑体"/>
          <w:b/>
          <w:bCs/>
          <w:szCs w:val="32"/>
        </w:rPr>
      </w:pPr>
      <w:r>
        <w:rPr>
          <w:rFonts w:hint="eastAsia" w:ascii="仿宋_GB2312" w:hAnsi="黑体" w:eastAsia="仿宋_GB2312"/>
          <w:b/>
          <w:sz w:val="32"/>
          <w:szCs w:val="32"/>
        </w:rPr>
        <w:t>六、</w:t>
      </w:r>
      <w:r>
        <w:rPr>
          <w:rFonts w:hint="eastAsia" w:ascii="仿宋_GB2312" w:hAnsi="黑体" w:eastAsia="仿宋_GB2312"/>
          <w:b/>
          <w:bCs/>
          <w:sz w:val="32"/>
          <w:szCs w:val="32"/>
        </w:rPr>
        <w:t>其他收入：</w:t>
      </w:r>
      <w:r>
        <w:rPr>
          <w:rFonts w:hint="eastAsia" w:ascii="仿宋_GB2312" w:hAnsi="黑体" w:eastAsia="仿宋_GB2312"/>
          <w:bCs/>
          <w:sz w:val="32"/>
          <w:szCs w:val="32"/>
        </w:rPr>
        <w:t>指除财政拨款收入、事业收入、上级补助收入、附属单位上缴收入、经营收入以外的各项收入。</w:t>
      </w:r>
    </w:p>
    <w:p>
      <w:pPr>
        <w:pStyle w:val="6"/>
        <w:adjustRightInd w:val="0"/>
        <w:snapToGrid w:val="0"/>
        <w:spacing w:before="0" w:beforeAutospacing="0" w:after="0" w:afterAutospacing="0" w:line="600" w:lineRule="exact"/>
        <w:ind w:firstLine="630" w:firstLineChars="196"/>
        <w:rPr>
          <w:rFonts w:hint="eastAsia" w:ascii="仿宋_GB2312" w:hAnsi="黑体" w:eastAsia="仿宋_GB2312"/>
          <w:bCs/>
          <w:sz w:val="32"/>
          <w:szCs w:val="32"/>
        </w:rPr>
      </w:pPr>
      <w:r>
        <w:rPr>
          <w:rFonts w:hint="eastAsia" w:ascii="仿宋_GB2312" w:hAnsi="黑体" w:eastAsia="仿宋_GB2312"/>
          <w:b/>
          <w:bCs/>
          <w:sz w:val="32"/>
          <w:szCs w:val="32"/>
        </w:rPr>
        <w:t>七、使用非财政拨款结余：</w:t>
      </w:r>
      <w:r>
        <w:rPr>
          <w:rFonts w:hint="eastAsia" w:ascii="仿宋_GB2312" w:hAnsi="黑体" w:eastAsia="仿宋_GB2312"/>
          <w:bCs/>
          <w:sz w:val="32"/>
          <w:szCs w:val="32"/>
        </w:rPr>
        <w:t>指事业单位使用以前年度积累的非财政拨款结余弥补当年收支差额的金额。</w:t>
      </w:r>
    </w:p>
    <w:p>
      <w:pPr>
        <w:pStyle w:val="6"/>
        <w:adjustRightInd w:val="0"/>
        <w:snapToGrid w:val="0"/>
        <w:spacing w:before="0" w:beforeAutospacing="0" w:after="0" w:afterAutospacing="0" w:line="600" w:lineRule="exact"/>
        <w:ind w:firstLine="630" w:firstLineChars="196"/>
        <w:rPr>
          <w:rFonts w:hint="eastAsia" w:ascii="仿宋_GB2312" w:hAnsi="黑体" w:eastAsia="仿宋_GB2312"/>
          <w:bCs/>
          <w:sz w:val="32"/>
          <w:szCs w:val="32"/>
        </w:rPr>
      </w:pPr>
      <w:r>
        <w:rPr>
          <w:rFonts w:hint="eastAsia" w:ascii="仿宋_GB2312" w:hAnsi="黑体" w:eastAsia="仿宋_GB2312"/>
          <w:b/>
          <w:bCs/>
          <w:sz w:val="32"/>
          <w:szCs w:val="32"/>
        </w:rPr>
        <w:t>八、年初结转和结余：</w:t>
      </w:r>
      <w:r>
        <w:rPr>
          <w:rFonts w:hint="eastAsia" w:ascii="仿宋_GB2312" w:hAnsi="黑体" w:eastAsia="仿宋_GB2312"/>
          <w:bCs/>
          <w:sz w:val="32"/>
          <w:szCs w:val="32"/>
        </w:rPr>
        <w:t>指以前年度安排、结转到本年仍按原规定用途继续使用的资金。</w:t>
      </w:r>
    </w:p>
    <w:p>
      <w:pPr>
        <w:pStyle w:val="6"/>
        <w:adjustRightInd w:val="0"/>
        <w:snapToGrid w:val="0"/>
        <w:spacing w:before="0" w:beforeAutospacing="0" w:after="0" w:afterAutospacing="0" w:line="600" w:lineRule="exact"/>
        <w:ind w:firstLine="630" w:firstLineChars="196"/>
        <w:rPr>
          <w:rFonts w:hint="eastAsia" w:ascii="仿宋_GB2312" w:hAnsi="黑体" w:eastAsia="仿宋_GB2312"/>
          <w:bCs/>
          <w:sz w:val="32"/>
          <w:szCs w:val="32"/>
        </w:rPr>
      </w:pPr>
      <w:r>
        <w:rPr>
          <w:rFonts w:hint="eastAsia" w:ascii="仿宋_GB2312" w:hAnsi="黑体" w:eastAsia="仿宋_GB2312"/>
          <w:b/>
          <w:bCs/>
          <w:sz w:val="32"/>
          <w:szCs w:val="32"/>
        </w:rPr>
        <w:t>九、结余分配：</w:t>
      </w:r>
      <w:r>
        <w:rPr>
          <w:rFonts w:hint="eastAsia" w:ascii="仿宋_GB2312" w:hAnsi="黑体" w:eastAsia="仿宋_GB2312"/>
          <w:bCs/>
          <w:sz w:val="32"/>
          <w:szCs w:val="32"/>
        </w:rPr>
        <w:t>指事业单位按照会计制度规定缴纳的所得税以及从非财政拨款结余中提取的职工福利基金、事业基金等。</w:t>
      </w:r>
    </w:p>
    <w:p>
      <w:pPr>
        <w:pStyle w:val="6"/>
        <w:adjustRightInd w:val="0"/>
        <w:snapToGrid w:val="0"/>
        <w:spacing w:before="0" w:beforeAutospacing="0" w:after="0" w:afterAutospacing="0" w:line="600" w:lineRule="exact"/>
        <w:ind w:firstLine="630" w:firstLineChars="196"/>
        <w:rPr>
          <w:rFonts w:hint="eastAsia" w:ascii="仿宋_GB2312" w:hAnsi="黑体" w:eastAsia="仿宋_GB2312"/>
          <w:b/>
          <w:sz w:val="32"/>
          <w:szCs w:val="32"/>
        </w:rPr>
      </w:pPr>
      <w:r>
        <w:rPr>
          <w:rFonts w:hint="eastAsia" w:ascii="仿宋_GB2312" w:hAnsi="黑体" w:eastAsia="仿宋_GB2312"/>
          <w:b/>
          <w:bCs/>
          <w:sz w:val="32"/>
          <w:szCs w:val="32"/>
        </w:rPr>
        <w:t>十、年末结转和结余：</w:t>
      </w:r>
      <w:r>
        <w:rPr>
          <w:rFonts w:hint="eastAsia" w:ascii="仿宋_GB2312" w:hAnsi="黑体" w:eastAsia="仿宋_GB2312"/>
          <w:bCs/>
          <w:sz w:val="32"/>
          <w:szCs w:val="32"/>
        </w:rPr>
        <w:t>指单位本年度或以前年度预算安排、因客观条件发生变化未全部执行或未执行，结转到以后年度继续使用的资金，或项目已经完成等产生的结余资金。</w:t>
      </w:r>
    </w:p>
    <w:p>
      <w:pPr>
        <w:pStyle w:val="6"/>
        <w:adjustRightInd w:val="0"/>
        <w:snapToGrid w:val="0"/>
        <w:spacing w:before="0" w:beforeAutospacing="0" w:after="0" w:afterAutospacing="0" w:line="600" w:lineRule="exact"/>
        <w:ind w:firstLine="630" w:firstLineChars="196"/>
        <w:rPr>
          <w:rFonts w:hint="eastAsia" w:ascii="仿宋_GB2312" w:hAnsi="黑体" w:eastAsia="仿宋_GB2312"/>
          <w:sz w:val="32"/>
          <w:szCs w:val="32"/>
        </w:rPr>
      </w:pPr>
      <w:r>
        <w:rPr>
          <w:rFonts w:hint="eastAsia" w:ascii="仿宋_GB2312" w:hAnsi="黑体" w:eastAsia="仿宋_GB2312"/>
          <w:b/>
          <w:sz w:val="32"/>
          <w:szCs w:val="32"/>
        </w:rPr>
        <w:t>十一、基本支出：</w:t>
      </w:r>
      <w:r>
        <w:rPr>
          <w:rFonts w:hint="eastAsia" w:ascii="仿宋_GB2312" w:hAnsi="黑体" w:eastAsia="仿宋_GB2312"/>
          <w:sz w:val="32"/>
          <w:szCs w:val="32"/>
        </w:rPr>
        <w:t>指单位为保障其机构正常运转、完成日常工作任务而发生的人员支出和公用支出。</w:t>
      </w:r>
    </w:p>
    <w:p>
      <w:pPr>
        <w:pStyle w:val="6"/>
        <w:spacing w:before="0" w:beforeAutospacing="0" w:after="0" w:afterAutospacing="0" w:line="600" w:lineRule="exact"/>
        <w:ind w:firstLine="630" w:firstLineChars="196"/>
        <w:jc w:val="both"/>
        <w:rPr>
          <w:rFonts w:hint="eastAsia" w:ascii="仿宋_GB2312" w:hAnsi="黑体" w:eastAsia="仿宋_GB2312"/>
          <w:sz w:val="32"/>
          <w:szCs w:val="32"/>
        </w:rPr>
      </w:pPr>
      <w:r>
        <w:rPr>
          <w:rFonts w:hint="eastAsia" w:ascii="仿宋_GB2312" w:hAnsi="黑体" w:eastAsia="仿宋_GB2312"/>
          <w:b/>
          <w:sz w:val="32"/>
          <w:szCs w:val="32"/>
        </w:rPr>
        <w:t>十二、项目支出：</w:t>
      </w:r>
      <w:r>
        <w:rPr>
          <w:rFonts w:hint="eastAsia" w:ascii="仿宋_GB2312" w:hAnsi="黑体" w:eastAsia="仿宋_GB2312"/>
          <w:sz w:val="32"/>
          <w:szCs w:val="32"/>
        </w:rPr>
        <w:t>指单位为完成特定行政任务和事业发展目标在基本支出之外所发生的支出。</w:t>
      </w:r>
      <w:r>
        <w:rPr>
          <w:rFonts w:hint="eastAsia" w:ascii="仿宋_GB2312" w:hAnsi="黑体" w:eastAsia="仿宋_GB2312"/>
          <w:sz w:val="32"/>
          <w:szCs w:val="32"/>
        </w:rPr>
        <w:br w:type="textWrapping"/>
      </w:r>
      <w:r>
        <w:rPr>
          <w:rFonts w:hint="eastAsia" w:ascii="仿宋_GB2312" w:hAnsi="黑体" w:eastAsia="仿宋_GB2312"/>
          <w:sz w:val="32"/>
          <w:szCs w:val="32"/>
        </w:rPr>
        <w:t xml:space="preserve">    </w:t>
      </w:r>
      <w:r>
        <w:rPr>
          <w:rFonts w:hint="eastAsia" w:ascii="仿宋_GB2312" w:hAnsi="黑体" w:eastAsia="仿宋_GB2312"/>
          <w:b/>
          <w:sz w:val="32"/>
          <w:szCs w:val="32"/>
        </w:rPr>
        <w:t>十三、经营支出：</w:t>
      </w:r>
      <w:r>
        <w:rPr>
          <w:rFonts w:hint="eastAsia" w:ascii="仿宋_GB2312" w:hAnsi="黑体" w:eastAsia="仿宋_GB2312"/>
          <w:sz w:val="32"/>
          <w:szCs w:val="32"/>
        </w:rPr>
        <w:t>指事业单位在专业业务活动及其辅助活动之外开展非独立核算经营活动发生的支出。</w:t>
      </w:r>
    </w:p>
    <w:p>
      <w:pPr>
        <w:pStyle w:val="6"/>
        <w:spacing w:before="0" w:beforeAutospacing="0" w:after="0" w:afterAutospacing="0" w:line="600" w:lineRule="exact"/>
        <w:ind w:firstLine="630" w:firstLineChars="196"/>
        <w:jc w:val="both"/>
        <w:rPr>
          <w:rFonts w:hint="eastAsia" w:ascii="仿宋_GB2312" w:hAnsi="黑体" w:eastAsia="仿宋_GB2312"/>
          <w:b/>
          <w:sz w:val="32"/>
          <w:szCs w:val="32"/>
        </w:rPr>
      </w:pPr>
      <w:r>
        <w:rPr>
          <w:rFonts w:hint="eastAsia" w:ascii="仿宋_GB2312" w:hAnsi="黑体" w:eastAsia="仿宋_GB2312"/>
          <w:b/>
          <w:sz w:val="32"/>
          <w:szCs w:val="32"/>
        </w:rPr>
        <w:t>十四、“三公”经费：</w:t>
      </w:r>
      <w:r>
        <w:rPr>
          <w:rFonts w:hint="eastAsia" w:ascii="仿宋_GB2312" w:hAnsi="黑体" w:eastAsia="仿宋_GB2312"/>
          <w:sz w:val="32"/>
          <w:szCs w:val="32"/>
        </w:rPr>
        <w:t>纳入财政预决算管理的“三公”经费，是指单位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购置支出（含车辆购置税）及燃料费、维修费、过桥过路费、保险费、安全奖励费用等支出；公务接待费反映单位按规定开支的各类公务接待（含外宾接待</w:t>
      </w:r>
      <w:r>
        <w:rPr>
          <w:rFonts w:ascii="仿宋_GB2312" w:hAnsi="黑体" w:eastAsia="仿宋_GB2312"/>
          <w:sz w:val="32"/>
          <w:szCs w:val="32"/>
        </w:rPr>
        <w:t>）</w:t>
      </w:r>
      <w:r>
        <w:rPr>
          <w:rFonts w:hint="eastAsia" w:ascii="仿宋_GB2312" w:hAnsi="黑体" w:eastAsia="仿宋_GB2312"/>
          <w:sz w:val="32"/>
          <w:szCs w:val="32"/>
        </w:rPr>
        <w:t>支出。</w:t>
      </w:r>
    </w:p>
    <w:p>
      <w:pPr>
        <w:pStyle w:val="6"/>
        <w:spacing w:before="0" w:beforeAutospacing="0" w:after="0" w:afterAutospacing="0" w:line="600" w:lineRule="exact"/>
        <w:ind w:firstLine="630" w:firstLineChars="196"/>
        <w:jc w:val="both"/>
        <w:rPr>
          <w:rFonts w:hint="eastAsia" w:ascii="仿宋_GB2312" w:hAnsi="黑体" w:eastAsia="仿宋_GB2312"/>
          <w:b/>
          <w:sz w:val="32"/>
          <w:szCs w:val="32"/>
        </w:rPr>
      </w:pPr>
      <w:r>
        <w:rPr>
          <w:rFonts w:hint="eastAsia" w:ascii="仿宋_GB2312" w:hAnsi="黑体" w:eastAsia="仿宋_GB2312"/>
          <w:b/>
          <w:sz w:val="32"/>
          <w:szCs w:val="32"/>
        </w:rPr>
        <w:t>十五、机关运行经费</w:t>
      </w:r>
      <w:r>
        <w:rPr>
          <w:rFonts w:hint="eastAsia" w:ascii="仿宋_GB2312" w:hAnsi="黑体" w:eastAsia="仿宋_GB2312"/>
          <w:sz w:val="32"/>
          <w:szCs w:val="32"/>
        </w:rPr>
        <w:t>：</w:t>
      </w:r>
      <w:r>
        <w:rPr>
          <w:rFonts w:hint="eastAsia" w:ascii="仿宋_GB2312" w:eastAsia="仿宋_GB2312"/>
          <w:sz w:val="32"/>
          <w:szCs w:val="32"/>
        </w:rPr>
        <w:t>指为保障行政单位（含参照公务员法管理的事业单位）运行用于购买货物和服务的各项资金</w:t>
      </w:r>
      <w:r>
        <w:rPr>
          <w:rFonts w:hint="eastAsia" w:ascii="仿宋_GB2312" w:hAnsi="Times New Roman" w:eastAsia="仿宋_GB2312"/>
          <w:kern w:val="2"/>
          <w:sz w:val="32"/>
          <w:szCs w:val="32"/>
        </w:rPr>
        <w:t>，包括办公及印刷费、邮电费、差旅费、会议费、福利费、日常维修费、专用材料费及一般设备购置费、办公用房水电费、办公用房取暖费、办公用房物业管理费、公务用车运行维护费以及其他费用。</w:t>
      </w:r>
    </w:p>
    <w:p>
      <w:pPr>
        <w:ind w:left="1700" w:leftChars="250" w:hanging="900" w:hangingChars="249"/>
        <w:jc w:val="center"/>
        <w:rPr>
          <w:rFonts w:hint="eastAsia"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spacing w:line="580" w:lineRule="exact"/>
        <w:ind w:firstLine="640" w:firstLineChars="200"/>
      </w:pP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10" w:usb3="00000000" w:csb0="0004009F"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仿宋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FA2513"/>
    <w:multiLevelType w:val="singleLevel"/>
    <w:tmpl w:val="60FA2513"/>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3"/>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3189"/>
    <w:rsid w:val="00123189"/>
    <w:rsid w:val="0053471F"/>
    <w:rsid w:val="00DF3645"/>
    <w:rsid w:val="00EE128F"/>
    <w:rsid w:val="0248271B"/>
    <w:rsid w:val="082B4006"/>
    <w:rsid w:val="0B017FC8"/>
    <w:rsid w:val="0F467C8B"/>
    <w:rsid w:val="0FB91B4F"/>
    <w:rsid w:val="113E46C0"/>
    <w:rsid w:val="1581567C"/>
    <w:rsid w:val="15ED5186"/>
    <w:rsid w:val="177308EC"/>
    <w:rsid w:val="194F42B8"/>
    <w:rsid w:val="1B5D7E51"/>
    <w:rsid w:val="1F7C217F"/>
    <w:rsid w:val="1FAC5F8B"/>
    <w:rsid w:val="20607AD2"/>
    <w:rsid w:val="21535D86"/>
    <w:rsid w:val="285C13BB"/>
    <w:rsid w:val="2A96115C"/>
    <w:rsid w:val="309C442C"/>
    <w:rsid w:val="30A61057"/>
    <w:rsid w:val="31AB4296"/>
    <w:rsid w:val="32F92B98"/>
    <w:rsid w:val="336F1C36"/>
    <w:rsid w:val="35C022A8"/>
    <w:rsid w:val="393735EE"/>
    <w:rsid w:val="3B634A1E"/>
    <w:rsid w:val="3D197BEB"/>
    <w:rsid w:val="41E8324C"/>
    <w:rsid w:val="43316248"/>
    <w:rsid w:val="43916D42"/>
    <w:rsid w:val="45BD4226"/>
    <w:rsid w:val="48D13691"/>
    <w:rsid w:val="528623FE"/>
    <w:rsid w:val="530058A4"/>
    <w:rsid w:val="57EA196B"/>
    <w:rsid w:val="582652B5"/>
    <w:rsid w:val="58EB0121"/>
    <w:rsid w:val="5A5C6501"/>
    <w:rsid w:val="5EAA27EC"/>
    <w:rsid w:val="609540A5"/>
    <w:rsid w:val="67264CC0"/>
    <w:rsid w:val="68817105"/>
    <w:rsid w:val="6A101D9F"/>
    <w:rsid w:val="6BBB6AB6"/>
    <w:rsid w:val="6CBF077E"/>
    <w:rsid w:val="6D22400F"/>
    <w:rsid w:val="703A05B4"/>
    <w:rsid w:val="7AB34469"/>
    <w:rsid w:val="7B864633"/>
    <w:rsid w:val="7E227C69"/>
    <w:rsid w:val="7F9075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0"/>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3"/>
    <w:qFormat/>
    <w:uiPriority w:val="0"/>
    <w:pPr>
      <w:jc w:val="center"/>
    </w:pPr>
    <w:rPr>
      <w:rFonts w:eastAsia="黑体"/>
      <w:sz w:val="36"/>
    </w:rPr>
  </w:style>
  <w:style w:type="paragraph" w:styleId="3">
    <w:name w:val="Balloon Text"/>
    <w:basedOn w:val="1"/>
    <w:link w:val="14"/>
    <w:semiHidden/>
    <w:qFormat/>
    <w:uiPriority w:val="0"/>
    <w:rPr>
      <w:sz w:val="18"/>
      <w:szCs w:val="18"/>
    </w:rPr>
  </w:style>
  <w:style w:type="paragraph" w:styleId="4">
    <w:name w:val="footer"/>
    <w:basedOn w:val="1"/>
    <w:link w:val="16"/>
    <w:qFormat/>
    <w:uiPriority w:val="0"/>
    <w:pPr>
      <w:tabs>
        <w:tab w:val="center" w:pos="4153"/>
        <w:tab w:val="right" w:pos="8306"/>
      </w:tabs>
      <w:snapToGrid w:val="0"/>
      <w:jc w:val="left"/>
    </w:pPr>
    <w:rPr>
      <w:sz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rPr>
  </w:style>
  <w:style w:type="paragraph" w:styleId="6">
    <w:name w:val="Normal (Web)"/>
    <w:basedOn w:val="1"/>
    <w:qFormat/>
    <w:uiPriority w:val="0"/>
    <w:pPr>
      <w:widowControl/>
      <w:spacing w:before="100" w:beforeAutospacing="1" w:after="100" w:afterAutospacing="1"/>
      <w:jc w:val="left"/>
    </w:pPr>
    <w:rPr>
      <w:rFonts w:ascii="宋体" w:hAnsi="宋体" w:eastAsia="宋体" w:cs="宋体"/>
      <w:kern w:val="0"/>
      <w:sz w:val="24"/>
      <w:szCs w:val="24"/>
    </w:rPr>
  </w:style>
  <w:style w:type="table" w:styleId="8">
    <w:name w:val="Table Grid"/>
    <w:basedOn w:val="7"/>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Strong"/>
    <w:qFormat/>
    <w:uiPriority w:val="0"/>
    <w:rPr>
      <w:b/>
      <w:bCs/>
    </w:rPr>
  </w:style>
  <w:style w:type="character" w:styleId="11">
    <w:name w:val="page number"/>
    <w:basedOn w:val="9"/>
    <w:qFormat/>
    <w:uiPriority w:val="0"/>
  </w:style>
  <w:style w:type="paragraph" w:customStyle="1" w:styleId="12">
    <w:name w:val="正文（无条数）"/>
    <w:basedOn w:val="1"/>
    <w:qFormat/>
    <w:uiPriority w:val="0"/>
    <w:pPr>
      <w:adjustRightInd w:val="0"/>
      <w:snapToGrid w:val="0"/>
      <w:spacing w:line="360" w:lineRule="auto"/>
      <w:ind w:firstLine="200" w:firstLineChars="200"/>
    </w:pPr>
    <w:rPr>
      <w:rFonts w:ascii="仿宋_GB2312"/>
      <w:color w:val="000000"/>
      <w:szCs w:val="32"/>
    </w:rPr>
  </w:style>
  <w:style w:type="character" w:customStyle="1" w:styleId="13">
    <w:name w:val="正文文本 Char"/>
    <w:basedOn w:val="9"/>
    <w:link w:val="2"/>
    <w:qFormat/>
    <w:uiPriority w:val="0"/>
    <w:rPr>
      <w:rFonts w:ascii="Times New Roman" w:hAnsi="Times New Roman" w:eastAsia="黑体" w:cs="Times New Roman"/>
      <w:sz w:val="36"/>
      <w:szCs w:val="20"/>
    </w:rPr>
  </w:style>
  <w:style w:type="character" w:customStyle="1" w:styleId="14">
    <w:name w:val="批注框文本 Char"/>
    <w:basedOn w:val="9"/>
    <w:link w:val="3"/>
    <w:semiHidden/>
    <w:qFormat/>
    <w:uiPriority w:val="0"/>
    <w:rPr>
      <w:rFonts w:ascii="Times New Roman" w:hAnsi="Times New Roman" w:cs="Times New Roman"/>
      <w:sz w:val="18"/>
      <w:szCs w:val="18"/>
    </w:rPr>
  </w:style>
  <w:style w:type="character" w:customStyle="1" w:styleId="15">
    <w:name w:val="页眉 Char"/>
    <w:basedOn w:val="9"/>
    <w:link w:val="5"/>
    <w:qFormat/>
    <w:uiPriority w:val="0"/>
    <w:rPr>
      <w:rFonts w:ascii="Times New Roman" w:hAnsi="Times New Roman" w:cs="Times New Roman"/>
      <w:sz w:val="18"/>
      <w:szCs w:val="20"/>
    </w:rPr>
  </w:style>
  <w:style w:type="character" w:customStyle="1" w:styleId="16">
    <w:name w:val="页脚 Char"/>
    <w:basedOn w:val="9"/>
    <w:link w:val="4"/>
    <w:qFormat/>
    <w:uiPriority w:val="0"/>
    <w:rPr>
      <w:rFonts w:ascii="Times New Roman" w:hAnsi="Times New Roman" w:cs="Times New Roman"/>
      <w:sz w:val="18"/>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23</Pages>
  <Words>1625</Words>
  <Characters>9266</Characters>
  <Lines>77</Lines>
  <Paragraphs>21</Paragraphs>
  <TotalTime>6</TotalTime>
  <ScaleCrop>false</ScaleCrop>
  <LinksUpToDate>false</LinksUpToDate>
  <CharactersWithSpaces>10870</CharactersWithSpaces>
  <Application>WPS Office_11.1.0.9339_F1E327BC-269C-435d-A152-05C5408002CA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2021-09-30T06:45:00Z</dcterms:created>
  <dc:creator>LENOVO</dc:creator>
  <cp:lastModifiedBy>在成长路上</cp:lastModifiedBy>
  <dcterms:modified xsi:type="dcterms:W3CDTF">2022-09-12T00:31:18Z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