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C57D82">
      <w:pPr>
        <w:ind w:left="0" w:leftChars="0" w:firstLine="0" w:firstLineChars="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</w:rPr>
        <w:t>附件</w:t>
      </w:r>
      <w:r>
        <w:rPr>
          <w:rFonts w:hint="eastAsia" w:ascii="黑体" w:hAnsi="黑体" w:eastAsia="黑体" w:cs="黑体"/>
          <w:lang w:val="en-US" w:eastAsia="zh-CN"/>
        </w:rPr>
        <w:t>4</w:t>
      </w:r>
    </w:p>
    <w:p w14:paraId="2DBB9054">
      <w:pPr>
        <w:pStyle w:val="6"/>
        <w:bidi w:val="0"/>
        <w:rPr>
          <w:rFonts w:hint="eastAsia"/>
        </w:rPr>
      </w:pPr>
      <w:r>
        <w:rPr>
          <w:rFonts w:hint="eastAsia"/>
        </w:rPr>
        <w:t>中央对地方转移支付（</w:t>
      </w:r>
      <w:r>
        <w:rPr>
          <w:rFonts w:hint="default" w:ascii="Times New Roman" w:hAnsi="Times New Roman" w:eastAsia="方正小标宋简体" w:cs="Times New Roman"/>
          <w:kern w:val="44"/>
          <w:sz w:val="44"/>
          <w:szCs w:val="24"/>
          <w:lang w:val="en-US" w:eastAsia="zh-CN" w:bidi="ar-SA"/>
        </w:rPr>
        <w:t>2025年农家书屋运营管理经费</w:t>
      </w:r>
      <w:r>
        <w:rPr>
          <w:rFonts w:hint="eastAsia"/>
        </w:rPr>
        <w:t>）项目绩效自评报告</w:t>
      </w:r>
    </w:p>
    <w:p w14:paraId="7B443FBE">
      <w:pPr>
        <w:pStyle w:val="7"/>
        <w:bidi w:val="0"/>
        <w:rPr>
          <w:rFonts w:hint="eastAsia"/>
        </w:rPr>
      </w:pPr>
    </w:p>
    <w:p w14:paraId="56CBA29B">
      <w:pPr>
        <w:pStyle w:val="7"/>
        <w:bidi w:val="0"/>
        <w:rPr>
          <w:rFonts w:hint="eastAsia"/>
        </w:rPr>
      </w:pPr>
      <w:r>
        <w:rPr>
          <w:rFonts w:hint="eastAsia"/>
        </w:rPr>
        <w:t xml:space="preserve">一、基本情况 </w:t>
      </w:r>
    </w:p>
    <w:p w14:paraId="03E0B5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宋体"/>
          <w:color w:val="000000"/>
          <w:szCs w:val="32"/>
          <w:lang w:val="en-US" w:eastAsia="zh-CN"/>
        </w:rPr>
      </w:pPr>
      <w:r>
        <w:rPr>
          <w:rFonts w:hint="eastAsia" w:ascii="仿宋_GB2312" w:hAnsi="宋体" w:cs="宋体"/>
          <w:color w:val="000000"/>
          <w:kern w:val="2"/>
          <w:sz w:val="32"/>
          <w:szCs w:val="32"/>
          <w:lang w:val="en-US" w:eastAsia="zh-CN" w:bidi="ar-SA"/>
        </w:rPr>
        <w:t>2025年，根据中共池州市贵池区宣传部《关于调整资金分配方案的报告》的文件要求，下达农家书屋运营管理经费1.16万元，由池州市贵池区唐田镇人民政府负责具体实施。该项目设置一级指标3个，二级指标7个，三级指标10个，主要用于全镇10个村、社区的农家书屋日常运营、图书补充更新、阅读活动开展及管理人员补贴等，旨在保障农村公共文化服务供给，提升乡村文明程度，丰富群众精神文化生活。项目完成每周开放时间≥40小时、每年开放时间≥260天的数量指标，确保专款专用率100%，资金使用合规，群众满意度达到95%以上。</w:t>
      </w:r>
    </w:p>
    <w:p w14:paraId="298156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宋体" w:cs="宋体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cs="宋体"/>
          <w:color w:val="000000"/>
          <w:kern w:val="2"/>
          <w:sz w:val="32"/>
          <w:szCs w:val="32"/>
          <w:lang w:val="en-US" w:eastAsia="zh-CN" w:bidi="ar-SA"/>
        </w:rPr>
        <w:t>唐田镇人民政府作为项目实施主体，由镇社会事务办公室牵头，联合经济发展和财政办公室、各村村委会共同推进，确保项目按期高质量完成。项目实施周期为2025年1月至12月，期间严格按照财政资金管理要求执行，确保专款专用，资金使用合规、高效。</w:t>
      </w:r>
    </w:p>
    <w:p w14:paraId="30764A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</w:rPr>
      </w:pPr>
      <w:r>
        <w:rPr>
          <w:rFonts w:hint="eastAsia" w:ascii="Arial" w:hAnsi="Arial" w:eastAsia="黑体" w:cs="Times New Roman"/>
          <w:kern w:val="2"/>
          <w:sz w:val="32"/>
          <w:szCs w:val="24"/>
          <w:lang w:val="en-US" w:eastAsia="zh-CN" w:bidi="ar-SA"/>
        </w:rPr>
        <w:t xml:space="preserve">二、绩效目标完成情况分析 </w:t>
      </w:r>
    </w:p>
    <w:p w14:paraId="7852A4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/>
        </w:rPr>
      </w:pPr>
      <w:r>
        <w:rPr>
          <w:rStyle w:val="13"/>
          <w:rFonts w:hint="eastAsia"/>
        </w:rPr>
        <w:t>（一）资金情况分析。</w:t>
      </w:r>
    </w:p>
    <w:p w14:paraId="172645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_GB2312" w:hAnsi="宋体" w:cs="宋体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cs="宋体"/>
          <w:color w:val="000000"/>
          <w:kern w:val="2"/>
          <w:sz w:val="32"/>
          <w:szCs w:val="32"/>
          <w:lang w:val="en-US" w:eastAsia="zh-CN" w:bidi="ar-SA"/>
        </w:rPr>
        <w:t>本项目全年预算资金1.16万元，实际执行1.16万元，预算执行率达100%，资金执行情况良好。资金全部用于10个村、社区的农家书屋运营管理，具体包括：图书及报刊更新费用、日常管理运行费用、阅读活动组织费用等。资金拨付流程规范，拨付时效符合合同规定要求，所有资金均在规定时限内完成拨付。资金使用严格遵循专款专用原则，支出手续完备，原始凭证齐全，经核查未发现任何挤占挪用、超范围支出等违规情况。资金使用方向与预算申报用途完全一致，全部用于农家书屋的运营与维护，资金使用合规性达到100%。</w:t>
      </w:r>
    </w:p>
    <w:p w14:paraId="79344AF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/>
        </w:rPr>
      </w:pPr>
      <w:r>
        <w:rPr>
          <w:rStyle w:val="13"/>
          <w:rFonts w:hint="eastAsia" w:asciiTheme="minorHAnsi" w:hAnsiTheme="minorHAnsi" w:cstheme="minorBidi"/>
        </w:rPr>
        <w:t>资金管理情况分析。</w:t>
      </w:r>
    </w:p>
    <w:p w14:paraId="22648A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宋体" w:cs="宋体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cs="宋体"/>
          <w:color w:val="000000"/>
          <w:kern w:val="2"/>
          <w:sz w:val="32"/>
          <w:szCs w:val="32"/>
          <w:lang w:val="en-US" w:eastAsia="zh-CN" w:bidi="ar-SA"/>
        </w:rPr>
        <w:t>我镇年初制定详细的绩效目标，及时填报绩效监控，按时开展绩效评价。项目严格按照财政资金管理办法及相关文件要求，严格把控资金的管理及使用。财务管理制度健全，严格执行财务管理制度，账务处理及时，会计核算规范。在资金拨付合规性、使用规范性、执行准确性、预算绩效管理期情况、支出责任履行情况等五个方面均严格执行到位，并按以上原则、体系和标准进行绩效评价。</w:t>
      </w:r>
    </w:p>
    <w:p w14:paraId="4A21C5D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/>
        </w:rPr>
      </w:pPr>
      <w:r>
        <w:rPr>
          <w:rStyle w:val="13"/>
          <w:rFonts w:hint="eastAsia" w:asciiTheme="minorHAnsi" w:hAnsiTheme="minorHAnsi" w:cstheme="minorBidi"/>
        </w:rPr>
        <w:t>总体绩效目标完成情况分析。</w:t>
      </w:r>
    </w:p>
    <w:p w14:paraId="0F4216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宋体" w:cs="宋体"/>
          <w:color w:val="000000"/>
          <w:szCs w:val="32"/>
          <w:lang w:eastAsia="zh-CN"/>
        </w:rPr>
      </w:pPr>
      <w:r>
        <w:rPr>
          <w:rFonts w:hint="eastAsia" w:ascii="仿宋_GB2312" w:hAnsi="宋体" w:cs="宋体"/>
          <w:color w:val="000000"/>
          <w:kern w:val="2"/>
          <w:sz w:val="32"/>
          <w:szCs w:val="32"/>
          <w:lang w:val="en-US" w:eastAsia="zh-CN" w:bidi="ar-SA"/>
        </w:rPr>
        <w:t>根据2025年农家书屋运营管理经费项目计划，申请财政资金1.16万元，用于保障全镇10个村农家书屋的正常运转，为群众提供优质的公共文化服务。总体绩效目标圆满完成，没有出现偏差情况。通过项目实施，有效改善了农村阅读条件，营造了良好的文化氛围，提升了乡村文明程度。</w:t>
      </w:r>
    </w:p>
    <w:p w14:paraId="3CABE7E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/>
        </w:rPr>
      </w:pPr>
      <w:r>
        <w:rPr>
          <w:rStyle w:val="13"/>
          <w:rFonts w:hint="eastAsia" w:asciiTheme="minorHAnsi" w:hAnsiTheme="minorHAnsi" w:cstheme="minorBidi"/>
        </w:rPr>
        <w:t>绩效指标完成情况分析。</w:t>
      </w:r>
    </w:p>
    <w:p w14:paraId="355A105A">
      <w:pPr>
        <w:numPr>
          <w:ilvl w:val="0"/>
          <w:numId w:val="2"/>
        </w:numPr>
        <w:spacing w:line="600" w:lineRule="exact"/>
        <w:ind w:left="640" w:leftChars="200" w:firstLine="0" w:firstLineChars="0"/>
        <w:rPr>
          <w:rFonts w:hint="eastAsia" w:ascii="仿宋_GB2312" w:hAnsi="宋体" w:cs="宋体"/>
          <w:color w:val="000000"/>
          <w:szCs w:val="32"/>
        </w:rPr>
      </w:pPr>
      <w:r>
        <w:rPr>
          <w:rFonts w:hint="eastAsia" w:ascii="仿宋_GB2312" w:hAnsi="宋体" w:cs="宋体"/>
          <w:color w:val="000000"/>
          <w:szCs w:val="32"/>
        </w:rPr>
        <w:t>产出指标完成情况分析。</w:t>
      </w:r>
    </w:p>
    <w:p w14:paraId="0FE10264">
      <w:pPr>
        <w:numPr>
          <w:ilvl w:val="0"/>
          <w:numId w:val="3"/>
        </w:numPr>
        <w:spacing w:line="600" w:lineRule="exact"/>
        <w:ind w:firstLine="640" w:firstLineChars="200"/>
        <w:rPr>
          <w:rFonts w:hint="default" w:ascii="仿宋_GB2312" w:hAnsi="宋体" w:cs="宋体"/>
          <w:color w:val="000000"/>
          <w:szCs w:val="32"/>
          <w:lang w:val="en-US" w:eastAsia="zh-CN"/>
        </w:rPr>
      </w:pPr>
      <w:r>
        <w:rPr>
          <w:rFonts w:hint="default" w:ascii="仿宋_GB2312" w:hAnsi="宋体" w:cs="宋体"/>
          <w:color w:val="000000"/>
          <w:szCs w:val="32"/>
          <w:lang w:val="en-US" w:eastAsia="zh-CN"/>
        </w:rPr>
        <w:t>数量指标：</w:t>
      </w:r>
      <w:r>
        <w:rPr>
          <w:rFonts w:hint="eastAsia" w:ascii="仿宋_GB2312" w:hAnsi="宋体" w:cs="宋体"/>
          <w:color w:val="000000"/>
          <w:szCs w:val="32"/>
        </w:rPr>
        <w:t>每年开放时间</w:t>
      </w:r>
      <w:r>
        <w:rPr>
          <w:rFonts w:hint="eastAsia" w:ascii="仿宋_GB2312" w:hAnsi="宋体" w:cs="宋体"/>
          <w:color w:val="000000"/>
          <w:szCs w:val="32"/>
          <w:lang w:val="en-US" w:eastAsia="zh-CN"/>
        </w:rPr>
        <w:t>≥260天</w:t>
      </w:r>
      <w:r>
        <w:rPr>
          <w:rFonts w:hint="eastAsia" w:ascii="仿宋_GB2312" w:hAnsi="宋体" w:cs="宋体"/>
          <w:color w:val="000000"/>
          <w:szCs w:val="32"/>
          <w:lang w:eastAsia="zh-CN"/>
        </w:rPr>
        <w:t>，</w:t>
      </w:r>
      <w:r>
        <w:rPr>
          <w:rFonts w:hint="eastAsia" w:ascii="仿宋_GB2312" w:hAnsi="宋体" w:cs="宋体"/>
          <w:color w:val="000000"/>
          <w:szCs w:val="32"/>
        </w:rPr>
        <w:t>每周开放时间</w:t>
      </w:r>
      <w:r>
        <w:rPr>
          <w:rFonts w:hint="eastAsia" w:ascii="仿宋_GB2312" w:hAnsi="宋体" w:cs="宋体"/>
          <w:color w:val="000000"/>
          <w:szCs w:val="32"/>
          <w:lang w:val="en-US" w:eastAsia="zh-CN"/>
        </w:rPr>
        <w:t>≥40小时，</w:t>
      </w:r>
      <w:r>
        <w:rPr>
          <w:rFonts w:hint="eastAsia" w:ascii="仿宋_GB2312" w:hAnsi="宋体" w:cs="宋体"/>
          <w:color w:val="000000"/>
          <w:szCs w:val="32"/>
          <w:lang w:eastAsia="zh-CN"/>
        </w:rPr>
        <w:t>实际完成率100%，</w:t>
      </w:r>
      <w:r>
        <w:rPr>
          <w:rFonts w:hint="default" w:ascii="仿宋_GB2312" w:hAnsi="宋体" w:cs="宋体"/>
          <w:color w:val="000000"/>
          <w:szCs w:val="32"/>
          <w:lang w:val="en-US" w:eastAsia="zh-CN"/>
        </w:rPr>
        <w:t>达成预期指标</w:t>
      </w:r>
      <w:r>
        <w:rPr>
          <w:rFonts w:hint="eastAsia" w:ascii="仿宋_GB2312" w:hAnsi="宋体" w:cs="宋体"/>
          <w:color w:val="000000"/>
          <w:szCs w:val="32"/>
          <w:lang w:eastAsia="zh-CN"/>
        </w:rPr>
        <w:t>。</w:t>
      </w:r>
    </w:p>
    <w:p w14:paraId="3010E6EE">
      <w:pPr>
        <w:numPr>
          <w:ilvl w:val="0"/>
          <w:numId w:val="3"/>
        </w:numPr>
        <w:spacing w:line="600" w:lineRule="exact"/>
        <w:ind w:left="0" w:leftChars="0" w:firstLine="640" w:firstLineChars="200"/>
        <w:rPr>
          <w:rFonts w:hint="default" w:ascii="仿宋_GB2312" w:hAnsi="宋体" w:cs="宋体"/>
          <w:color w:val="000000"/>
          <w:szCs w:val="32"/>
          <w:lang w:val="en-US" w:eastAsia="zh-CN"/>
        </w:rPr>
      </w:pPr>
      <w:r>
        <w:rPr>
          <w:rFonts w:hint="default" w:ascii="仿宋_GB2312" w:hAnsi="宋体" w:cs="宋体"/>
          <w:color w:val="000000"/>
          <w:szCs w:val="32"/>
          <w:lang w:val="en-US" w:eastAsia="zh-CN"/>
        </w:rPr>
        <w:t>质量指标：项目资金专款专用率100%，实际达成100%；资金支出合规性符合相关法律法规及本单位财务制度规定，实际达成预期指标。</w:t>
      </w:r>
    </w:p>
    <w:p w14:paraId="3B0C8FAF">
      <w:pPr>
        <w:numPr>
          <w:ilvl w:val="0"/>
          <w:numId w:val="3"/>
        </w:numPr>
        <w:spacing w:line="600" w:lineRule="exact"/>
        <w:ind w:left="0" w:leftChars="0" w:firstLine="640" w:firstLineChars="200"/>
        <w:rPr>
          <w:rFonts w:hint="default" w:ascii="仿宋_GB2312" w:hAnsi="宋体" w:cs="宋体"/>
          <w:color w:val="000000"/>
          <w:szCs w:val="32"/>
          <w:lang w:val="en-US" w:eastAsia="zh-CN"/>
        </w:rPr>
      </w:pPr>
      <w:r>
        <w:rPr>
          <w:rFonts w:hint="default" w:ascii="仿宋_GB2312" w:hAnsi="宋体" w:cs="宋体"/>
          <w:color w:val="000000"/>
          <w:szCs w:val="32"/>
          <w:lang w:val="en-US" w:eastAsia="zh-CN"/>
        </w:rPr>
        <w:t>时效指标：项目完成时间为2025年12月31日前，实际按期完成，达成预期指标。</w:t>
      </w:r>
    </w:p>
    <w:p w14:paraId="5B11B9B5">
      <w:pPr>
        <w:numPr>
          <w:ilvl w:val="0"/>
          <w:numId w:val="0"/>
        </w:numPr>
        <w:spacing w:line="600" w:lineRule="exact"/>
        <w:ind w:firstLine="640" w:firstLineChars="200"/>
        <w:rPr>
          <w:rFonts w:hint="eastAsia" w:ascii="仿宋_GB2312" w:hAnsi="宋体" w:cs="宋体"/>
          <w:color w:val="000000"/>
          <w:szCs w:val="32"/>
          <w:lang w:val="en-US" w:eastAsia="zh-CN"/>
        </w:rPr>
      </w:pPr>
      <w:r>
        <w:rPr>
          <w:rFonts w:hint="default" w:ascii="仿宋_GB2312" w:hAnsi="宋体" w:cs="宋体"/>
          <w:color w:val="000000"/>
          <w:szCs w:val="32"/>
          <w:lang w:val="en-US" w:eastAsia="zh-CN"/>
        </w:rPr>
        <w:t>（4）成本指标：项目总成本≤1</w:t>
      </w:r>
      <w:r>
        <w:rPr>
          <w:rFonts w:hint="eastAsia" w:ascii="仿宋_GB2312" w:hAnsi="宋体" w:cs="宋体"/>
          <w:color w:val="000000"/>
          <w:szCs w:val="32"/>
          <w:lang w:val="en-US" w:eastAsia="zh-CN"/>
        </w:rPr>
        <w:t>16</w:t>
      </w:r>
      <w:r>
        <w:rPr>
          <w:rFonts w:hint="default" w:ascii="仿宋_GB2312" w:hAnsi="宋体" w:cs="宋体"/>
          <w:color w:val="000000"/>
          <w:szCs w:val="32"/>
          <w:lang w:val="en-US" w:eastAsia="zh-CN"/>
        </w:rPr>
        <w:t>00元，实际支出1</w:t>
      </w:r>
      <w:r>
        <w:rPr>
          <w:rFonts w:hint="eastAsia" w:ascii="仿宋_GB2312" w:hAnsi="宋体" w:cs="宋体"/>
          <w:color w:val="000000"/>
          <w:szCs w:val="32"/>
          <w:lang w:val="en-US" w:eastAsia="zh-CN"/>
        </w:rPr>
        <w:t>16</w:t>
      </w:r>
      <w:r>
        <w:rPr>
          <w:rFonts w:hint="default" w:ascii="仿宋_GB2312" w:hAnsi="宋体" w:cs="宋体"/>
          <w:color w:val="000000"/>
          <w:szCs w:val="32"/>
          <w:lang w:val="en-US" w:eastAsia="zh-CN"/>
        </w:rPr>
        <w:t>00元，预算执行率达到100%。</w:t>
      </w:r>
    </w:p>
    <w:p w14:paraId="3562C52F">
      <w:pPr>
        <w:pStyle w:val="9"/>
        <w:keepNext w:val="0"/>
        <w:keepLines w:val="0"/>
        <w:widowControl/>
        <w:suppressLineNumbers w:val="0"/>
        <w:spacing w:before="0" w:beforeAutospacing="0" w:after="0" w:afterAutospacing="0"/>
        <w:ind w:left="0" w:leftChars="0" w:right="0" w:firstLine="640" w:firstLineChars="200"/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cs="宋体"/>
          <w:color w:val="000000"/>
          <w:kern w:val="2"/>
          <w:sz w:val="32"/>
          <w:szCs w:val="32"/>
          <w:lang w:val="en-US" w:eastAsia="zh-CN" w:bidi="ar-SA"/>
        </w:rPr>
        <w:t>2.</w:t>
      </w:r>
      <w:r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  <w:t>效益指标完成情况分析。</w:t>
      </w:r>
    </w:p>
    <w:p w14:paraId="20BB08D7">
      <w:pPr>
        <w:pStyle w:val="9"/>
        <w:keepNext w:val="0"/>
        <w:keepLines w:val="0"/>
        <w:widowControl/>
        <w:suppressLineNumbers w:val="0"/>
        <w:spacing w:before="0" w:beforeAutospacing="0" w:after="0" w:afterAutospacing="0"/>
        <w:ind w:left="0" w:leftChars="0" w:right="0" w:firstLine="640" w:firstLineChars="200"/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cs="宋体"/>
          <w:color w:val="000000"/>
          <w:kern w:val="2"/>
          <w:sz w:val="32"/>
          <w:szCs w:val="32"/>
          <w:lang w:val="en-US" w:eastAsia="zh-CN" w:bidi="ar-SA"/>
        </w:rPr>
        <w:t>（1）社会效益</w:t>
      </w:r>
      <w:r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  <w:t>指标：通过项目实施，营造了浓厚的阅读氛围、提供了优质的公共文化空间，有效改善了乡风民俗，增强了村民凝聚力，对提升乡村社会文明程度起到了积极作用，促进了乡村文化振兴。</w:t>
      </w:r>
    </w:p>
    <w:p w14:paraId="3537691A">
      <w:pPr>
        <w:pStyle w:val="9"/>
        <w:keepNext w:val="0"/>
        <w:keepLines w:val="0"/>
        <w:widowControl/>
        <w:suppressLineNumbers w:val="0"/>
        <w:spacing w:before="0" w:beforeAutospacing="0" w:after="0" w:afterAutospacing="0"/>
        <w:ind w:left="0" w:leftChars="0" w:right="0" w:firstLine="640" w:firstLineChars="200"/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  <w:t>（2）可持续影响指标：通过项目实施，完善了</w:t>
      </w:r>
      <w:r>
        <w:rPr>
          <w:rFonts w:hint="eastAsia" w:ascii="仿宋_GB2312" w:hAnsi="宋体" w:cs="宋体"/>
          <w:color w:val="000000"/>
          <w:kern w:val="2"/>
          <w:sz w:val="32"/>
          <w:szCs w:val="32"/>
          <w:lang w:val="en-US" w:eastAsia="zh-CN" w:bidi="ar-SA"/>
        </w:rPr>
        <w:t>唐田镇</w:t>
      </w:r>
      <w:r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  <w:t>农村书屋的硬件设施与管理制度，对农村书屋的持续有效运行、丰富农村文化生活具有长远积极影响。</w:t>
      </w:r>
    </w:p>
    <w:p w14:paraId="196EB770">
      <w:pPr>
        <w:pStyle w:val="9"/>
        <w:keepNext w:val="0"/>
        <w:keepLines w:val="0"/>
        <w:widowControl/>
        <w:suppressLineNumbers w:val="0"/>
        <w:spacing w:before="0" w:beforeAutospacing="0" w:after="0" w:afterAutospacing="0"/>
        <w:ind w:left="0" w:leftChars="0" w:right="0" w:firstLine="640" w:firstLineChars="200"/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  <w:t>3.</w:t>
      </w:r>
      <w:r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  <w:t>满意度指标完成情况分析。</w:t>
      </w:r>
    </w:p>
    <w:p w14:paraId="6DA763C5">
      <w:pPr>
        <w:pStyle w:val="9"/>
        <w:keepNext w:val="0"/>
        <w:keepLines w:val="0"/>
        <w:widowControl/>
        <w:suppressLineNumbers w:val="0"/>
        <w:spacing w:before="0" w:beforeAutospacing="0" w:after="0" w:afterAutospacing="0"/>
        <w:ind w:left="0" w:leftChars="0" w:right="0" w:firstLine="640" w:firstLineChars="200"/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  <w:t>服务对象满意度指标≥95%，通过实地走访、问卷调查等方式调查显示，群众对书屋开放时间、图书种类、活动开展等方面的满意度达到95%以上，超过目标值。</w:t>
      </w:r>
    </w:p>
    <w:p w14:paraId="6001EA94">
      <w:pPr>
        <w:bidi w:val="0"/>
        <w:ind w:left="0" w:leftChars="0" w:firstLine="640" w:firstLineChars="200"/>
        <w:rPr>
          <w:rFonts w:hint="eastAsia" w:ascii="Arial" w:hAnsi="Arial" w:eastAsia="黑体" w:cs="Times New Roman"/>
          <w:kern w:val="2"/>
          <w:sz w:val="32"/>
          <w:szCs w:val="24"/>
          <w:lang w:val="en-US" w:eastAsia="zh-CN" w:bidi="ar-SA"/>
        </w:rPr>
      </w:pPr>
      <w:bookmarkStart w:id="0" w:name="_GoBack"/>
      <w:bookmarkEnd w:id="0"/>
      <w:r>
        <w:rPr>
          <w:rFonts w:hint="eastAsia" w:ascii="Arial" w:hAnsi="Arial" w:eastAsia="黑体" w:cs="Times New Roman"/>
          <w:kern w:val="2"/>
          <w:sz w:val="32"/>
          <w:szCs w:val="24"/>
          <w:lang w:val="en-US" w:eastAsia="zh-CN" w:bidi="ar-SA"/>
        </w:rPr>
        <w:t xml:space="preserve"> 三、发现的主要问题和改进措施 </w:t>
      </w:r>
    </w:p>
    <w:p w14:paraId="37A54843">
      <w:pPr>
        <w:pStyle w:val="9"/>
        <w:keepNext w:val="0"/>
        <w:keepLines w:val="0"/>
        <w:widowControl/>
        <w:suppressLineNumbers w:val="0"/>
        <w:spacing w:before="0" w:beforeAutospacing="0" w:after="0" w:afterAutospacing="0"/>
        <w:ind w:left="0" w:leftChars="0" w:right="0" w:firstLine="640" w:firstLineChars="200"/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  <w:t>存在问题：</w:t>
      </w:r>
    </w:p>
    <w:p w14:paraId="4B65BC70">
      <w:pPr>
        <w:pStyle w:val="9"/>
        <w:keepNext w:val="0"/>
        <w:keepLines w:val="0"/>
        <w:widowControl/>
        <w:suppressLineNumbers w:val="0"/>
        <w:spacing w:before="0" w:beforeAutospacing="0" w:after="0" w:afterAutospacing="0"/>
        <w:ind w:left="0" w:leftChars="0" w:right="0" w:firstLine="640" w:firstLineChars="200"/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cs="宋体"/>
          <w:color w:val="000000"/>
          <w:kern w:val="2"/>
          <w:sz w:val="32"/>
          <w:szCs w:val="32"/>
          <w:lang w:val="en-US" w:eastAsia="zh-CN" w:bidi="ar-SA"/>
        </w:rPr>
        <w:t>1.</w:t>
      </w:r>
      <w:r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  <w:t>部分村级书屋的阅读活动形式较为单一，群众参与度有待进一步提升。</w:t>
      </w:r>
    </w:p>
    <w:p w14:paraId="06C83B15">
      <w:pPr>
        <w:pStyle w:val="9"/>
        <w:keepNext w:val="0"/>
        <w:keepLines w:val="0"/>
        <w:widowControl/>
        <w:suppressLineNumbers w:val="0"/>
        <w:spacing w:before="0" w:beforeAutospacing="0" w:after="0" w:afterAutospacing="0"/>
        <w:ind w:left="0" w:leftChars="0" w:right="0" w:firstLine="640" w:firstLineChars="200"/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cs="宋体"/>
          <w:color w:val="000000"/>
          <w:kern w:val="2"/>
          <w:sz w:val="32"/>
          <w:szCs w:val="32"/>
          <w:lang w:val="en-US" w:eastAsia="zh-CN" w:bidi="ar-SA"/>
        </w:rPr>
        <w:t>2.</w:t>
      </w:r>
      <w:r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  <w:t>图书更新频率与群众阅读需求的匹配度有待优化。</w:t>
      </w:r>
    </w:p>
    <w:p w14:paraId="25BF801D">
      <w:pPr>
        <w:pStyle w:val="9"/>
        <w:keepNext w:val="0"/>
        <w:keepLines w:val="0"/>
        <w:widowControl/>
        <w:suppressLineNumbers w:val="0"/>
        <w:spacing w:before="0" w:beforeAutospacing="0" w:after="0" w:afterAutospacing="0"/>
        <w:ind w:left="0" w:leftChars="0" w:right="0" w:firstLine="640" w:firstLineChars="200"/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  <w:t>改进措施：</w:t>
      </w:r>
    </w:p>
    <w:p w14:paraId="23327FAD">
      <w:pPr>
        <w:pStyle w:val="9"/>
        <w:keepNext w:val="0"/>
        <w:keepLines w:val="0"/>
        <w:widowControl/>
        <w:suppressLineNumbers w:val="0"/>
        <w:spacing w:before="0" w:beforeAutospacing="0" w:after="0" w:afterAutospacing="0"/>
        <w:ind w:left="0" w:leftChars="0" w:right="0" w:firstLine="640" w:firstLineChars="200"/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cs="宋体"/>
          <w:color w:val="000000"/>
          <w:kern w:val="2"/>
          <w:sz w:val="32"/>
          <w:szCs w:val="32"/>
          <w:lang w:val="en-US" w:eastAsia="zh-CN" w:bidi="ar-SA"/>
        </w:rPr>
        <w:t>1.</w:t>
      </w:r>
      <w:r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  <w:t>创新阅读活动形式，结合重要节庆日、农闲时节等，开展读书分享、知识讲座、技能培训等多样化活动，增强书屋吸引力和群众参与度。</w:t>
      </w:r>
    </w:p>
    <w:p w14:paraId="5E1FD431">
      <w:pPr>
        <w:pStyle w:val="9"/>
        <w:keepNext w:val="0"/>
        <w:keepLines w:val="0"/>
        <w:widowControl/>
        <w:suppressLineNumbers w:val="0"/>
        <w:spacing w:before="0" w:beforeAutospacing="0" w:after="0" w:afterAutospacing="0"/>
        <w:ind w:left="0" w:leftChars="0" w:right="0" w:firstLine="640" w:firstLineChars="200"/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  <w:t>2.</w:t>
      </w:r>
      <w:r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  <w:t>建立动态图书需求反馈机制，定期收集村民阅读需求，优化图书采购目录，提高图书资源的针对性和利用率。</w:t>
      </w:r>
    </w:p>
    <w:p w14:paraId="6EF33270">
      <w:pPr>
        <w:numPr>
          <w:ilvl w:val="0"/>
          <w:numId w:val="4"/>
        </w:numPr>
        <w:bidi w:val="0"/>
        <w:rPr>
          <w:rFonts w:hint="eastAsia" w:ascii="Arial" w:hAnsi="Arial" w:eastAsia="黑体" w:cs="Times New Roman"/>
          <w:kern w:val="2"/>
          <w:sz w:val="32"/>
          <w:szCs w:val="24"/>
          <w:lang w:val="en-US" w:eastAsia="zh-CN" w:bidi="ar-SA"/>
        </w:rPr>
      </w:pPr>
      <w:r>
        <w:rPr>
          <w:rFonts w:hint="eastAsia" w:ascii="Arial" w:hAnsi="Arial" w:eastAsia="黑体" w:cs="Times New Roman"/>
          <w:kern w:val="2"/>
          <w:sz w:val="32"/>
          <w:szCs w:val="24"/>
          <w:lang w:val="en-US" w:eastAsia="zh-CN" w:bidi="ar-SA"/>
        </w:rPr>
        <w:t xml:space="preserve">绩效自评结果拟应用和公开情况 </w:t>
      </w:r>
    </w:p>
    <w:p w14:paraId="59959D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  <w:t>经过本次自评打分，我镇2025年农家书屋运营管理经费项目绩效自评得分98分，其中：预算执行率得10分，资金管理情况得40分、产出指标得20分、效益指标得18分，满意度指标得5分。自评结果的应用按照上级要求执行，在规定的时间内对财政资金项目进行及时、准确、全面公开。绩效自评结果将作为2026年度预算编制的重要依据，作为改进项目管理和提升资金使用效益的重要依据。项目单位将根据评价结果，进一步完善管理制度，优化工作流程，持续提升财政资金使用效益。</w:t>
      </w:r>
      <w:r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  <w:br w:type="textWrapping"/>
      </w:r>
      <w:r>
        <w:rPr>
          <w:rFonts w:hint="eastAsia" w:ascii="仿宋_GB2312" w:hAnsi="宋体" w:cs="宋体"/>
          <w:color w:val="000000"/>
          <w:kern w:val="2"/>
          <w:sz w:val="32"/>
          <w:szCs w:val="32"/>
          <w:lang w:val="en-US" w:eastAsia="zh-CN" w:bidi="ar-SA"/>
        </w:rPr>
        <w:t xml:space="preserve">    </w:t>
      </w:r>
      <w:r>
        <w:rPr>
          <w:rFonts w:hint="default" w:ascii="仿宋_GB2312" w:hAnsi="宋体" w:eastAsia="仿宋_GB2312" w:cs="宋体"/>
          <w:color w:val="000000"/>
          <w:kern w:val="2"/>
          <w:sz w:val="32"/>
          <w:szCs w:val="32"/>
          <w:lang w:val="en-US" w:eastAsia="zh-CN" w:bidi="ar-SA"/>
        </w:rPr>
        <w:t>本绩效自评报告将按照上级要求通过相关网站进行全文公开。公开内容包括项目基本情况、资金使用情况、绩效目标完成情况和评价结论等。</w:t>
      </w:r>
    </w:p>
    <w:p w14:paraId="74C72123">
      <w:pPr>
        <w:bidi w:val="0"/>
        <w:rPr>
          <w:rFonts w:hint="eastAsia" w:ascii="Arial" w:hAnsi="Arial" w:eastAsia="黑体" w:cs="Times New Roman"/>
          <w:kern w:val="2"/>
          <w:sz w:val="32"/>
          <w:szCs w:val="24"/>
          <w:lang w:val="en-US" w:eastAsia="zh-CN" w:bidi="ar-SA"/>
        </w:rPr>
      </w:pPr>
      <w:r>
        <w:rPr>
          <w:rFonts w:hint="eastAsia" w:ascii="Arial" w:hAnsi="Arial" w:eastAsia="黑体" w:cs="Times New Roman"/>
          <w:kern w:val="2"/>
          <w:sz w:val="32"/>
          <w:szCs w:val="24"/>
          <w:lang w:val="en-US" w:eastAsia="zh-CN" w:bidi="ar-SA"/>
        </w:rPr>
        <w:t xml:space="preserve">五、其他需要说明的问题 </w:t>
      </w:r>
    </w:p>
    <w:p w14:paraId="3BA6BCA6">
      <w:pPr>
        <w:ind w:left="0" w:leftChars="0" w:firstLine="640"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无</w:t>
      </w:r>
    </w:p>
    <w:p w14:paraId="31F4C808">
      <w:pPr>
        <w:ind w:left="0" w:leftChars="0" w:firstLine="640" w:firstLineChars="0"/>
        <w:rPr>
          <w:rFonts w:hint="eastAsia"/>
          <w:lang w:eastAsia="zh-CN"/>
        </w:rPr>
      </w:pP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43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16C5EFE7-742E-48C6-9EBE-C3624E8BC06F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6C67671E-A965-4422-A68E-AB54C86C03F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3" w:fontKey="{E79CFB9A-819A-4676-AE90-CD4EB084F6A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06B1C7EB-7887-4FE6-8593-C4BC61CE56C1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5" w:fontKey="{250303E3-D236-41DD-B41B-0C8CC996F4B2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438FD3E2-D68C-44C7-9D0F-090237C2B6AA}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F2EEEC"/>
    <w:multiLevelType w:val="singleLevel"/>
    <w:tmpl w:val="96F2EEEC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E469FA64"/>
    <w:multiLevelType w:val="singleLevel"/>
    <w:tmpl w:val="E469FA64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0F421275"/>
    <w:multiLevelType w:val="singleLevel"/>
    <w:tmpl w:val="0F42127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7646F5E5"/>
    <w:multiLevelType w:val="singleLevel"/>
    <w:tmpl w:val="7646F5E5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NkOTVmN2FkYjAxNDNhZTAyNmI5ZDMwYjVkYzZjYjQifQ=="/>
  </w:docVars>
  <w:rsids>
    <w:rsidRoot w:val="00000000"/>
    <w:rsid w:val="065855C2"/>
    <w:rsid w:val="0B122223"/>
    <w:rsid w:val="0CAA3075"/>
    <w:rsid w:val="0E912047"/>
    <w:rsid w:val="10264A11"/>
    <w:rsid w:val="1AC357B2"/>
    <w:rsid w:val="1E6C2189"/>
    <w:rsid w:val="211965FD"/>
    <w:rsid w:val="25184F27"/>
    <w:rsid w:val="2DFA2D34"/>
    <w:rsid w:val="34A40D5D"/>
    <w:rsid w:val="34ED44EE"/>
    <w:rsid w:val="39BF540B"/>
    <w:rsid w:val="49D25C6F"/>
    <w:rsid w:val="49F44C5D"/>
    <w:rsid w:val="4E725286"/>
    <w:rsid w:val="4EEA4880"/>
    <w:rsid w:val="508907EC"/>
    <w:rsid w:val="510F4A72"/>
    <w:rsid w:val="51A46EB8"/>
    <w:rsid w:val="59893FCD"/>
    <w:rsid w:val="5A911CB4"/>
    <w:rsid w:val="631062F6"/>
    <w:rsid w:val="6320666B"/>
    <w:rsid w:val="66860EDB"/>
    <w:rsid w:val="6C5623AB"/>
    <w:rsid w:val="74B10BD7"/>
    <w:rsid w:val="79DE1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60" w:lineRule="exact"/>
      <w:ind w:firstLine="880" w:firstLineChars="20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6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720" w:lineRule="exact"/>
      <w:ind w:firstLine="0" w:firstLineChars="0"/>
      <w:jc w:val="center"/>
      <w:outlineLvl w:val="0"/>
    </w:pPr>
    <w:rPr>
      <w:rFonts w:eastAsia="方正小标宋简体"/>
      <w:kern w:val="44"/>
      <w:sz w:val="44"/>
    </w:rPr>
  </w:style>
  <w:style w:type="paragraph" w:styleId="7">
    <w:name w:val="heading 2"/>
    <w:basedOn w:val="1"/>
    <w:next w:val="1"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黑体"/>
    </w:rPr>
  </w:style>
  <w:style w:type="paragraph" w:styleId="8">
    <w:name w:val="heading 3"/>
    <w:basedOn w:val="1"/>
    <w:next w:val="1"/>
    <w:link w:val="13"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2"/>
    </w:pPr>
    <w:rPr>
      <w:rFonts w:eastAsia="楷体_GB2312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4"/>
    <w:qFormat/>
    <w:uiPriority w:val="0"/>
    <w:pPr>
      <w:spacing w:after="120" w:line="560" w:lineRule="exact"/>
      <w:ind w:left="0" w:leftChars="0" w:firstLine="420"/>
    </w:pPr>
    <w:rPr>
      <w:rFonts w:ascii="Calibri" w:hAnsi="Calibri" w:cs="宋体"/>
      <w:szCs w:val="24"/>
    </w:rPr>
  </w:style>
  <w:style w:type="paragraph" w:styleId="3">
    <w:name w:val="Body Text Indent"/>
    <w:basedOn w:val="1"/>
    <w:qFormat/>
    <w:uiPriority w:val="0"/>
    <w:pPr>
      <w:ind w:firstLine="720"/>
    </w:pPr>
    <w:rPr>
      <w:rFonts w:hint="eastAsia" w:ascii="仿宋_GB2312" w:eastAsia="仿宋_GB2312"/>
      <w:sz w:val="32"/>
      <w:szCs w:val="20"/>
    </w:rPr>
  </w:style>
  <w:style w:type="paragraph" w:styleId="4">
    <w:name w:val="Body Text First Indent"/>
    <w:basedOn w:val="5"/>
    <w:qFormat/>
    <w:uiPriority w:val="0"/>
    <w:pPr>
      <w:ind w:firstLine="420" w:firstLineChars="100"/>
    </w:p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9">
    <w:name w:val="Normal (Web)"/>
    <w:basedOn w:val="1"/>
    <w:qFormat/>
    <w:uiPriority w:val="0"/>
    <w:rPr>
      <w:sz w:val="24"/>
    </w:rPr>
  </w:style>
  <w:style w:type="character" w:styleId="12">
    <w:name w:val="Strong"/>
    <w:basedOn w:val="11"/>
    <w:qFormat/>
    <w:uiPriority w:val="0"/>
    <w:rPr>
      <w:b/>
    </w:rPr>
  </w:style>
  <w:style w:type="character" w:customStyle="1" w:styleId="13">
    <w:name w:val="标题 3 Char"/>
    <w:link w:val="8"/>
    <w:qFormat/>
    <w:uiPriority w:val="0"/>
    <w:rPr>
      <w:rFonts w:eastAsia="楷体_GB231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1854</Words>
  <Characters>1936</Characters>
  <Lines>0</Lines>
  <Paragraphs>0</Paragraphs>
  <TotalTime>1</TotalTime>
  <ScaleCrop>false</ScaleCrop>
  <LinksUpToDate>false</LinksUpToDate>
  <CharactersWithSpaces>1944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2026-01-08T00:53:00Z</dcterms:created>
  <dc:creator>Administrator</dc:creator>
  <cp:lastModifiedBy>わたぬき きみひろ</cp:lastModifiedBy>
  <cp:lastPrinted>2026-03-20T02:44:00Z</cp:lastPrinted>
  <dcterms:modified xsi:type="dcterms:W3CDTF">2026-04-13T07:49:20Z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B297BD7EAF1749A894C24036F95BFD5F_12</vt:lpwstr>
  </property>
  <property fmtid="{D5CDD505-2E9C-101B-9397-08002B2CF9AE}" pid="4" name="KSOTemplateDocerSaveRecord">
    <vt:lpwstr>eyJoZGlkIjoiNGI1ODE2ZmFlZGU3OGUzYmVmNGNjNWVlNjcwMGJhMTYiLCJ1c2VySWQiOiI2NjkxMTg1NzEifQ==</vt:lpwstr>
  </property>
</Properties>
</file>