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C57D82">
      <w:pPr>
        <w:ind w:left="0" w:leftChars="0" w:firstLine="0" w:firstLineChars="0"/>
        <w:rPr>
          <w:rFonts w:hint="eastAsia" w:ascii="黑体" w:hAnsi="黑体" w:eastAsia="黑体" w:cs="黑体"/>
          <w:lang w:val="en-US" w:eastAsia="zh-CN"/>
        </w:rPr>
      </w:pPr>
      <w:r>
        <w:rPr>
          <w:rFonts w:hint="eastAsia" w:ascii="黑体" w:hAnsi="黑体" w:eastAsia="黑体" w:cs="黑体"/>
        </w:rPr>
        <w:t>附件</w:t>
      </w:r>
      <w:r>
        <w:rPr>
          <w:rFonts w:hint="eastAsia" w:ascii="黑体" w:hAnsi="黑体" w:eastAsia="黑体" w:cs="黑体"/>
          <w:lang w:val="en-US" w:eastAsia="zh-CN"/>
        </w:rPr>
        <w:t>4</w:t>
      </w:r>
    </w:p>
    <w:p w14:paraId="2DBB9054">
      <w:pPr>
        <w:pStyle w:val="2"/>
        <w:bidi w:val="0"/>
        <w:rPr>
          <w:rFonts w:hint="eastAsia"/>
        </w:rPr>
      </w:pPr>
      <w:r>
        <w:rPr>
          <w:rFonts w:hint="eastAsia"/>
        </w:rPr>
        <w:t>中央对地方转移支付（</w:t>
      </w:r>
      <w:r>
        <w:rPr>
          <w:rFonts w:hint="eastAsia"/>
          <w:lang w:val="en-US" w:eastAsia="zh-CN"/>
        </w:rPr>
        <w:t>2</w:t>
      </w:r>
      <w:r>
        <w:rPr>
          <w:rFonts w:hint="eastAsia" w:ascii="Times New Roman" w:hAnsi="Times New Roman" w:eastAsia="方正小标宋简体" w:cs="Times New Roman"/>
          <w:kern w:val="44"/>
          <w:sz w:val="44"/>
          <w:szCs w:val="24"/>
          <w:lang w:val="en-US" w:eastAsia="zh-CN" w:bidi="ar-SA"/>
        </w:rPr>
        <w:t>025年农村公益事业财政奖补</w:t>
      </w:r>
      <w:r>
        <w:rPr>
          <w:rFonts w:hint="eastAsia"/>
        </w:rPr>
        <w:t>）项目绩效自评报告</w:t>
      </w:r>
    </w:p>
    <w:p w14:paraId="29FD7D7D">
      <w:pPr>
        <w:rPr>
          <w:rFonts w:hint="eastAsia"/>
        </w:rPr>
      </w:pPr>
    </w:p>
    <w:p w14:paraId="3D52D339">
      <w:pPr>
        <w:pStyle w:val="3"/>
        <w:bidi w:val="0"/>
        <w:rPr>
          <w:rFonts w:hint="eastAsia"/>
          <w:lang w:eastAsia="zh-CN"/>
        </w:rPr>
      </w:pPr>
      <w:r>
        <w:rPr>
          <w:rFonts w:hint="eastAsia"/>
          <w:lang w:eastAsia="zh-CN"/>
        </w:rPr>
        <w:t>一、基本情况</w:t>
      </w:r>
    </w:p>
    <w:p w14:paraId="429210D4">
      <w:pPr>
        <w:ind w:left="0" w:leftChars="0" w:firstLine="640" w:firstLineChars="200"/>
        <w:rPr>
          <w:rFonts w:hint="eastAsia" w:eastAsia="仿宋_GB2312"/>
          <w:lang w:eastAsia="zh-CN"/>
        </w:rPr>
      </w:pPr>
      <w:r>
        <w:rPr>
          <w:rFonts w:hint="eastAsia" w:eastAsia="仿宋_GB2312"/>
          <w:lang w:eastAsia="zh-CN"/>
        </w:rPr>
        <w:t>2025年，根据《池州市贵池区人民政府关于印发池州市贵池区村级公益事业建设一事一议财政奖补试点工作实施方案的通知》(贵政</w:t>
      </w:r>
      <w:r>
        <w:rPr>
          <w:rFonts w:hint="default" w:ascii="仿宋_GB2312" w:hAnsi="宋体" w:cs="宋体"/>
          <w:color w:val="000000"/>
          <w:kern w:val="2"/>
          <w:sz w:val="32"/>
          <w:szCs w:val="32"/>
          <w:lang w:val="en-US" w:eastAsia="zh-CN" w:bidi="ar-SA"/>
        </w:rPr>
        <w:t>〔</w:t>
      </w:r>
      <w:r>
        <w:rPr>
          <w:rFonts w:hint="eastAsia" w:eastAsia="仿宋_GB2312"/>
          <w:lang w:eastAsia="zh-CN"/>
        </w:rPr>
        <w:t>2009</w:t>
      </w:r>
      <w:r>
        <w:rPr>
          <w:rFonts w:hint="default" w:ascii="仿宋_GB2312" w:hAnsi="宋体" w:cs="宋体"/>
          <w:color w:val="000000"/>
          <w:kern w:val="2"/>
          <w:sz w:val="32"/>
          <w:szCs w:val="32"/>
          <w:lang w:val="en-US" w:eastAsia="zh-CN" w:bidi="ar-SA"/>
        </w:rPr>
        <w:t>〕</w:t>
      </w:r>
      <w:r>
        <w:rPr>
          <w:rFonts w:hint="eastAsia" w:eastAsia="仿宋_GB2312"/>
          <w:lang w:eastAsia="zh-CN"/>
        </w:rPr>
        <w:t>14号)以及《关于下达2025年度农村公益事业财政奖补项目计划的通知》（贵综改办</w:t>
      </w:r>
      <w:r>
        <w:rPr>
          <w:rFonts w:hint="default" w:ascii="仿宋_GB2312" w:hAnsi="宋体" w:cs="宋体"/>
          <w:color w:val="000000"/>
          <w:kern w:val="2"/>
          <w:sz w:val="32"/>
          <w:szCs w:val="32"/>
          <w:lang w:val="en-US" w:eastAsia="zh-CN" w:bidi="ar-SA"/>
        </w:rPr>
        <w:t>〔</w:t>
      </w:r>
      <w:r>
        <w:rPr>
          <w:rFonts w:hint="eastAsia" w:eastAsia="仿宋_GB2312"/>
          <w:lang w:eastAsia="zh-CN"/>
        </w:rPr>
        <w:t>2025</w:t>
      </w:r>
      <w:r>
        <w:rPr>
          <w:rFonts w:hint="default" w:ascii="仿宋_GB2312" w:hAnsi="宋体" w:cs="宋体"/>
          <w:color w:val="000000"/>
          <w:kern w:val="2"/>
          <w:sz w:val="32"/>
          <w:szCs w:val="32"/>
          <w:lang w:val="en-US" w:eastAsia="zh-CN" w:bidi="ar-SA"/>
        </w:rPr>
        <w:t>〕</w:t>
      </w:r>
      <w:r>
        <w:rPr>
          <w:rFonts w:hint="eastAsia" w:eastAsia="仿宋_GB2312"/>
          <w:lang w:eastAsia="zh-CN"/>
        </w:rPr>
        <w:t>2号）文件要求，下达农村公益事业财政奖补项目资金</w:t>
      </w:r>
      <w:r>
        <w:rPr>
          <w:rFonts w:hint="eastAsia"/>
          <w:lang w:val="en-US" w:eastAsia="zh-CN"/>
        </w:rPr>
        <w:t>41.411</w:t>
      </w:r>
      <w:r>
        <w:rPr>
          <w:rFonts w:hint="eastAsia" w:eastAsia="仿宋_GB2312"/>
          <w:lang w:eastAsia="zh-CN"/>
        </w:rPr>
        <w:t>万元，实际执行</w:t>
      </w:r>
      <w:r>
        <w:rPr>
          <w:rFonts w:hint="eastAsia"/>
          <w:lang w:val="en-US" w:eastAsia="zh-CN"/>
        </w:rPr>
        <w:t>20.7055</w:t>
      </w:r>
      <w:r>
        <w:rPr>
          <w:rFonts w:hint="eastAsia" w:eastAsia="仿宋_GB2312"/>
          <w:lang w:eastAsia="zh-CN"/>
        </w:rPr>
        <w:t>万元，由池州市贵池区</w:t>
      </w:r>
      <w:r>
        <w:rPr>
          <w:rFonts w:hint="eastAsia"/>
          <w:lang w:val="en-US" w:eastAsia="zh-CN"/>
        </w:rPr>
        <w:t>唐田</w:t>
      </w:r>
      <w:r>
        <w:rPr>
          <w:rFonts w:hint="eastAsia" w:eastAsia="仿宋_GB2312"/>
          <w:lang w:eastAsia="zh-CN"/>
        </w:rPr>
        <w:t>镇人民政府负责具体实施。该项目主要用于实施农村道路硬化和亮化工程等公益事业建设，覆盖补助村（社区）数量</w:t>
      </w:r>
      <w:r>
        <w:rPr>
          <w:rFonts w:hint="eastAsia"/>
          <w:lang w:val="en-US" w:eastAsia="zh-CN"/>
        </w:rPr>
        <w:t>5</w:t>
      </w:r>
      <w:r>
        <w:rPr>
          <w:rFonts w:hint="eastAsia" w:eastAsia="仿宋_GB2312"/>
          <w:lang w:eastAsia="zh-CN"/>
        </w:rPr>
        <w:t>个，项目受益人口≥1.</w:t>
      </w:r>
      <w:r>
        <w:rPr>
          <w:rFonts w:hint="eastAsia"/>
          <w:lang w:val="en-US" w:eastAsia="zh-CN"/>
        </w:rPr>
        <w:t>3</w:t>
      </w:r>
      <w:r>
        <w:rPr>
          <w:rFonts w:hint="eastAsia" w:eastAsia="仿宋_GB2312"/>
          <w:lang w:eastAsia="zh-CN"/>
        </w:rPr>
        <w:t>万人。项目旨在通过财政奖补，有效降低行政村建设公益项目的经济负担，解决当地居民出行和生活便利性问题，改善当地人居环境，提高居民生活质量，增强群众的幸福感和获得感。项目设置一级指标3个，二级指标9个，三级指标</w:t>
      </w:r>
      <w:r>
        <w:rPr>
          <w:rFonts w:hint="eastAsia"/>
          <w:lang w:val="en-US" w:eastAsia="zh-CN"/>
        </w:rPr>
        <w:t>14</w:t>
      </w:r>
      <w:r>
        <w:rPr>
          <w:rFonts w:hint="eastAsia" w:eastAsia="仿宋_GB2312"/>
          <w:lang w:eastAsia="zh-CN"/>
        </w:rPr>
        <w:t>个，确保专款专用率100%，补助资金支付合规性100%，补助项目资格审查合格率100%，群众满意度达到95%以上。项目实施周期为2025年1月至12月，期间严格按照财政资金管理要求执行，确保资金使用合规、高效。</w:t>
      </w:r>
    </w:p>
    <w:p w14:paraId="5528841F">
      <w:pPr>
        <w:keepNext w:val="0"/>
        <w:keepLines w:val="0"/>
        <w:pageBreakBefore w:val="0"/>
        <w:widowControl w:val="0"/>
        <w:kinsoku/>
        <w:wordWrap/>
        <w:overflowPunct/>
        <w:topLinePunct w:val="0"/>
        <w:autoSpaceDE/>
        <w:autoSpaceDN/>
        <w:bidi w:val="0"/>
        <w:adjustRightInd/>
        <w:snapToGrid/>
        <w:textAlignment w:val="auto"/>
        <w:rPr>
          <w:rFonts w:hint="eastAsia" w:eastAsia="仿宋_GB2312"/>
          <w:lang w:eastAsia="zh-CN"/>
        </w:rPr>
      </w:pPr>
      <w:r>
        <w:rPr>
          <w:rFonts w:hint="eastAsia" w:ascii="Arial" w:hAnsi="Arial" w:eastAsia="黑体" w:cs="Times New Roman"/>
          <w:kern w:val="2"/>
          <w:sz w:val="32"/>
          <w:szCs w:val="24"/>
          <w:lang w:val="en-US" w:eastAsia="zh-CN" w:bidi="ar-SA"/>
        </w:rPr>
        <w:t xml:space="preserve"> 二、绩效目标完成情况分析</w:t>
      </w:r>
    </w:p>
    <w:p w14:paraId="26FAFEA2">
      <w:pPr>
        <w:keepNext w:val="0"/>
        <w:keepLines w:val="0"/>
        <w:pageBreakBefore w:val="0"/>
        <w:widowControl w:val="0"/>
        <w:kinsoku/>
        <w:wordWrap/>
        <w:overflowPunct/>
        <w:topLinePunct w:val="0"/>
        <w:autoSpaceDE/>
        <w:autoSpaceDN/>
        <w:bidi w:val="0"/>
        <w:adjustRightInd/>
        <w:snapToGrid/>
        <w:ind w:left="0" w:leftChars="0" w:firstLine="640" w:firstLineChars="200"/>
        <w:textAlignment w:val="auto"/>
        <w:rPr>
          <w:rFonts w:hint="eastAsia" w:eastAsia="仿宋_GB2312"/>
          <w:lang w:eastAsia="zh-CN"/>
        </w:rPr>
      </w:pPr>
      <w:r>
        <w:rPr>
          <w:rFonts w:hint="eastAsia" w:eastAsia="仿宋_GB2312"/>
          <w:lang w:eastAsia="zh-CN"/>
        </w:rPr>
        <w:t>（一）资金情况分析</w:t>
      </w:r>
    </w:p>
    <w:p w14:paraId="4E20F973">
      <w:pPr>
        <w:ind w:left="0" w:leftChars="0" w:firstLine="640" w:firstLineChars="200"/>
        <w:rPr>
          <w:rFonts w:hint="eastAsia" w:eastAsia="仿宋_GB2312"/>
          <w:lang w:eastAsia="zh-CN"/>
        </w:rPr>
      </w:pPr>
      <w:r>
        <w:rPr>
          <w:rFonts w:hint="eastAsia" w:eastAsia="仿宋_GB2312"/>
          <w:lang w:eastAsia="zh-CN"/>
        </w:rPr>
        <w:t>本项目全年预算资金</w:t>
      </w:r>
      <w:r>
        <w:rPr>
          <w:rFonts w:hint="eastAsia"/>
          <w:lang w:val="en-US" w:eastAsia="zh-CN"/>
        </w:rPr>
        <w:t>41.411</w:t>
      </w:r>
      <w:r>
        <w:rPr>
          <w:rFonts w:hint="eastAsia" w:eastAsia="仿宋_GB2312"/>
          <w:lang w:eastAsia="zh-CN"/>
        </w:rPr>
        <w:t>万元，实际执行</w:t>
      </w:r>
      <w:r>
        <w:rPr>
          <w:rFonts w:hint="eastAsia"/>
          <w:lang w:val="en-US" w:eastAsia="zh-CN"/>
        </w:rPr>
        <w:t>20.7055</w:t>
      </w:r>
      <w:r>
        <w:rPr>
          <w:rFonts w:hint="eastAsia" w:eastAsia="仿宋_GB2312"/>
          <w:lang w:eastAsia="zh-CN"/>
        </w:rPr>
        <w:t>万元，预算执行率为</w:t>
      </w:r>
      <w:r>
        <w:rPr>
          <w:rFonts w:hint="eastAsia"/>
          <w:lang w:val="en-US" w:eastAsia="zh-CN"/>
        </w:rPr>
        <w:t>50</w:t>
      </w:r>
      <w:r>
        <w:rPr>
          <w:rFonts w:hint="eastAsia" w:eastAsia="仿宋_GB2312"/>
          <w:lang w:eastAsia="zh-CN"/>
        </w:rPr>
        <w:t>%，得分为</w:t>
      </w:r>
      <w:r>
        <w:rPr>
          <w:rFonts w:hint="eastAsia"/>
          <w:lang w:val="en-US" w:eastAsia="zh-CN"/>
        </w:rPr>
        <w:t>5</w:t>
      </w:r>
      <w:r>
        <w:rPr>
          <w:rFonts w:hint="eastAsia" w:eastAsia="仿宋_GB2312"/>
          <w:lang w:eastAsia="zh-CN"/>
        </w:rPr>
        <w:t>分（满分10分）。资金执行率较低的主要原因是：部分项目工程进度受天气、施工周期等因素影响，验收及审计工作尚未全部完成，根据“项目验收合格并审计完成后30个工作日内结算兑付财政奖补资金”的规定，剩余资金将在后续按程序拨付。资金拨付流程规范，拨付时效符合合同规定要求。资金使用严格遵循专款专用原则，支出手续完备，原始凭证齐全，经核查未发现任何挤占挪用、超范围支出等违规情况。资金使用方向与预算申报用途完全一致，全部用于农村公益事业财政奖补项目建设，资金使用合规性达到100%。</w:t>
      </w:r>
    </w:p>
    <w:p w14:paraId="6B1122E9">
      <w:pPr>
        <w:ind w:left="0" w:leftChars="0" w:firstLine="640" w:firstLineChars="200"/>
        <w:rPr>
          <w:rFonts w:hint="eastAsia" w:eastAsia="仿宋_GB2312"/>
          <w:lang w:eastAsia="zh-CN"/>
        </w:rPr>
      </w:pPr>
      <w:r>
        <w:rPr>
          <w:rFonts w:hint="eastAsia" w:eastAsia="仿宋_GB2312"/>
          <w:lang w:eastAsia="zh-CN"/>
        </w:rPr>
        <w:t>（二）资金管理情况分析。</w:t>
      </w:r>
    </w:p>
    <w:p w14:paraId="3C77275D">
      <w:pPr>
        <w:ind w:left="0" w:leftChars="0" w:firstLine="640" w:firstLineChars="200"/>
        <w:rPr>
          <w:rFonts w:hint="eastAsia" w:eastAsia="仿宋_GB2312"/>
          <w:lang w:eastAsia="zh-CN"/>
        </w:rPr>
      </w:pPr>
      <w:r>
        <w:rPr>
          <w:rFonts w:hint="eastAsia" w:eastAsia="仿宋_GB2312"/>
          <w:lang w:eastAsia="zh-CN"/>
        </w:rPr>
        <w:t>我镇年初制定详细的绩效目标，及时填报绩效监控，按时开展绩效评价。项目严格按照一事一议资金管理办法及相关文件要求，严格把控资金的管理及使用。财务管理制度健全，账务处理及时，会计核算规范。在资金拨付合规性、使用规范性、执行准确性、预算绩效管理期情况、支出责任履行情况等五个方面均严格执行到位，自评得分40分（满分40分）。</w:t>
      </w:r>
    </w:p>
    <w:p w14:paraId="61FCFAB1">
      <w:pPr>
        <w:ind w:left="0" w:leftChars="0" w:firstLine="640" w:firstLineChars="200"/>
        <w:rPr>
          <w:rFonts w:hint="eastAsia" w:eastAsia="仿宋_GB2312"/>
          <w:lang w:eastAsia="zh-CN"/>
        </w:rPr>
      </w:pPr>
      <w:r>
        <w:rPr>
          <w:rFonts w:hint="eastAsia" w:eastAsia="仿宋_GB2312"/>
          <w:lang w:eastAsia="zh-CN"/>
        </w:rPr>
        <w:t>（三）总体目标完成情况分析。</w:t>
      </w:r>
    </w:p>
    <w:p w14:paraId="57283766">
      <w:pPr>
        <w:ind w:left="0" w:leftChars="0" w:firstLine="640" w:firstLineChars="200"/>
        <w:rPr>
          <w:rFonts w:hint="eastAsia" w:eastAsia="仿宋_GB2312"/>
          <w:lang w:eastAsia="zh-CN"/>
        </w:rPr>
      </w:pPr>
      <w:r>
        <w:rPr>
          <w:rFonts w:hint="eastAsia" w:eastAsia="仿宋_GB2312"/>
          <w:lang w:eastAsia="zh-CN"/>
        </w:rPr>
        <w:t>根据2025年农村公益事业财政奖补项目计划，申请资金</w:t>
      </w:r>
      <w:r>
        <w:rPr>
          <w:rFonts w:hint="eastAsia"/>
          <w:lang w:val="en-US" w:eastAsia="zh-CN"/>
        </w:rPr>
        <w:t>41.411</w:t>
      </w:r>
      <w:r>
        <w:rPr>
          <w:rFonts w:hint="eastAsia" w:eastAsia="仿宋_GB2312"/>
          <w:lang w:eastAsia="zh-CN"/>
        </w:rPr>
        <w:t>万元，用于实施农村道路硬化和亮化工程，方便当地居民出行，提升群众生活质量，改善人居环境。总体绩效目标基本完成。其中，补助村数量、补助项目数量、受益人口、专款专用率、资金支付合规性、项目资格审查合格率等指标均达成预期；群众满意度达到95%。因部分项目验收审计工作尚未全部完成，预算执行率为</w:t>
      </w:r>
      <w:r>
        <w:rPr>
          <w:rFonts w:hint="eastAsia"/>
          <w:lang w:val="en-US" w:eastAsia="zh-CN"/>
        </w:rPr>
        <w:t>50</w:t>
      </w:r>
      <w:r>
        <w:rPr>
          <w:rFonts w:hint="eastAsia" w:eastAsia="仿宋_GB2312"/>
          <w:lang w:eastAsia="zh-CN"/>
        </w:rPr>
        <w:t>%，剩余资金将按程序在验收审计完成后及时兑付。</w:t>
      </w:r>
    </w:p>
    <w:p w14:paraId="5C6F968B">
      <w:pPr>
        <w:ind w:left="0" w:leftChars="0" w:firstLine="640" w:firstLineChars="200"/>
        <w:rPr>
          <w:rFonts w:hint="eastAsia" w:eastAsia="仿宋_GB2312"/>
          <w:lang w:eastAsia="zh-CN"/>
        </w:rPr>
      </w:pPr>
      <w:r>
        <w:rPr>
          <w:rFonts w:hint="eastAsia" w:eastAsia="仿宋_GB2312"/>
          <w:lang w:eastAsia="zh-CN"/>
        </w:rPr>
        <w:t>（四）绩效指标完成情况分析。</w:t>
      </w:r>
    </w:p>
    <w:p w14:paraId="3C45A304">
      <w:pPr>
        <w:ind w:left="0" w:leftChars="0" w:firstLine="640" w:firstLineChars="200"/>
        <w:rPr>
          <w:rFonts w:hint="eastAsia" w:eastAsia="仿宋_GB2312"/>
          <w:lang w:eastAsia="zh-CN"/>
        </w:rPr>
      </w:pPr>
      <w:r>
        <w:rPr>
          <w:rFonts w:hint="eastAsia" w:eastAsia="仿宋_GB2312"/>
          <w:lang w:eastAsia="zh-CN"/>
        </w:rPr>
        <w:t>1.产出指标完成情况分析。</w:t>
      </w:r>
    </w:p>
    <w:p w14:paraId="37280C46">
      <w:pPr>
        <w:ind w:left="0" w:leftChars="0" w:firstLine="640" w:firstLineChars="200"/>
        <w:rPr>
          <w:rFonts w:hint="eastAsia" w:eastAsia="仿宋_GB2312"/>
          <w:lang w:eastAsia="zh-CN"/>
        </w:rPr>
      </w:pPr>
      <w:r>
        <w:rPr>
          <w:rFonts w:hint="eastAsia" w:eastAsia="仿宋_GB2312"/>
          <w:lang w:eastAsia="zh-CN"/>
        </w:rPr>
        <w:t>（1）数量指标：补助村（社区）数量</w:t>
      </w:r>
      <w:r>
        <w:rPr>
          <w:rFonts w:hint="eastAsia"/>
          <w:lang w:val="en-US" w:eastAsia="zh-CN"/>
        </w:rPr>
        <w:t>5</w:t>
      </w:r>
      <w:r>
        <w:rPr>
          <w:rFonts w:hint="eastAsia" w:eastAsia="仿宋_GB2312"/>
          <w:lang w:eastAsia="zh-CN"/>
        </w:rPr>
        <w:t>个，实际完成</w:t>
      </w:r>
      <w:r>
        <w:rPr>
          <w:rFonts w:hint="eastAsia"/>
          <w:lang w:val="en-US" w:eastAsia="zh-CN"/>
        </w:rPr>
        <w:t>5</w:t>
      </w:r>
      <w:r>
        <w:rPr>
          <w:rFonts w:hint="eastAsia" w:eastAsia="仿宋_GB2312"/>
          <w:lang w:eastAsia="zh-CN"/>
        </w:rPr>
        <w:t>个；项目受益人口≥1.</w:t>
      </w:r>
      <w:r>
        <w:rPr>
          <w:rFonts w:hint="eastAsia"/>
          <w:lang w:val="en-US" w:eastAsia="zh-CN"/>
        </w:rPr>
        <w:t>3</w:t>
      </w:r>
      <w:r>
        <w:rPr>
          <w:rFonts w:hint="eastAsia" w:eastAsia="仿宋_GB2312"/>
          <w:lang w:eastAsia="zh-CN"/>
        </w:rPr>
        <w:t>万人，实际完成1.</w:t>
      </w:r>
      <w:r>
        <w:rPr>
          <w:rFonts w:hint="eastAsia"/>
          <w:lang w:val="en-US" w:eastAsia="zh-CN"/>
        </w:rPr>
        <w:t>3</w:t>
      </w:r>
      <w:r>
        <w:rPr>
          <w:rFonts w:hint="eastAsia" w:eastAsia="仿宋_GB2312"/>
          <w:lang w:eastAsia="zh-CN"/>
        </w:rPr>
        <w:t>万人，均达成预期目标。</w:t>
      </w:r>
    </w:p>
    <w:p w14:paraId="405DBC3D">
      <w:pPr>
        <w:ind w:left="0" w:leftChars="0" w:firstLine="640" w:firstLineChars="200"/>
        <w:rPr>
          <w:rFonts w:hint="eastAsia" w:eastAsia="仿宋_GB2312"/>
          <w:lang w:eastAsia="zh-CN"/>
        </w:rPr>
      </w:pPr>
      <w:r>
        <w:rPr>
          <w:rFonts w:hint="eastAsia" w:eastAsia="仿宋_GB2312"/>
          <w:lang w:eastAsia="zh-CN"/>
        </w:rPr>
        <w:t>（2）质量指标：专款专用率100%，实际达成100%；补助资金支付合规性符合一事一议资金管理办法，达成预期指标；补助项目资格审查合格率100%，实际达成100%。</w:t>
      </w:r>
    </w:p>
    <w:p w14:paraId="3D9AE14F">
      <w:pPr>
        <w:ind w:left="0" w:leftChars="0" w:firstLine="640" w:firstLineChars="200"/>
        <w:rPr>
          <w:rFonts w:hint="eastAsia" w:eastAsia="仿宋_GB2312"/>
          <w:lang w:eastAsia="zh-CN"/>
        </w:rPr>
      </w:pPr>
      <w:r>
        <w:rPr>
          <w:rFonts w:hint="eastAsia" w:eastAsia="仿宋_GB2312"/>
          <w:lang w:eastAsia="zh-CN"/>
        </w:rPr>
        <w:t>（3）时效指标：项目完成时间为2025年12月31日前，实际按期完成；补助经费到位及时性按照项目验收合格并审计完成后30个工作日内结算兑付财政奖补资金的要求执行，达成预期指标。</w:t>
      </w:r>
    </w:p>
    <w:p w14:paraId="0847CA1A">
      <w:pPr>
        <w:ind w:left="0" w:leftChars="0" w:firstLine="640" w:firstLineChars="200"/>
        <w:rPr>
          <w:rFonts w:hint="eastAsia" w:eastAsia="仿宋_GB2312"/>
          <w:lang w:eastAsia="zh-CN"/>
        </w:rPr>
      </w:pPr>
      <w:r>
        <w:rPr>
          <w:rFonts w:hint="eastAsia" w:eastAsia="仿宋_GB2312"/>
          <w:lang w:eastAsia="zh-CN"/>
        </w:rPr>
        <w:t>（4）成本指标：项目总成本≤</w:t>
      </w:r>
      <w:r>
        <w:rPr>
          <w:rFonts w:hint="eastAsia"/>
          <w:lang w:val="en-US" w:eastAsia="zh-CN"/>
        </w:rPr>
        <w:t>414110</w:t>
      </w:r>
      <w:r>
        <w:rPr>
          <w:rFonts w:hint="eastAsia" w:eastAsia="仿宋_GB2312"/>
          <w:lang w:eastAsia="zh-CN"/>
        </w:rPr>
        <w:t>元，实际支出</w:t>
      </w:r>
      <w:r>
        <w:rPr>
          <w:rFonts w:hint="eastAsia"/>
          <w:lang w:val="en-US" w:eastAsia="zh-CN"/>
        </w:rPr>
        <w:t>207055</w:t>
      </w:r>
      <w:r>
        <w:rPr>
          <w:rFonts w:hint="eastAsia" w:eastAsia="仿宋_GB2312"/>
          <w:lang w:eastAsia="zh-CN"/>
        </w:rPr>
        <w:t>元，控制在预算范围内。</w:t>
      </w:r>
    </w:p>
    <w:p w14:paraId="3FF655C3">
      <w:pPr>
        <w:ind w:left="0" w:leftChars="0" w:firstLine="640" w:firstLineChars="200"/>
        <w:rPr>
          <w:rFonts w:hint="eastAsia" w:eastAsia="仿宋_GB2312"/>
          <w:lang w:eastAsia="zh-CN"/>
        </w:rPr>
      </w:pPr>
      <w:r>
        <w:rPr>
          <w:rFonts w:hint="eastAsia" w:eastAsia="仿宋_GB2312"/>
          <w:lang w:eastAsia="zh-CN"/>
        </w:rPr>
        <w:t>2.效益指标完成情况分析。</w:t>
      </w:r>
    </w:p>
    <w:p w14:paraId="483354B3">
      <w:pPr>
        <w:ind w:left="0" w:leftChars="0" w:firstLine="640" w:firstLineChars="200"/>
        <w:rPr>
          <w:rFonts w:hint="eastAsia" w:eastAsia="仿宋_GB2312"/>
          <w:lang w:eastAsia="zh-CN"/>
        </w:rPr>
      </w:pPr>
      <w:r>
        <w:rPr>
          <w:rFonts w:hint="eastAsia" w:eastAsia="仿宋_GB2312"/>
          <w:lang w:eastAsia="zh-CN"/>
        </w:rPr>
        <w:t>（1）经济效益指标：通过对有关行政村实施公益项目财政奖补，有效降低了行政村项目建设的负担，达成预期指标。</w:t>
      </w:r>
    </w:p>
    <w:p w14:paraId="528CC7E5">
      <w:pPr>
        <w:ind w:left="0" w:leftChars="0" w:firstLine="640" w:firstLineChars="200"/>
        <w:rPr>
          <w:rFonts w:hint="eastAsia" w:eastAsia="仿宋_GB2312"/>
          <w:lang w:eastAsia="zh-CN"/>
        </w:rPr>
      </w:pPr>
      <w:r>
        <w:rPr>
          <w:rFonts w:hint="eastAsia" w:eastAsia="仿宋_GB2312"/>
          <w:lang w:eastAsia="zh-CN"/>
        </w:rPr>
        <w:t>（2）社会效益指标：通过实施农村道路硬化和亮化工程，方便了当地居民出行，提升了当地群众生活质量，达成预期指标。</w:t>
      </w:r>
    </w:p>
    <w:p w14:paraId="1912C034">
      <w:pPr>
        <w:ind w:left="0" w:leftChars="0" w:firstLine="640" w:firstLineChars="200"/>
        <w:rPr>
          <w:rFonts w:hint="eastAsia" w:eastAsia="仿宋_GB2312"/>
          <w:lang w:eastAsia="zh-CN"/>
        </w:rPr>
      </w:pPr>
      <w:r>
        <w:rPr>
          <w:rFonts w:hint="eastAsia" w:eastAsia="仿宋_GB2312"/>
          <w:lang w:eastAsia="zh-CN"/>
        </w:rPr>
        <w:t>（3）生态效益指标：通过实施农村道路和亮化提升工程，有效改善了当地居民生活环境，达成预期指标。</w:t>
      </w:r>
    </w:p>
    <w:p w14:paraId="6B5D4C3F">
      <w:pPr>
        <w:ind w:left="0" w:leftChars="0" w:firstLine="640" w:firstLineChars="200"/>
        <w:rPr>
          <w:rFonts w:hint="eastAsia" w:eastAsia="仿宋_GB2312"/>
          <w:lang w:eastAsia="zh-CN"/>
        </w:rPr>
      </w:pPr>
      <w:r>
        <w:rPr>
          <w:rFonts w:hint="eastAsia" w:eastAsia="仿宋_GB2312"/>
          <w:lang w:eastAsia="zh-CN"/>
        </w:rPr>
        <w:t>（4）可持续影响指标：通过对农村基础设施的改善和提升，极大方便了群众生产生活，人居环境质量明显提升，增强了群众的幸福感和获得感，达成预期指标。</w:t>
      </w:r>
    </w:p>
    <w:p w14:paraId="4EC3DCBD">
      <w:pPr>
        <w:ind w:left="0" w:leftChars="0" w:firstLine="0" w:firstLineChars="0"/>
        <w:rPr>
          <w:rFonts w:hint="eastAsia" w:eastAsia="仿宋_GB2312"/>
          <w:lang w:eastAsia="zh-CN"/>
        </w:rPr>
      </w:pPr>
      <w:r>
        <w:rPr>
          <w:rFonts w:hint="eastAsia" w:eastAsia="仿宋_GB2312"/>
          <w:lang w:eastAsia="zh-CN"/>
        </w:rPr>
        <w:t>3.满意度指标完成情况分析。</w:t>
      </w:r>
    </w:p>
    <w:p w14:paraId="4B246EC2">
      <w:pPr>
        <w:ind w:left="0" w:leftChars="0" w:firstLine="640" w:firstLineChars="200"/>
        <w:rPr>
          <w:rFonts w:hint="eastAsia" w:eastAsia="仿宋_GB2312"/>
          <w:lang w:eastAsia="zh-CN"/>
        </w:rPr>
      </w:pPr>
      <w:r>
        <w:rPr>
          <w:rFonts w:hint="eastAsia" w:eastAsia="仿宋_GB2312"/>
          <w:lang w:eastAsia="zh-CN"/>
        </w:rPr>
        <w:t>群众满意度≥95%，实际完成95%，达成预期目标，自评得分5分。</w:t>
      </w:r>
    </w:p>
    <w:p w14:paraId="419FBBE2">
      <w:pPr>
        <w:bidi w:val="0"/>
        <w:ind w:left="0" w:leftChars="0" w:firstLine="640" w:firstLineChars="200"/>
        <w:rPr>
          <w:rFonts w:hint="eastAsia" w:ascii="Arial" w:hAnsi="Arial" w:eastAsia="黑体" w:cs="Times New Roman"/>
          <w:kern w:val="2"/>
          <w:sz w:val="32"/>
          <w:szCs w:val="24"/>
          <w:lang w:val="en-US" w:eastAsia="zh-CN" w:bidi="ar-SA"/>
        </w:rPr>
      </w:pPr>
      <w:r>
        <w:rPr>
          <w:rFonts w:hint="eastAsia" w:ascii="Arial" w:hAnsi="Arial" w:eastAsia="黑体" w:cs="Times New Roman"/>
          <w:kern w:val="2"/>
          <w:sz w:val="32"/>
          <w:szCs w:val="24"/>
          <w:lang w:val="en-US" w:eastAsia="zh-CN" w:bidi="ar-SA"/>
        </w:rPr>
        <w:t>三、发现的主要问题和改进措施</w:t>
      </w:r>
    </w:p>
    <w:p w14:paraId="01097913">
      <w:pPr>
        <w:ind w:left="0" w:leftChars="0" w:firstLine="640" w:firstLineChars="200"/>
        <w:rPr>
          <w:rFonts w:hint="eastAsia" w:eastAsia="仿宋_GB2312"/>
          <w:lang w:eastAsia="zh-CN"/>
        </w:rPr>
      </w:pPr>
      <w:r>
        <w:rPr>
          <w:rFonts w:hint="eastAsia" w:eastAsia="仿宋_GB2312"/>
          <w:lang w:eastAsia="zh-CN"/>
        </w:rPr>
        <w:t>存在问题：</w:t>
      </w:r>
    </w:p>
    <w:p w14:paraId="650A3C1E">
      <w:pPr>
        <w:pStyle w:val="7"/>
        <w:keepNext w:val="0"/>
        <w:keepLines w:val="0"/>
        <w:widowControl/>
        <w:suppressLineNumbers w:val="0"/>
        <w:spacing w:before="0" w:beforeAutospacing="0" w:after="0" w:afterAutospacing="0"/>
        <w:ind w:left="0" w:leftChars="0" w:right="0" w:firstLine="640" w:firstLineChars="200"/>
        <w:rPr>
          <w:rFonts w:hint="eastAsia" w:ascii="仿宋_GB2312" w:hAnsi="宋体" w:cs="宋体"/>
          <w:color w:val="000000"/>
          <w:kern w:val="2"/>
          <w:sz w:val="32"/>
          <w:szCs w:val="32"/>
          <w:lang w:val="en-US" w:eastAsia="zh-CN" w:bidi="ar-SA"/>
        </w:rPr>
      </w:pPr>
      <w:r>
        <w:rPr>
          <w:rFonts w:hint="eastAsia" w:ascii="仿宋_GB2312" w:hAnsi="宋体" w:cs="宋体"/>
          <w:color w:val="000000"/>
          <w:kern w:val="2"/>
          <w:sz w:val="32"/>
          <w:szCs w:val="32"/>
          <w:lang w:val="en-US" w:eastAsia="zh-CN" w:bidi="ar-SA"/>
        </w:rPr>
        <w:t>1.资金拨付与项目验收审计进度的衔接有待进一步优化。</w:t>
      </w:r>
    </w:p>
    <w:p w14:paraId="5529FEBE">
      <w:pPr>
        <w:ind w:left="0" w:leftChars="0" w:firstLine="640" w:firstLineChars="200"/>
        <w:rPr>
          <w:rFonts w:hint="eastAsia" w:eastAsia="仿宋_GB2312"/>
          <w:lang w:eastAsia="zh-CN"/>
        </w:rPr>
      </w:pPr>
      <w:r>
        <w:rPr>
          <w:rFonts w:hint="eastAsia" w:eastAsia="仿宋_GB2312"/>
          <w:lang w:eastAsia="zh-CN"/>
        </w:rPr>
        <w:t>改进措施：</w:t>
      </w:r>
    </w:p>
    <w:p w14:paraId="3EF6650B">
      <w:pPr>
        <w:ind w:left="0" w:leftChars="0" w:firstLine="640" w:firstLineChars="200"/>
        <w:rPr>
          <w:rFonts w:hint="eastAsia" w:eastAsia="仿宋_GB2312"/>
          <w:lang w:eastAsia="zh-CN"/>
        </w:rPr>
      </w:pPr>
      <w:r>
        <w:rPr>
          <w:rFonts w:hint="eastAsia"/>
          <w:lang w:val="en-US" w:eastAsia="zh-CN"/>
        </w:rPr>
        <w:t>1</w:t>
      </w:r>
      <w:r>
        <w:rPr>
          <w:rFonts w:hint="eastAsia" w:eastAsia="仿宋_GB2312"/>
          <w:lang w:eastAsia="zh-CN"/>
        </w:rPr>
        <w:t>.提前做好验收审计准备工作，加快结算兑付流程，确保财政奖补资金及时足额拨付到位。</w:t>
      </w:r>
    </w:p>
    <w:p w14:paraId="41AAD78E">
      <w:pPr>
        <w:numPr>
          <w:ilvl w:val="0"/>
          <w:numId w:val="0"/>
        </w:numPr>
        <w:bidi w:val="0"/>
        <w:ind w:firstLine="640" w:firstLineChars="200"/>
        <w:rPr>
          <w:rFonts w:hint="eastAsia" w:ascii="Arial" w:hAnsi="Arial" w:eastAsia="黑体" w:cs="Times New Roman"/>
          <w:kern w:val="2"/>
          <w:sz w:val="32"/>
          <w:szCs w:val="24"/>
          <w:lang w:val="en-US" w:eastAsia="zh-CN" w:bidi="ar-SA"/>
        </w:rPr>
      </w:pPr>
      <w:r>
        <w:rPr>
          <w:rFonts w:hint="eastAsia" w:ascii="Arial" w:hAnsi="Arial" w:eastAsia="黑体" w:cs="Times New Roman"/>
          <w:kern w:val="2"/>
          <w:sz w:val="32"/>
          <w:szCs w:val="24"/>
          <w:lang w:val="en-US" w:eastAsia="zh-CN" w:bidi="ar-SA"/>
        </w:rPr>
        <w:t>四、绩效自评结果拟应用和公开情况</w:t>
      </w:r>
    </w:p>
    <w:p w14:paraId="6049A6B4">
      <w:pPr>
        <w:ind w:left="0" w:leftChars="0" w:firstLine="640" w:firstLineChars="200"/>
        <w:rPr>
          <w:rFonts w:hint="eastAsia" w:eastAsia="仿宋_GB2312"/>
          <w:lang w:eastAsia="zh-CN"/>
        </w:rPr>
      </w:pPr>
      <w:r>
        <w:rPr>
          <w:rFonts w:hint="eastAsia" w:eastAsia="仿宋_GB2312"/>
          <w:lang w:eastAsia="zh-CN"/>
        </w:rPr>
        <w:t>经过本次自评打分，我镇2025年农村公益事业财政奖补项目绩效自评得分9</w:t>
      </w:r>
      <w:r>
        <w:rPr>
          <w:rFonts w:hint="eastAsia"/>
          <w:lang w:val="en-US" w:eastAsia="zh-CN"/>
        </w:rPr>
        <w:t>5</w:t>
      </w:r>
      <w:r>
        <w:rPr>
          <w:rFonts w:hint="eastAsia" w:eastAsia="仿宋_GB2312"/>
          <w:lang w:eastAsia="zh-CN"/>
        </w:rPr>
        <w:t>分，其中：预算执行率得</w:t>
      </w:r>
      <w:r>
        <w:rPr>
          <w:rFonts w:hint="eastAsia"/>
          <w:lang w:val="en-US" w:eastAsia="zh-CN"/>
        </w:rPr>
        <w:t>5</w:t>
      </w:r>
      <w:r>
        <w:rPr>
          <w:rFonts w:hint="eastAsia" w:eastAsia="仿宋_GB2312"/>
          <w:lang w:eastAsia="zh-CN"/>
        </w:rPr>
        <w:t>分，资金管理情况得40分，产出指标得20分，效益指标得25分，满意度指标得5分。自评结果将作为下一年度预算编制和项目改进的重要依据。项目单位将根据评价结果，进一步完善项目管理制度，优化施工和资金拨付流程，持续提升财政资金使用效益。</w:t>
      </w:r>
    </w:p>
    <w:p w14:paraId="52CB6771">
      <w:pPr>
        <w:ind w:left="0" w:leftChars="0" w:firstLine="640" w:firstLineChars="200"/>
        <w:rPr>
          <w:rFonts w:hint="eastAsia" w:eastAsia="仿宋_GB2312"/>
          <w:lang w:eastAsia="zh-CN"/>
        </w:rPr>
      </w:pPr>
      <w:r>
        <w:rPr>
          <w:rFonts w:hint="eastAsia" w:eastAsia="仿宋_GB2312"/>
          <w:lang w:eastAsia="zh-CN"/>
        </w:rPr>
        <w:t>本绩效自评报告将按照上级要求通过相关网站进行全文公开。公开内容包括项目基本情况、资金使用情况、绩效目标完成情况和评价结论等。</w:t>
      </w:r>
      <w:bookmarkStart w:id="0" w:name="_GoBack"/>
      <w:bookmarkEnd w:id="0"/>
    </w:p>
    <w:p w14:paraId="27121A4A">
      <w:pPr>
        <w:bidi w:val="0"/>
        <w:rPr>
          <w:rFonts w:hint="eastAsia" w:ascii="Arial" w:hAnsi="Arial" w:eastAsia="黑体" w:cs="Times New Roman"/>
          <w:kern w:val="2"/>
          <w:sz w:val="32"/>
          <w:szCs w:val="24"/>
          <w:lang w:val="en-US" w:eastAsia="zh-CN" w:bidi="ar-SA"/>
        </w:rPr>
      </w:pPr>
      <w:r>
        <w:rPr>
          <w:rFonts w:hint="eastAsia" w:ascii="Arial" w:hAnsi="Arial" w:eastAsia="黑体" w:cs="Times New Roman"/>
          <w:kern w:val="2"/>
          <w:sz w:val="32"/>
          <w:szCs w:val="24"/>
          <w:lang w:val="en-US" w:eastAsia="zh-CN" w:bidi="ar-SA"/>
        </w:rPr>
        <w:t>五、其他需要说明的问题</w:t>
      </w:r>
    </w:p>
    <w:p w14:paraId="419AF09C">
      <w:pPr>
        <w:ind w:left="0" w:leftChars="0" w:firstLine="640" w:firstLineChars="200"/>
        <w:jc w:val="both"/>
        <w:rPr>
          <w:rFonts w:hint="eastAsia" w:eastAsia="仿宋_GB2312"/>
          <w:lang w:eastAsia="zh-CN"/>
        </w:rPr>
      </w:pPr>
      <w:r>
        <w:rPr>
          <w:rFonts w:hint="eastAsia" w:eastAsia="仿宋_GB2312"/>
          <w:lang w:eastAsia="zh-CN"/>
        </w:rPr>
        <w:t>无</w:t>
      </w:r>
    </w:p>
    <w:p w14:paraId="6500C5A9">
      <w:pPr>
        <w:ind w:left="0" w:leftChars="0" w:firstLine="0" w:firstLineChars="0"/>
        <w:rPr>
          <w:rFonts w:hint="eastAsia" w:eastAsia="仿宋_GB2312"/>
          <w:lang w:eastAsia="zh-CN"/>
        </w:rPr>
      </w:pPr>
    </w:p>
    <w:sectPr>
      <w:pgSz w:w="11906" w:h="16838"/>
      <w:pgMar w:top="2098" w:right="1474" w:bottom="1984" w:left="1587" w:header="851" w:footer="992" w:gutter="0"/>
      <w:cols w:space="0" w:num="1"/>
      <w:rtlGutter w:val="0"/>
      <w:docGrid w:type="lines" w:linePitch="43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5E17442-5EFE-4325-B4B8-9FB6ADCE49C6}"/>
  </w:font>
  <w:font w:name="黑体">
    <w:panose1 w:val="02010609060101010101"/>
    <w:charset w:val="86"/>
    <w:family w:val="auto"/>
    <w:pitch w:val="default"/>
    <w:sig w:usb0="800002BF" w:usb1="38CF7CFA" w:usb2="00000016" w:usb3="00000000" w:csb0="00040001" w:csb1="00000000"/>
    <w:embedRegular r:id="rId2" w:fontKey="{2225D2F8-27C7-4B95-A291-5C6EE124674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3" w:fontKey="{674E67E2-21DF-4EFF-A6E7-3746FA3F01D0}"/>
  </w:font>
  <w:font w:name="方正小标宋简体">
    <w:panose1 w:val="02000000000000000000"/>
    <w:charset w:val="86"/>
    <w:family w:val="auto"/>
    <w:pitch w:val="default"/>
    <w:sig w:usb0="00000001" w:usb1="080E0000" w:usb2="00000000" w:usb3="00000000" w:csb0="00040000" w:csb1="00000000"/>
    <w:embedRegular r:id="rId4" w:fontKey="{E48A5CB1-30F5-4364-A37B-DFA23920DF64}"/>
  </w:font>
  <w:font w:name="楷体_GB2312">
    <w:panose1 w:val="02010609030101010101"/>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640"/>
      </w:pPr>
      <w:r>
        <w:separator/>
      </w:r>
    </w:p>
  </w:footnote>
  <w:footnote w:type="continuationSeparator" w:id="1">
    <w:p>
      <w:pPr>
        <w:spacing w:line="240" w:lineRule="auto"/>
        <w:ind w:firstLine="64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NkOTVmN2FkYjAxNDNhZTAyNmI5ZDMwYjVkYzZjYjQifQ=="/>
  </w:docVars>
  <w:rsids>
    <w:rsidRoot w:val="00000000"/>
    <w:rsid w:val="05B42F17"/>
    <w:rsid w:val="08417C29"/>
    <w:rsid w:val="08FA3336"/>
    <w:rsid w:val="10264A11"/>
    <w:rsid w:val="13FF6AFE"/>
    <w:rsid w:val="1B3501FE"/>
    <w:rsid w:val="1E6C2189"/>
    <w:rsid w:val="234C14C3"/>
    <w:rsid w:val="25184F27"/>
    <w:rsid w:val="27C77ADD"/>
    <w:rsid w:val="2DFA2D34"/>
    <w:rsid w:val="32D71875"/>
    <w:rsid w:val="33572FB0"/>
    <w:rsid w:val="34A40D5D"/>
    <w:rsid w:val="34ED44EE"/>
    <w:rsid w:val="35343375"/>
    <w:rsid w:val="49F44C5D"/>
    <w:rsid w:val="4B8B339F"/>
    <w:rsid w:val="508907EC"/>
    <w:rsid w:val="510F4A72"/>
    <w:rsid w:val="51A46EB8"/>
    <w:rsid w:val="52E6700F"/>
    <w:rsid w:val="59C003C5"/>
    <w:rsid w:val="63BA4EFD"/>
    <w:rsid w:val="641A50A3"/>
    <w:rsid w:val="66860EDB"/>
    <w:rsid w:val="6C5623AB"/>
    <w:rsid w:val="70CD7101"/>
    <w:rsid w:val="72F71196"/>
    <w:rsid w:val="738D50A6"/>
    <w:rsid w:val="773E47C6"/>
    <w:rsid w:val="79DE1FF1"/>
    <w:rsid w:val="7B5573A2"/>
    <w:rsid w:val="7EEB1C2F"/>
    <w:rsid w:val="7F1718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60" w:lineRule="exact"/>
      <w:ind w:firstLine="880" w:firstLineChars="20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qFormat/>
    <w:uiPriority w:val="0"/>
    <w:pPr>
      <w:keepNext/>
      <w:keepLines/>
      <w:spacing w:beforeLines="0" w:beforeAutospacing="0" w:afterLines="0" w:afterAutospacing="0" w:line="720" w:lineRule="exact"/>
      <w:ind w:firstLine="0" w:firstLineChars="0"/>
      <w:jc w:val="center"/>
      <w:outlineLvl w:val="0"/>
    </w:pPr>
    <w:rPr>
      <w:rFonts w:eastAsia="方正小标宋简体"/>
      <w:kern w:val="44"/>
      <w:sz w:val="44"/>
    </w:rPr>
  </w:style>
  <w:style w:type="paragraph" w:styleId="3">
    <w:name w:val="heading 2"/>
    <w:basedOn w:val="1"/>
    <w:next w:val="1"/>
    <w:unhideWhenUsed/>
    <w:qFormat/>
    <w:uiPriority w:val="0"/>
    <w:pPr>
      <w:keepNext/>
      <w:keepLines/>
      <w:spacing w:beforeLines="0" w:beforeAutospacing="0" w:afterLines="0" w:afterAutospacing="0" w:line="560" w:lineRule="exact"/>
      <w:outlineLvl w:val="1"/>
    </w:pPr>
    <w:rPr>
      <w:rFonts w:ascii="Arial" w:hAnsi="Arial" w:eastAsia="黑体"/>
    </w:rPr>
  </w:style>
  <w:style w:type="paragraph" w:styleId="4">
    <w:name w:val="heading 3"/>
    <w:basedOn w:val="1"/>
    <w:next w:val="1"/>
    <w:link w:val="13"/>
    <w:unhideWhenUsed/>
    <w:qFormat/>
    <w:uiPriority w:val="0"/>
    <w:pPr>
      <w:keepNext/>
      <w:keepLines/>
      <w:spacing w:beforeLines="0" w:beforeAutospacing="0" w:afterLines="0" w:afterAutospacing="0" w:line="560" w:lineRule="exact"/>
      <w:outlineLvl w:val="2"/>
    </w:pPr>
    <w:rPr>
      <w:rFonts w:eastAsia="楷体_GB231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Body Text"/>
    <w:basedOn w:val="1"/>
    <w:qFormat/>
    <w:uiPriority w:val="0"/>
    <w:pPr>
      <w:spacing w:after="120" w:afterLines="0" w:afterAutospacing="0"/>
    </w:pPr>
  </w:style>
  <w:style w:type="paragraph" w:styleId="6">
    <w:name w:val="Body Text Indent"/>
    <w:basedOn w:val="1"/>
    <w:qFormat/>
    <w:uiPriority w:val="0"/>
    <w:pPr>
      <w:ind w:firstLine="720"/>
    </w:pPr>
    <w:rPr>
      <w:rFonts w:hint="eastAsia" w:ascii="仿宋_GB2312" w:eastAsia="仿宋_GB2312"/>
      <w:sz w:val="32"/>
      <w:szCs w:val="20"/>
    </w:rPr>
  </w:style>
  <w:style w:type="paragraph" w:styleId="7">
    <w:name w:val="Normal (Web)"/>
    <w:basedOn w:val="1"/>
    <w:qFormat/>
    <w:uiPriority w:val="0"/>
    <w:rPr>
      <w:sz w:val="24"/>
    </w:rPr>
  </w:style>
  <w:style w:type="paragraph" w:styleId="8">
    <w:name w:val="Body Text First Indent"/>
    <w:basedOn w:val="5"/>
    <w:qFormat/>
    <w:uiPriority w:val="0"/>
    <w:pPr>
      <w:ind w:firstLine="420" w:firstLineChars="100"/>
    </w:pPr>
  </w:style>
  <w:style w:type="paragraph" w:styleId="9">
    <w:name w:val="Body Text First Indent 2"/>
    <w:basedOn w:val="6"/>
    <w:next w:val="8"/>
    <w:qFormat/>
    <w:uiPriority w:val="0"/>
    <w:pPr>
      <w:spacing w:after="120" w:line="560" w:lineRule="exact"/>
      <w:ind w:left="0" w:leftChars="0" w:firstLine="420"/>
    </w:pPr>
    <w:rPr>
      <w:rFonts w:ascii="Calibri" w:hAnsi="Calibri" w:cs="宋体"/>
      <w:szCs w:val="24"/>
    </w:rPr>
  </w:style>
  <w:style w:type="character" w:styleId="12">
    <w:name w:val="Strong"/>
    <w:basedOn w:val="11"/>
    <w:qFormat/>
    <w:uiPriority w:val="0"/>
    <w:rPr>
      <w:b/>
    </w:rPr>
  </w:style>
  <w:style w:type="character" w:customStyle="1" w:styleId="13">
    <w:name w:val="标题 3 Char"/>
    <w:link w:val="4"/>
    <w:qFormat/>
    <w:uiPriority w:val="0"/>
    <w:rPr>
      <w:rFonts w:eastAsia="楷体_GB231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2019</Words>
  <Characters>2151</Characters>
  <Lines>0</Lines>
  <Paragraphs>0</Paragraphs>
  <TotalTime>4</TotalTime>
  <ScaleCrop>false</ScaleCrop>
  <LinksUpToDate>false</LinksUpToDate>
  <CharactersWithSpaces>2152</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2026-01-08T00:53:00Z</dcterms:created>
  <dc:creator>Administrator</dc:creator>
  <cp:lastModifiedBy>わたぬき きみひろ</cp:lastModifiedBy>
  <cp:lastPrinted>2026-03-20T02:44:00Z</cp:lastPrinted>
  <dcterms:modified xsi:type="dcterms:W3CDTF">2026-04-13T08:06:41Z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B297BD7EAF1749A894C24036F95BFD5F_12</vt:lpwstr>
  </property>
  <property fmtid="{D5CDD505-2E9C-101B-9397-08002B2CF9AE}" pid="4" name="KSOTemplateDocerSaveRecord">
    <vt:lpwstr>eyJoZGlkIjoiNGI1ODE2ZmFlZGU3OGUzYmVmNGNjNWVlNjcwMGJhMTYiLCJ1c2VySWQiOiI2NjkxMTg1NzEifQ==</vt:lpwstr>
  </property>
</Properties>
</file>