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4DBB64">
      <w:pPr>
        <w:ind w:left="0" w:leftChars="0" w:firstLine="0" w:firstLineChars="0"/>
        <w:rPr>
          <w:rFonts w:hint="eastAsia" w:ascii="黑体" w:hAnsi="黑体" w:eastAsia="黑体" w:cs="黑体"/>
          <w:lang w:val="en-US" w:eastAsia="zh-CN"/>
        </w:rPr>
      </w:pPr>
      <w:r>
        <w:rPr>
          <w:rFonts w:hint="eastAsia" w:ascii="黑体" w:hAnsi="黑体" w:eastAsia="黑体" w:cs="黑体"/>
        </w:rPr>
        <w:t>附件</w:t>
      </w:r>
      <w:r>
        <w:rPr>
          <w:rFonts w:hint="eastAsia" w:ascii="黑体" w:hAnsi="黑体" w:eastAsia="黑体" w:cs="黑体"/>
          <w:lang w:val="en-US" w:eastAsia="zh-CN"/>
        </w:rPr>
        <w:t>4</w:t>
      </w:r>
    </w:p>
    <w:p w14:paraId="4FAAE742">
      <w:pPr>
        <w:pStyle w:val="2"/>
        <w:bidi w:val="0"/>
        <w:rPr>
          <w:rFonts w:hint="eastAsia" w:ascii="Times New Roman" w:hAnsi="Times New Roman" w:eastAsia="方正小标宋简体" w:cs="Times New Roman"/>
          <w:kern w:val="44"/>
          <w:sz w:val="44"/>
          <w:szCs w:val="24"/>
          <w:lang w:val="en-US" w:eastAsia="zh-CN" w:bidi="ar-SA"/>
        </w:rPr>
      </w:pPr>
      <w:r>
        <w:rPr>
          <w:rFonts w:hint="eastAsia"/>
        </w:rPr>
        <w:t>中央对地方转移支付（</w:t>
      </w:r>
      <w:r>
        <w:rPr>
          <w:rFonts w:hint="eastAsia" w:ascii="Times New Roman" w:hAnsi="Times New Roman" w:eastAsia="方正小标宋简体" w:cs="Times New Roman"/>
          <w:kern w:val="44"/>
          <w:sz w:val="44"/>
          <w:szCs w:val="24"/>
          <w:lang w:val="en-US" w:eastAsia="zh-CN" w:bidi="ar-SA"/>
        </w:rPr>
        <w:t>农村幸福院建设补助资金</w:t>
      </w:r>
      <w:r>
        <w:rPr>
          <w:rFonts w:hint="eastAsia"/>
        </w:rPr>
        <w:t>）</w:t>
      </w:r>
      <w:r>
        <w:rPr>
          <w:rFonts w:hint="eastAsia" w:ascii="Times New Roman" w:hAnsi="Times New Roman" w:eastAsia="方正小标宋简体" w:cs="Times New Roman"/>
          <w:kern w:val="44"/>
          <w:sz w:val="44"/>
          <w:szCs w:val="24"/>
          <w:lang w:val="en-US" w:eastAsia="zh-CN" w:bidi="ar-SA"/>
        </w:rPr>
        <w:t>项目绩效自评报告</w:t>
      </w:r>
    </w:p>
    <w:p w14:paraId="3E61125E">
      <w:pPr>
        <w:rPr>
          <w:rFonts w:hint="eastAsia"/>
          <w:lang w:val="en-US" w:eastAsia="zh-CN"/>
        </w:rPr>
      </w:pPr>
    </w:p>
    <w:p w14:paraId="53705F7C">
      <w:pPr>
        <w:ind w:left="0" w:leftChars="0" w:firstLine="640" w:firstLineChars="200"/>
        <w:rPr>
          <w:rFonts w:hint="eastAsia" w:ascii="黑体" w:hAnsi="黑体" w:eastAsia="黑体" w:cs="黑体"/>
          <w:lang w:val="en-US" w:eastAsia="zh-CN"/>
        </w:rPr>
      </w:pPr>
      <w:r>
        <w:rPr>
          <w:rFonts w:hint="eastAsia" w:ascii="黑体" w:hAnsi="黑体" w:eastAsia="黑体" w:cs="黑体"/>
          <w:lang w:val="en-US" w:eastAsia="zh-CN"/>
        </w:rPr>
        <w:t>一、基本情况</w:t>
      </w:r>
    </w:p>
    <w:p w14:paraId="4C1C2524">
      <w:pPr>
        <w:keepNext w:val="0"/>
        <w:keepLines w:val="0"/>
        <w:pageBreakBefore w:val="0"/>
        <w:widowControl w:val="0"/>
        <w:kinsoku/>
        <w:wordWrap/>
        <w:overflowPunct/>
        <w:topLinePunct w:val="0"/>
        <w:autoSpaceDE/>
        <w:autoSpaceDN/>
        <w:bidi w:val="0"/>
        <w:adjustRightInd/>
        <w:snapToGrid/>
        <w:textAlignment w:val="auto"/>
        <w:rPr>
          <w:rFonts w:hint="eastAsia" w:ascii="仿宋_GB2312" w:hAnsi="宋体" w:cs="宋体"/>
          <w:color w:val="000000"/>
          <w:kern w:val="2"/>
          <w:sz w:val="32"/>
          <w:szCs w:val="32"/>
          <w:lang w:val="en-US" w:eastAsia="zh-CN" w:bidi="ar-SA"/>
        </w:rPr>
      </w:pPr>
      <w:r>
        <w:rPr>
          <w:rFonts w:hint="eastAsia"/>
          <w:lang w:val="en-US" w:eastAsia="zh-CN"/>
        </w:rPr>
        <w:t>2025</w:t>
      </w:r>
      <w:r>
        <w:rPr>
          <w:rFonts w:hint="eastAsia" w:ascii="仿宋_GB2312" w:hAnsi="宋体" w:cs="宋体"/>
          <w:color w:val="000000"/>
          <w:kern w:val="2"/>
          <w:sz w:val="32"/>
          <w:szCs w:val="32"/>
          <w:lang w:val="en-US" w:eastAsia="zh-CN" w:bidi="ar-SA"/>
        </w:rPr>
        <w:t>年，根据《安徽省财政厅安徽省民政厅关于提前下达</w:t>
      </w:r>
      <w:r>
        <w:rPr>
          <w:rFonts w:hint="eastAsia"/>
          <w:lang w:val="en-US" w:eastAsia="zh-CN"/>
        </w:rPr>
        <w:t>2025</w:t>
      </w:r>
      <w:r>
        <w:rPr>
          <w:rFonts w:hint="eastAsia" w:ascii="仿宋_GB2312" w:hAnsi="宋体" w:cs="宋体"/>
          <w:color w:val="000000"/>
          <w:kern w:val="2"/>
          <w:sz w:val="32"/>
          <w:szCs w:val="32"/>
          <w:lang w:val="en-US" w:eastAsia="zh-CN" w:bidi="ar-SA"/>
        </w:rPr>
        <w:t>年中央集中彩票公益金支持社会福利事业资金预算的通知》</w:t>
      </w:r>
      <w:r>
        <w:rPr>
          <w:rFonts w:hint="eastAsia"/>
          <w:lang w:val="en-US" w:eastAsia="zh-CN"/>
        </w:rPr>
        <w:t>(皖财社(2024)1293号)及《安徽省财政厅安徽省民政厅关于下达 2025年中央集中彩票公益金支持社会福利事业资金预算的通知》(皖财社(2025)704号)</w:t>
      </w:r>
      <w:r>
        <w:rPr>
          <w:rFonts w:hint="eastAsia" w:ascii="仿宋_GB2312" w:hAnsi="宋体" w:cs="宋体"/>
          <w:color w:val="000000"/>
          <w:kern w:val="2"/>
          <w:sz w:val="32"/>
          <w:szCs w:val="32"/>
          <w:lang w:val="en-US" w:eastAsia="zh-CN" w:bidi="ar-SA"/>
        </w:rPr>
        <w:t>，申请财政资金</w:t>
      </w:r>
      <w:r>
        <w:rPr>
          <w:rFonts w:hint="eastAsia"/>
          <w:lang w:val="en-US" w:eastAsia="zh-CN"/>
        </w:rPr>
        <w:t>3</w:t>
      </w:r>
      <w:r>
        <w:rPr>
          <w:rFonts w:hint="eastAsia" w:ascii="仿宋_GB2312" w:hAnsi="宋体" w:cs="宋体"/>
          <w:color w:val="000000"/>
          <w:kern w:val="2"/>
          <w:sz w:val="32"/>
          <w:szCs w:val="32"/>
          <w:lang w:val="en-US" w:eastAsia="zh-CN" w:bidi="ar-SA"/>
        </w:rPr>
        <w:t>万元，用于农村幸福院建设补助，保障和关爱农村困难老人，由池州市贵池区唐田镇人民政府负责具体实施。该项目主要用于完善村级养老服务供给体系，提高老年群体生活幸福感与子女赡养压力缓解效果，提高老人生活质量，传递党和政府温暖，提供精神慰藉和生活关怀。项目设置一级指标</w:t>
      </w:r>
      <w:r>
        <w:rPr>
          <w:rFonts w:hint="eastAsia"/>
          <w:lang w:val="en-US" w:eastAsia="zh-CN"/>
        </w:rPr>
        <w:t>3</w:t>
      </w:r>
      <w:r>
        <w:rPr>
          <w:rFonts w:hint="eastAsia" w:ascii="仿宋_GB2312" w:hAnsi="宋体" w:cs="宋体"/>
          <w:color w:val="000000"/>
          <w:kern w:val="2"/>
          <w:sz w:val="32"/>
          <w:szCs w:val="32"/>
          <w:lang w:val="en-US" w:eastAsia="zh-CN" w:bidi="ar-SA"/>
        </w:rPr>
        <w:t>个，二级指标</w:t>
      </w:r>
      <w:r>
        <w:rPr>
          <w:rFonts w:hint="eastAsia"/>
          <w:lang w:val="en-US" w:eastAsia="zh-CN"/>
        </w:rPr>
        <w:t>9</w:t>
      </w:r>
      <w:r>
        <w:rPr>
          <w:rFonts w:hint="eastAsia" w:ascii="仿宋_GB2312" w:hAnsi="宋体" w:cs="宋体"/>
          <w:color w:val="000000"/>
          <w:kern w:val="2"/>
          <w:sz w:val="32"/>
          <w:szCs w:val="32"/>
          <w:lang w:val="en-US" w:eastAsia="zh-CN" w:bidi="ar-SA"/>
        </w:rPr>
        <w:t>个，三级指标</w:t>
      </w:r>
      <w:r>
        <w:rPr>
          <w:rFonts w:hint="eastAsia"/>
          <w:lang w:val="en-US" w:eastAsia="zh-CN"/>
        </w:rPr>
        <w:t>11</w:t>
      </w:r>
      <w:r>
        <w:rPr>
          <w:rFonts w:hint="eastAsia" w:ascii="仿宋_GB2312" w:hAnsi="宋体" w:cs="宋体"/>
          <w:color w:val="000000"/>
          <w:kern w:val="2"/>
          <w:sz w:val="32"/>
          <w:szCs w:val="32"/>
          <w:lang w:val="en-US" w:eastAsia="zh-CN" w:bidi="ar-SA"/>
        </w:rPr>
        <w:t>个，确保专款专用率</w:t>
      </w:r>
      <w:r>
        <w:rPr>
          <w:rFonts w:hint="eastAsia"/>
          <w:lang w:val="en-US" w:eastAsia="zh-CN"/>
        </w:rPr>
        <w:t>100%</w:t>
      </w:r>
      <w:r>
        <w:rPr>
          <w:rFonts w:hint="eastAsia" w:ascii="仿宋_GB2312" w:hAnsi="宋体" w:cs="宋体"/>
          <w:color w:val="000000"/>
          <w:kern w:val="2"/>
          <w:sz w:val="32"/>
          <w:szCs w:val="32"/>
          <w:lang w:val="en-US" w:eastAsia="zh-CN" w:bidi="ar-SA"/>
        </w:rPr>
        <w:t>，经费支出合规性</w:t>
      </w:r>
      <w:r>
        <w:rPr>
          <w:rFonts w:hint="eastAsia"/>
          <w:lang w:val="en-US" w:eastAsia="zh-CN"/>
        </w:rPr>
        <w:t>100%</w:t>
      </w:r>
      <w:r>
        <w:rPr>
          <w:rFonts w:hint="eastAsia" w:ascii="仿宋_GB2312" w:hAnsi="宋体" w:cs="宋体"/>
          <w:color w:val="000000"/>
          <w:kern w:val="2"/>
          <w:sz w:val="32"/>
          <w:szCs w:val="32"/>
          <w:lang w:val="en-US" w:eastAsia="zh-CN" w:bidi="ar-SA"/>
        </w:rPr>
        <w:t>，群众满意度达到</w:t>
      </w:r>
      <w:r>
        <w:rPr>
          <w:rFonts w:hint="eastAsia"/>
          <w:lang w:val="en-US" w:eastAsia="zh-CN"/>
        </w:rPr>
        <w:t>95%</w:t>
      </w:r>
      <w:r>
        <w:rPr>
          <w:rFonts w:hint="eastAsia" w:ascii="仿宋_GB2312" w:hAnsi="宋体" w:cs="宋体"/>
          <w:color w:val="000000"/>
          <w:kern w:val="2"/>
          <w:sz w:val="32"/>
          <w:szCs w:val="32"/>
          <w:lang w:val="en-US" w:eastAsia="zh-CN" w:bidi="ar-SA"/>
        </w:rPr>
        <w:t>以上。唐田镇人民政府作为项目实施主体，由社会事务办公室牵头，联合经济发展和财政办公室、各村村委会共同推进，确保项目按期高质量完成。项目实施周期为</w:t>
      </w:r>
      <w:r>
        <w:rPr>
          <w:rFonts w:hint="eastAsia"/>
          <w:lang w:val="en-US" w:eastAsia="zh-CN"/>
        </w:rPr>
        <w:t>2025</w:t>
      </w:r>
      <w:r>
        <w:rPr>
          <w:rFonts w:hint="eastAsia" w:ascii="仿宋_GB2312" w:hAnsi="宋体" w:cs="宋体"/>
          <w:color w:val="000000"/>
          <w:kern w:val="2"/>
          <w:sz w:val="32"/>
          <w:szCs w:val="32"/>
          <w:lang w:val="en-US" w:eastAsia="zh-CN" w:bidi="ar-SA"/>
        </w:rPr>
        <w:t>年</w:t>
      </w:r>
      <w:r>
        <w:rPr>
          <w:rFonts w:hint="eastAsia"/>
          <w:lang w:val="en-US" w:eastAsia="zh-CN"/>
        </w:rPr>
        <w:t>1月至12</w:t>
      </w:r>
      <w:r>
        <w:rPr>
          <w:rFonts w:hint="eastAsia" w:ascii="仿宋_GB2312" w:hAnsi="宋体" w:cs="宋体"/>
          <w:color w:val="000000"/>
          <w:kern w:val="2"/>
          <w:sz w:val="32"/>
          <w:szCs w:val="32"/>
          <w:lang w:val="en-US" w:eastAsia="zh-CN" w:bidi="ar-SA"/>
        </w:rPr>
        <w:t>月，期间严格按照财政资金管理要求执行，确保专款专用，资金使用合规、高效。</w:t>
      </w:r>
    </w:p>
    <w:p w14:paraId="3F3C3739">
      <w:pPr>
        <w:ind w:left="0" w:leftChars="0" w:firstLine="640" w:firstLineChars="200"/>
        <w:rPr>
          <w:rFonts w:hint="eastAsia" w:ascii="黑体" w:hAnsi="黑体" w:eastAsia="黑体" w:cs="黑体"/>
          <w:lang w:val="en-US" w:eastAsia="zh-CN"/>
        </w:rPr>
      </w:pPr>
      <w:r>
        <w:rPr>
          <w:rFonts w:hint="eastAsia" w:ascii="黑体" w:hAnsi="黑体" w:eastAsia="黑体" w:cs="黑体"/>
          <w:lang w:val="en-US" w:eastAsia="zh-CN"/>
        </w:rPr>
        <w:t>二、绩效目标完成情况分析</w:t>
      </w:r>
    </w:p>
    <w:p w14:paraId="676381D4">
      <w:pPr>
        <w:ind w:left="0" w:leftChars="0" w:firstLine="640" w:firstLineChars="200"/>
        <w:rPr>
          <w:rFonts w:hint="eastAsia" w:eastAsia="仿宋_GB2312"/>
          <w:lang w:eastAsia="zh-CN"/>
        </w:rPr>
      </w:pPr>
      <w:r>
        <w:rPr>
          <w:rFonts w:hint="eastAsia" w:eastAsia="仿宋_GB2312"/>
          <w:lang w:eastAsia="zh-CN"/>
        </w:rPr>
        <w:t>（一）资金情况分析。</w:t>
      </w:r>
    </w:p>
    <w:p w14:paraId="0B28B89C">
      <w:pPr>
        <w:ind w:left="0" w:leftChars="0" w:firstLine="640" w:firstLineChars="200"/>
        <w:rPr>
          <w:rFonts w:hint="eastAsia" w:eastAsia="仿宋_GB2312"/>
          <w:lang w:eastAsia="zh-CN"/>
        </w:rPr>
      </w:pPr>
      <w:r>
        <w:rPr>
          <w:rFonts w:hint="eastAsia" w:eastAsia="仿宋_GB2312"/>
          <w:lang w:eastAsia="zh-CN"/>
        </w:rPr>
        <w:t>本项目全年预算数</w:t>
      </w:r>
      <w:r>
        <w:rPr>
          <w:rFonts w:hint="eastAsia"/>
          <w:lang w:val="en-US" w:eastAsia="zh-CN"/>
        </w:rPr>
        <w:t>3</w:t>
      </w:r>
      <w:r>
        <w:rPr>
          <w:rFonts w:hint="eastAsia" w:eastAsia="仿宋_GB2312"/>
          <w:lang w:eastAsia="zh-CN"/>
        </w:rPr>
        <w:t>万元，预算执行率达100%，资金执行情况良好。资金全部</w:t>
      </w:r>
      <w:r>
        <w:rPr>
          <w:rFonts w:hint="eastAsia" w:ascii="仿宋_GB2312" w:hAnsi="宋体" w:cs="宋体"/>
          <w:color w:val="000000"/>
          <w:kern w:val="2"/>
          <w:sz w:val="32"/>
          <w:szCs w:val="32"/>
          <w:lang w:val="en-US" w:eastAsia="zh-CN" w:bidi="ar-SA"/>
        </w:rPr>
        <w:t>用于农村幸福院建设补助，保障和关爱农村困难老人</w:t>
      </w:r>
      <w:r>
        <w:rPr>
          <w:rFonts w:hint="eastAsia" w:eastAsia="仿宋_GB2312"/>
          <w:lang w:eastAsia="zh-CN"/>
        </w:rPr>
        <w:t>。资金拨付流程规范，拨付时效符合规定要求，所有资金均在规定时限内完成拨付。资金使用严格遵循专款专用原则，支出手续完备，原始凭证齐全，经核查未发现任何挤占挪用、超范围支出等违规情况。资金使用方向与预算申报用途完全一致，全部用于特殊家庭走访慰问，资金使用合规性达到100%。</w:t>
      </w:r>
    </w:p>
    <w:p w14:paraId="1AA01FDF">
      <w:pPr>
        <w:ind w:left="0" w:leftChars="0" w:firstLine="640" w:firstLineChars="200"/>
        <w:rPr>
          <w:rFonts w:hint="eastAsia" w:eastAsia="仿宋_GB2312"/>
          <w:lang w:eastAsia="zh-CN"/>
        </w:rPr>
      </w:pPr>
      <w:r>
        <w:rPr>
          <w:rFonts w:hint="eastAsia" w:eastAsia="仿宋_GB2312"/>
          <w:lang w:eastAsia="zh-CN"/>
        </w:rPr>
        <w:t>（二）资金管理情况分析。</w:t>
      </w:r>
    </w:p>
    <w:p w14:paraId="22957D9F">
      <w:pPr>
        <w:numPr>
          <w:ilvl w:val="0"/>
          <w:numId w:val="0"/>
        </w:numPr>
        <w:ind w:firstLine="640" w:firstLineChars="200"/>
        <w:rPr>
          <w:rFonts w:hint="eastAsia" w:ascii="仿宋_GB2312" w:hAnsi="宋体" w:cs="宋体"/>
          <w:color w:val="000000"/>
          <w:kern w:val="2"/>
          <w:sz w:val="32"/>
          <w:szCs w:val="32"/>
          <w:lang w:val="en-US" w:eastAsia="zh-CN" w:bidi="ar-SA"/>
        </w:rPr>
      </w:pPr>
      <w:r>
        <w:rPr>
          <w:rFonts w:hint="eastAsia" w:ascii="仿宋_GB2312" w:hAnsi="宋体" w:cs="宋体"/>
          <w:color w:val="000000"/>
          <w:kern w:val="2"/>
          <w:sz w:val="32"/>
          <w:szCs w:val="32"/>
          <w:lang w:val="en-US" w:eastAsia="zh-CN" w:bidi="ar-SA"/>
        </w:rPr>
        <w:t>我镇年初制定详细的绩效目标，及时填报绩效监控，按时开展绩效评价。</w:t>
      </w:r>
      <w:r>
        <w:rPr>
          <w:rFonts w:hint="eastAsia" w:eastAsia="仿宋_GB2312"/>
          <w:lang w:val="en-US" w:eastAsia="zh-CN"/>
        </w:rPr>
        <w:t>项目严格按照相关文件要求，严格把控资金的管理及使用。财务管理制度健全，账务处理及时，会计核算规范。在资金拨付合规性、使用规范性、执行准确性、支出责任履行情况等方面均执行到位，自评得分40分。</w:t>
      </w:r>
      <w:r>
        <w:rPr>
          <w:rFonts w:hint="eastAsia" w:ascii="仿宋_GB2312" w:hAnsi="宋体" w:cs="宋体"/>
          <w:color w:val="000000"/>
          <w:kern w:val="2"/>
          <w:sz w:val="32"/>
          <w:szCs w:val="32"/>
          <w:lang w:val="en-US" w:eastAsia="zh-CN" w:bidi="ar-SA"/>
        </w:rPr>
        <w:t>扣分项为“预算绩效管理期情况”，主要原因是绩效指标设置有待进一步优化，后续将强化指标的科学性和可操作性。</w:t>
      </w:r>
    </w:p>
    <w:p w14:paraId="670EA616">
      <w:pPr>
        <w:numPr>
          <w:ilvl w:val="0"/>
          <w:numId w:val="0"/>
        </w:numPr>
        <w:ind w:leftChars="0" w:firstLine="640" w:firstLineChars="200"/>
        <w:rPr>
          <w:rFonts w:hint="eastAsia" w:eastAsia="仿宋_GB2312"/>
          <w:lang w:eastAsia="zh-CN"/>
        </w:rPr>
      </w:pPr>
      <w:r>
        <w:rPr>
          <w:rFonts w:hint="eastAsia"/>
          <w:lang w:eastAsia="zh-CN"/>
        </w:rPr>
        <w:t>（</w:t>
      </w:r>
      <w:r>
        <w:rPr>
          <w:rFonts w:hint="eastAsia"/>
          <w:lang w:val="en-US" w:eastAsia="zh-CN"/>
        </w:rPr>
        <w:t>三）</w:t>
      </w:r>
      <w:r>
        <w:rPr>
          <w:rFonts w:hint="eastAsia" w:eastAsia="仿宋_GB2312"/>
          <w:lang w:eastAsia="zh-CN"/>
        </w:rPr>
        <w:t>总体目标完成情况分析。</w:t>
      </w:r>
    </w:p>
    <w:p w14:paraId="40E93C1F">
      <w:pPr>
        <w:numPr>
          <w:ilvl w:val="0"/>
          <w:numId w:val="0"/>
        </w:numPr>
        <w:ind w:firstLine="640" w:firstLineChars="200"/>
        <w:rPr>
          <w:rFonts w:hint="eastAsia" w:ascii="仿宋_GB2312" w:hAnsi="宋体" w:cs="宋体"/>
          <w:color w:val="auto"/>
          <w:kern w:val="2"/>
          <w:sz w:val="32"/>
          <w:szCs w:val="32"/>
          <w:lang w:val="en-US" w:eastAsia="zh-CN" w:bidi="ar-SA"/>
        </w:rPr>
      </w:pPr>
      <w:r>
        <w:rPr>
          <w:rFonts w:hint="eastAsia" w:eastAsia="仿宋_GB2312"/>
          <w:lang w:val="en-US" w:eastAsia="zh-CN"/>
        </w:rPr>
        <w:t>根据</w:t>
      </w:r>
      <w:r>
        <w:rPr>
          <w:rFonts w:hint="eastAsia" w:ascii="仿宋_GB2312" w:hAnsi="宋体" w:cs="宋体"/>
          <w:color w:val="000000"/>
          <w:kern w:val="2"/>
          <w:sz w:val="32"/>
          <w:szCs w:val="32"/>
          <w:lang w:val="en-US" w:eastAsia="zh-CN" w:bidi="ar-SA"/>
        </w:rPr>
        <w:t>根据《安徽省财政厅安徽省民政厅关于提前下达</w:t>
      </w:r>
      <w:r>
        <w:rPr>
          <w:rFonts w:hint="eastAsia"/>
          <w:lang w:val="en-US" w:eastAsia="zh-CN"/>
        </w:rPr>
        <w:t>2025</w:t>
      </w:r>
      <w:r>
        <w:rPr>
          <w:rFonts w:hint="eastAsia" w:ascii="仿宋_GB2312" w:hAnsi="宋体" w:cs="宋体"/>
          <w:color w:val="000000"/>
          <w:kern w:val="2"/>
          <w:sz w:val="32"/>
          <w:szCs w:val="32"/>
          <w:lang w:val="en-US" w:eastAsia="zh-CN" w:bidi="ar-SA"/>
        </w:rPr>
        <w:t>年中央集中彩票公益金支持社会福利事业资金预算的通知》</w:t>
      </w:r>
      <w:r>
        <w:rPr>
          <w:rFonts w:hint="eastAsia"/>
          <w:lang w:val="en-US" w:eastAsia="zh-CN"/>
        </w:rPr>
        <w:t>(皖财社(2024)1293号)及《安徽省财政厅安徽省民政厅关于下达 2025年中央集中彩票公益金支持社会福利事业资金预算的通知》(皖财社(2025)704号)</w:t>
      </w:r>
      <w:r>
        <w:rPr>
          <w:rFonts w:hint="eastAsia" w:eastAsia="仿宋_GB2312"/>
          <w:lang w:val="en-US" w:eastAsia="zh-CN"/>
        </w:rPr>
        <w:t>，申请财政资金3万元，</w:t>
      </w:r>
      <w:r>
        <w:rPr>
          <w:rFonts w:hint="eastAsia" w:ascii="仿宋_GB2312" w:hAnsi="宋体" w:cs="宋体"/>
          <w:color w:val="000000"/>
          <w:kern w:val="2"/>
          <w:sz w:val="32"/>
          <w:szCs w:val="32"/>
          <w:lang w:val="en-US" w:eastAsia="zh-CN" w:bidi="ar-SA"/>
        </w:rPr>
        <w:t>用于农村幸福院建设补助，保障和关爱农村困难老人，由池州市贵池区唐田镇人民政府负责具体实施。该项目主要用于完善村级养老服务供给体系，提高老年群体生活幸福感与子女赡养压力缓解效果，提高老人生活质量，传递党和政府温暖，提供精神慰藉和生活关怀</w:t>
      </w:r>
      <w:r>
        <w:rPr>
          <w:rFonts w:hint="eastAsia" w:eastAsia="仿宋_GB2312"/>
          <w:lang w:val="en-US" w:eastAsia="zh-CN"/>
        </w:rPr>
        <w:t>。总体绩效目标基本圆满完成</w:t>
      </w:r>
      <w:r>
        <w:rPr>
          <w:rFonts w:hint="eastAsia"/>
          <w:lang w:val="en-US" w:eastAsia="zh-CN"/>
        </w:rPr>
        <w:t>，</w:t>
      </w:r>
      <w:r>
        <w:rPr>
          <w:rFonts w:hint="eastAsia" w:eastAsia="仿宋_GB2312"/>
          <w:lang w:val="en-US" w:eastAsia="zh-CN"/>
        </w:rPr>
        <w:t>专款专用率100%，经费支出合规性100%，群众满意度达到95%。在社会效益和可持续影响</w:t>
      </w:r>
      <w:r>
        <w:rPr>
          <w:rFonts w:hint="eastAsia" w:ascii="仿宋_GB2312" w:hAnsi="宋体" w:cs="宋体"/>
          <w:color w:val="auto"/>
          <w:kern w:val="2"/>
          <w:sz w:val="32"/>
          <w:szCs w:val="32"/>
          <w:lang w:val="en-US" w:eastAsia="zh-CN" w:bidi="ar-SA"/>
        </w:rPr>
        <w:t>方面，指标达成预期但尚有优化空间，已制定改进措施。</w:t>
      </w:r>
    </w:p>
    <w:p w14:paraId="1ED5137E">
      <w:pPr>
        <w:ind w:left="0" w:leftChars="0" w:firstLine="640" w:firstLineChars="200"/>
        <w:rPr>
          <w:rFonts w:hint="eastAsia" w:eastAsia="仿宋_GB2312"/>
          <w:lang w:eastAsia="zh-CN"/>
        </w:rPr>
      </w:pPr>
      <w:r>
        <w:rPr>
          <w:rFonts w:hint="eastAsia" w:eastAsia="仿宋_GB2312"/>
          <w:lang w:eastAsia="zh-CN"/>
        </w:rPr>
        <w:t>（四）绩效指标完成情况分析。</w:t>
      </w:r>
    </w:p>
    <w:p w14:paraId="49078F86">
      <w:pPr>
        <w:ind w:left="0" w:leftChars="0" w:firstLine="640" w:firstLineChars="200"/>
        <w:rPr>
          <w:rFonts w:hint="eastAsia" w:eastAsia="仿宋_GB2312"/>
          <w:lang w:eastAsia="zh-CN"/>
        </w:rPr>
      </w:pPr>
      <w:r>
        <w:rPr>
          <w:rFonts w:hint="eastAsia" w:eastAsia="仿宋_GB2312"/>
          <w:lang w:eastAsia="zh-CN"/>
        </w:rPr>
        <w:t>1.产出指标完成情况分析。</w:t>
      </w:r>
    </w:p>
    <w:p w14:paraId="64DD7136">
      <w:pPr>
        <w:ind w:left="0" w:leftChars="0" w:firstLine="640" w:firstLineChars="200"/>
        <w:rPr>
          <w:rFonts w:hint="eastAsia" w:eastAsia="仿宋_GB2312"/>
          <w:lang w:eastAsia="zh-CN"/>
        </w:rPr>
      </w:pPr>
      <w:r>
        <w:rPr>
          <w:rFonts w:hint="eastAsia" w:eastAsia="仿宋_GB2312"/>
          <w:lang w:eastAsia="zh-CN"/>
        </w:rPr>
        <w:t>（1）数量指标：唐田镇农村幸福院数量</w:t>
      </w:r>
      <w:r>
        <w:rPr>
          <w:rFonts w:hint="eastAsia"/>
          <w:lang w:val="en-US" w:eastAsia="zh-CN"/>
        </w:rPr>
        <w:t>＝1</w:t>
      </w:r>
      <w:r>
        <w:rPr>
          <w:rFonts w:hint="eastAsia" w:eastAsia="仿宋_GB2312"/>
          <w:lang w:eastAsia="zh-CN"/>
        </w:rPr>
        <w:t>户，达成预期目标。</w:t>
      </w:r>
    </w:p>
    <w:p w14:paraId="193AF18D">
      <w:pPr>
        <w:ind w:left="0" w:leftChars="0" w:firstLine="640" w:firstLineChars="200"/>
        <w:rPr>
          <w:rFonts w:hint="eastAsia" w:eastAsia="仿宋_GB2312"/>
          <w:lang w:eastAsia="zh-CN"/>
        </w:rPr>
      </w:pPr>
      <w:r>
        <w:rPr>
          <w:rFonts w:hint="eastAsia" w:eastAsia="仿宋_GB2312"/>
          <w:lang w:eastAsia="zh-CN"/>
        </w:rPr>
        <w:t>（2）质量指标：专款专用率100%，实际达成100%；经费支出合规性严格执行相关制度规定，达成预期指标。</w:t>
      </w:r>
    </w:p>
    <w:p w14:paraId="4A546CC7">
      <w:pPr>
        <w:ind w:left="0" w:leftChars="0" w:firstLine="640" w:firstLineChars="200"/>
        <w:rPr>
          <w:rFonts w:hint="eastAsia" w:eastAsia="仿宋_GB2312"/>
          <w:lang w:eastAsia="zh-CN"/>
        </w:rPr>
      </w:pPr>
      <w:r>
        <w:rPr>
          <w:rFonts w:hint="eastAsia" w:eastAsia="仿宋_GB2312"/>
          <w:lang w:eastAsia="zh-CN"/>
        </w:rPr>
        <w:t>（3）时效指标：项目完成时间为2025年12月底前，实际按期完成；经费支出时效性按照规定时间拨付，达成预期指标。</w:t>
      </w:r>
    </w:p>
    <w:p w14:paraId="01B9E0BB">
      <w:pPr>
        <w:ind w:left="0" w:leftChars="0" w:firstLine="640" w:firstLineChars="200"/>
        <w:rPr>
          <w:rFonts w:hint="eastAsia" w:eastAsia="仿宋_GB2312"/>
          <w:lang w:eastAsia="zh-CN"/>
        </w:rPr>
      </w:pPr>
      <w:r>
        <w:rPr>
          <w:rFonts w:hint="eastAsia" w:eastAsia="仿宋_GB2312"/>
          <w:lang w:eastAsia="zh-CN"/>
        </w:rPr>
        <w:t>（4）成本指标：项目总成本≤</w:t>
      </w:r>
      <w:r>
        <w:rPr>
          <w:rFonts w:hint="eastAsia"/>
          <w:lang w:val="en-US" w:eastAsia="zh-CN"/>
        </w:rPr>
        <w:t>3</w:t>
      </w:r>
      <w:r>
        <w:rPr>
          <w:rFonts w:hint="eastAsia" w:eastAsia="仿宋_GB2312"/>
          <w:lang w:eastAsia="zh-CN"/>
        </w:rPr>
        <w:t>万元，实际</w:t>
      </w:r>
      <w:r>
        <w:rPr>
          <w:rFonts w:hint="eastAsia"/>
          <w:lang w:eastAsia="zh-CN"/>
        </w:rPr>
        <w:t>下达并</w:t>
      </w:r>
      <w:r>
        <w:rPr>
          <w:rFonts w:hint="eastAsia" w:eastAsia="仿宋_GB2312"/>
          <w:lang w:eastAsia="zh-CN"/>
        </w:rPr>
        <w:t>支出</w:t>
      </w:r>
      <w:r>
        <w:rPr>
          <w:rFonts w:hint="eastAsia"/>
          <w:lang w:val="en-US" w:eastAsia="zh-CN"/>
        </w:rPr>
        <w:t>3</w:t>
      </w:r>
      <w:r>
        <w:rPr>
          <w:rFonts w:hint="eastAsia" w:eastAsia="仿宋_GB2312"/>
          <w:lang w:eastAsia="zh-CN"/>
        </w:rPr>
        <w:t>万元</w:t>
      </w:r>
      <w:r>
        <w:rPr>
          <w:rFonts w:hint="eastAsia"/>
          <w:lang w:eastAsia="zh-CN"/>
        </w:rPr>
        <w:t>。</w:t>
      </w:r>
    </w:p>
    <w:p w14:paraId="7B078669">
      <w:pPr>
        <w:ind w:left="0" w:leftChars="0" w:firstLine="640" w:firstLineChars="200"/>
        <w:rPr>
          <w:rFonts w:hint="eastAsia" w:eastAsia="仿宋_GB2312"/>
          <w:lang w:eastAsia="zh-CN"/>
        </w:rPr>
      </w:pPr>
      <w:r>
        <w:rPr>
          <w:rFonts w:hint="eastAsia" w:eastAsia="仿宋_GB2312"/>
          <w:lang w:eastAsia="zh-CN"/>
        </w:rPr>
        <w:t>2.效益指标完成情况分析。</w:t>
      </w:r>
    </w:p>
    <w:p w14:paraId="482C5225">
      <w:pPr>
        <w:ind w:left="0" w:leftChars="0" w:firstLine="640" w:firstLineChars="200"/>
        <w:rPr>
          <w:rFonts w:hint="eastAsia"/>
          <w:lang w:eastAsia="zh-CN"/>
        </w:rPr>
      </w:pPr>
      <w:r>
        <w:rPr>
          <w:rFonts w:hint="eastAsia" w:eastAsia="仿宋_GB2312"/>
          <w:lang w:eastAsia="zh-CN"/>
        </w:rPr>
        <w:t>（1）</w:t>
      </w:r>
      <w:r>
        <w:rPr>
          <w:rFonts w:hint="eastAsia"/>
          <w:lang w:eastAsia="zh-CN"/>
        </w:rPr>
        <w:t>经济效益指标：</w:t>
      </w:r>
      <w:r>
        <w:rPr>
          <w:rFonts w:hint="eastAsia"/>
          <w:lang w:val="en-US" w:eastAsia="zh-CN"/>
        </w:rPr>
        <w:t>通过</w:t>
      </w:r>
      <w:r>
        <w:rPr>
          <w:rFonts w:hint="eastAsia"/>
          <w:lang w:eastAsia="zh-CN"/>
        </w:rPr>
        <w:t>提高资金统筹利用效率与地方民生投入综合效益，优化农村公共服务资金使用结构，</w:t>
      </w:r>
      <w:r>
        <w:rPr>
          <w:rFonts w:hint="eastAsia" w:eastAsia="仿宋_GB2312"/>
          <w:lang w:eastAsia="zh-CN"/>
        </w:rPr>
        <w:t>自评得分</w:t>
      </w:r>
      <w:r>
        <w:rPr>
          <w:rFonts w:hint="eastAsia"/>
          <w:lang w:val="en-US" w:eastAsia="zh-CN"/>
        </w:rPr>
        <w:t>5</w:t>
      </w:r>
      <w:r>
        <w:rPr>
          <w:rFonts w:hint="eastAsia" w:eastAsia="仿宋_GB2312"/>
          <w:lang w:eastAsia="zh-CN"/>
        </w:rPr>
        <w:t>分（满分</w:t>
      </w:r>
      <w:r>
        <w:rPr>
          <w:rFonts w:hint="eastAsia"/>
          <w:lang w:val="en-US" w:eastAsia="zh-CN"/>
        </w:rPr>
        <w:t>5</w:t>
      </w:r>
      <w:r>
        <w:rPr>
          <w:rFonts w:hint="eastAsia" w:eastAsia="仿宋_GB2312"/>
          <w:lang w:eastAsia="zh-CN"/>
        </w:rPr>
        <w:t>分）</w:t>
      </w:r>
      <w:r>
        <w:rPr>
          <w:rFonts w:hint="eastAsia"/>
          <w:lang w:eastAsia="zh-CN"/>
        </w:rPr>
        <w:t>。</w:t>
      </w:r>
      <w:r>
        <w:rPr>
          <w:rFonts w:hint="eastAsia"/>
          <w:lang w:val="en-US" w:eastAsia="zh-CN"/>
        </w:rPr>
        <w:t>但</w:t>
      </w:r>
      <w:r>
        <w:rPr>
          <w:rFonts w:hint="eastAsia" w:eastAsia="仿宋_GB2312"/>
          <w:lang w:eastAsia="zh-CN"/>
        </w:rPr>
        <w:t>部分特殊老年群体关怀深度尚需加强，下一步将健全完善信息采集和动态监测机制，进一步提升我镇公共服务水平</w:t>
      </w:r>
      <w:r>
        <w:rPr>
          <w:rFonts w:hint="eastAsia"/>
          <w:lang w:eastAsia="zh-CN"/>
        </w:rPr>
        <w:t>。</w:t>
      </w:r>
    </w:p>
    <w:p w14:paraId="13841D27">
      <w:pPr>
        <w:ind w:left="0" w:leftChars="0" w:firstLine="640" w:firstLineChars="200"/>
        <w:rPr>
          <w:rFonts w:hint="default" w:eastAsia="仿宋_GB2312"/>
          <w:lang w:val="en-US" w:eastAsia="zh-CN"/>
        </w:rPr>
      </w:pPr>
      <w:r>
        <w:rPr>
          <w:rFonts w:hint="eastAsia"/>
          <w:lang w:eastAsia="zh-CN"/>
        </w:rPr>
        <w:t>（</w:t>
      </w:r>
      <w:r>
        <w:rPr>
          <w:rFonts w:hint="eastAsia"/>
          <w:lang w:val="en-US" w:eastAsia="zh-CN"/>
        </w:rPr>
        <w:t>2</w:t>
      </w:r>
      <w:r>
        <w:rPr>
          <w:rFonts w:hint="eastAsia"/>
          <w:lang w:eastAsia="zh-CN"/>
        </w:rPr>
        <w:t>）</w:t>
      </w:r>
      <w:r>
        <w:rPr>
          <w:rFonts w:hint="eastAsia" w:eastAsia="仿宋_GB2312"/>
          <w:lang w:eastAsia="zh-CN"/>
        </w:rPr>
        <w:t>社会效益指标：通过提升幸福院服务水平，提高老人生活质量，增强老人幸福指数，有助于维护社会公平正义，促进社会和谐稳定。</w:t>
      </w:r>
      <w:r>
        <w:rPr>
          <w:rFonts w:hint="eastAsia"/>
          <w:lang w:val="en-US" w:eastAsia="zh-CN"/>
        </w:rPr>
        <w:t>但</w:t>
      </w:r>
      <w:r>
        <w:rPr>
          <w:rFonts w:hint="eastAsia" w:eastAsia="仿宋_GB2312"/>
          <w:lang w:eastAsia="zh-CN"/>
        </w:rPr>
        <w:t>特殊家庭动态信息和需求变化的掌握精准度有待提高</w:t>
      </w:r>
      <w:r>
        <w:rPr>
          <w:rFonts w:hint="eastAsia"/>
          <w:lang w:eastAsia="zh-CN"/>
        </w:rPr>
        <w:t>，</w:t>
      </w:r>
      <w:r>
        <w:rPr>
          <w:rFonts w:hint="eastAsia" w:eastAsia="仿宋_GB2312"/>
          <w:lang w:eastAsia="zh-CN"/>
        </w:rPr>
        <w:t>下一步将完善信息采集和动态监测机制，强化多部门数据共享。自评得分</w:t>
      </w:r>
      <w:r>
        <w:rPr>
          <w:rFonts w:hint="eastAsia"/>
          <w:lang w:val="en-US" w:eastAsia="zh-CN"/>
        </w:rPr>
        <w:t>4</w:t>
      </w:r>
      <w:r>
        <w:rPr>
          <w:rFonts w:hint="eastAsia" w:eastAsia="仿宋_GB2312"/>
          <w:lang w:eastAsia="zh-CN"/>
        </w:rPr>
        <w:t>分（满分</w:t>
      </w:r>
      <w:r>
        <w:rPr>
          <w:rFonts w:hint="eastAsia"/>
          <w:lang w:val="en-US" w:eastAsia="zh-CN"/>
        </w:rPr>
        <w:t>5</w:t>
      </w:r>
      <w:r>
        <w:rPr>
          <w:rFonts w:hint="eastAsia" w:eastAsia="仿宋_GB2312"/>
          <w:lang w:eastAsia="zh-CN"/>
        </w:rPr>
        <w:t>分）。</w:t>
      </w:r>
    </w:p>
    <w:p w14:paraId="034AB078">
      <w:pPr>
        <w:ind w:left="0" w:leftChars="0" w:firstLine="640" w:firstLineChars="200"/>
        <w:rPr>
          <w:rFonts w:hint="eastAsia" w:eastAsia="仿宋_GB2312"/>
          <w:lang w:eastAsia="zh-CN"/>
        </w:rPr>
      </w:pPr>
      <w:r>
        <w:rPr>
          <w:rFonts w:hint="eastAsia"/>
          <w:lang w:eastAsia="zh-CN"/>
        </w:rPr>
        <w:t>（</w:t>
      </w:r>
      <w:r>
        <w:rPr>
          <w:rFonts w:hint="eastAsia"/>
          <w:lang w:val="en-US" w:eastAsia="zh-CN"/>
        </w:rPr>
        <w:t>3</w:t>
      </w:r>
      <w:r>
        <w:rPr>
          <w:rFonts w:hint="eastAsia"/>
          <w:lang w:eastAsia="zh-CN"/>
        </w:rPr>
        <w:t>）生态效益指标：</w:t>
      </w:r>
      <w:r>
        <w:rPr>
          <w:rFonts w:hint="eastAsia"/>
          <w:lang w:val="en-US" w:eastAsia="zh-CN"/>
        </w:rPr>
        <w:t>通过</w:t>
      </w:r>
      <w:r>
        <w:rPr>
          <w:rFonts w:hint="eastAsia"/>
          <w:lang w:eastAsia="zh-CN"/>
        </w:rPr>
        <w:t>完善村级养老服务供给体系，提高老年群体生活幸福感与子女赡养压力缓解效果。</w:t>
      </w:r>
      <w:r>
        <w:rPr>
          <w:rFonts w:hint="eastAsia" w:eastAsia="仿宋_GB2312"/>
          <w:lang w:eastAsia="zh-CN"/>
        </w:rPr>
        <w:t>自评得分</w:t>
      </w:r>
      <w:r>
        <w:rPr>
          <w:rFonts w:hint="eastAsia"/>
          <w:lang w:val="en-US" w:eastAsia="zh-CN"/>
        </w:rPr>
        <w:t>5</w:t>
      </w:r>
      <w:r>
        <w:rPr>
          <w:rFonts w:hint="eastAsia" w:eastAsia="仿宋_GB2312"/>
          <w:lang w:eastAsia="zh-CN"/>
        </w:rPr>
        <w:t>分（满分</w:t>
      </w:r>
      <w:r>
        <w:rPr>
          <w:rFonts w:hint="eastAsia"/>
          <w:lang w:val="en-US" w:eastAsia="zh-CN"/>
        </w:rPr>
        <w:t>5</w:t>
      </w:r>
      <w:r>
        <w:rPr>
          <w:rFonts w:hint="eastAsia" w:eastAsia="仿宋_GB2312"/>
          <w:lang w:eastAsia="zh-CN"/>
        </w:rPr>
        <w:t>分）。</w:t>
      </w:r>
    </w:p>
    <w:p w14:paraId="679D3270">
      <w:pPr>
        <w:ind w:left="0" w:leftChars="0" w:firstLine="640" w:firstLineChars="200"/>
        <w:rPr>
          <w:rFonts w:hint="eastAsia" w:eastAsia="仿宋_GB2312"/>
          <w:lang w:eastAsia="zh-CN"/>
        </w:rPr>
      </w:pPr>
      <w:r>
        <w:rPr>
          <w:rFonts w:hint="eastAsia" w:eastAsia="仿宋_GB2312"/>
          <w:lang w:eastAsia="zh-CN"/>
        </w:rPr>
        <w:t>（</w:t>
      </w:r>
      <w:r>
        <w:rPr>
          <w:rFonts w:hint="eastAsia"/>
          <w:lang w:val="en-US" w:eastAsia="zh-CN"/>
        </w:rPr>
        <w:t>4</w:t>
      </w:r>
      <w:r>
        <w:rPr>
          <w:rFonts w:hint="eastAsia" w:eastAsia="仿宋_GB2312"/>
          <w:lang w:eastAsia="zh-CN"/>
        </w:rPr>
        <w:t>）可持续影响指标：通过提高养老服务多元保障能力与长期运营稳定性对村级养老服务体系建设</w:t>
      </w:r>
      <w:r>
        <w:rPr>
          <w:rFonts w:hint="eastAsia"/>
          <w:lang w:val="en-US" w:eastAsia="zh-CN"/>
        </w:rPr>
        <w:t>进行</w:t>
      </w:r>
      <w:r>
        <w:rPr>
          <w:rFonts w:hint="eastAsia" w:eastAsia="仿宋_GB2312"/>
          <w:lang w:eastAsia="zh-CN"/>
        </w:rPr>
        <w:t>支撑。但部分特殊老年群体关怀深度尚需加强，下一步将健全完善信息采集和动态监测机制，进一步提升我镇公共服务水平。自评得分</w:t>
      </w:r>
      <w:r>
        <w:rPr>
          <w:rFonts w:hint="eastAsia"/>
          <w:lang w:val="en-US" w:eastAsia="zh-CN"/>
        </w:rPr>
        <w:t>4</w:t>
      </w:r>
      <w:r>
        <w:rPr>
          <w:rFonts w:hint="eastAsia" w:eastAsia="仿宋_GB2312"/>
          <w:lang w:eastAsia="zh-CN"/>
        </w:rPr>
        <w:t>分（满分</w:t>
      </w:r>
      <w:r>
        <w:rPr>
          <w:rFonts w:hint="eastAsia"/>
          <w:lang w:val="en-US" w:eastAsia="zh-CN"/>
        </w:rPr>
        <w:t>5</w:t>
      </w:r>
      <w:r>
        <w:rPr>
          <w:rFonts w:hint="eastAsia" w:eastAsia="仿宋_GB2312"/>
          <w:lang w:eastAsia="zh-CN"/>
        </w:rPr>
        <w:t>分）。</w:t>
      </w:r>
    </w:p>
    <w:p w14:paraId="32B91D3E">
      <w:pPr>
        <w:ind w:left="0" w:leftChars="0" w:firstLine="640" w:firstLineChars="200"/>
        <w:rPr>
          <w:rFonts w:hint="eastAsia" w:eastAsia="仿宋_GB2312"/>
          <w:lang w:eastAsia="zh-CN"/>
        </w:rPr>
      </w:pPr>
      <w:r>
        <w:rPr>
          <w:rFonts w:hint="eastAsia" w:eastAsia="仿宋_GB2312"/>
          <w:lang w:eastAsia="zh-CN"/>
        </w:rPr>
        <w:t>3.满意度指标完成情况分析。</w:t>
      </w:r>
    </w:p>
    <w:p w14:paraId="5E9C51B7">
      <w:pPr>
        <w:ind w:left="0" w:leftChars="0" w:firstLine="640" w:firstLineChars="200"/>
        <w:rPr>
          <w:rFonts w:hint="eastAsia" w:eastAsia="仿宋_GB2312"/>
          <w:lang w:eastAsia="zh-CN"/>
        </w:rPr>
      </w:pPr>
      <w:r>
        <w:rPr>
          <w:rFonts w:hint="eastAsia" w:eastAsia="仿宋_GB2312"/>
          <w:lang w:eastAsia="zh-CN"/>
        </w:rPr>
        <w:t>群众满意度≥9</w:t>
      </w:r>
      <w:r>
        <w:rPr>
          <w:rFonts w:hint="eastAsia"/>
          <w:lang w:val="en-US" w:eastAsia="zh-CN"/>
        </w:rPr>
        <w:t>5</w:t>
      </w:r>
      <w:r>
        <w:rPr>
          <w:rFonts w:hint="eastAsia" w:eastAsia="仿宋_GB2312"/>
          <w:lang w:eastAsia="zh-CN"/>
        </w:rPr>
        <w:t>%，实际完成95%，自评得分5分。</w:t>
      </w:r>
    </w:p>
    <w:p w14:paraId="0E5C1E3A">
      <w:pPr>
        <w:ind w:left="0" w:leftChars="0" w:firstLine="640" w:firstLineChars="200"/>
        <w:rPr>
          <w:rFonts w:hint="eastAsia" w:ascii="黑体" w:hAnsi="黑体" w:eastAsia="黑体" w:cs="黑体"/>
          <w:lang w:val="en-US" w:eastAsia="zh-CN"/>
        </w:rPr>
      </w:pPr>
      <w:r>
        <w:rPr>
          <w:rFonts w:hint="eastAsia" w:ascii="黑体" w:hAnsi="黑体" w:eastAsia="黑体" w:cs="黑体"/>
          <w:lang w:val="en-US" w:eastAsia="zh-CN"/>
        </w:rPr>
        <w:t>三、发现的主要问题和改进措施</w:t>
      </w:r>
    </w:p>
    <w:p w14:paraId="428640FF">
      <w:pPr>
        <w:ind w:left="0" w:leftChars="0" w:firstLine="640" w:firstLineChars="200"/>
        <w:rPr>
          <w:rFonts w:hint="eastAsia"/>
          <w:lang w:eastAsia="zh-CN"/>
        </w:rPr>
      </w:pPr>
      <w:r>
        <w:rPr>
          <w:rFonts w:hint="eastAsia" w:eastAsia="仿宋_GB2312"/>
          <w:lang w:eastAsia="zh-CN"/>
        </w:rPr>
        <w:t>存在问题</w:t>
      </w:r>
      <w:r>
        <w:rPr>
          <w:rFonts w:hint="eastAsia"/>
          <w:lang w:eastAsia="zh-CN"/>
        </w:rPr>
        <w:t>：</w:t>
      </w:r>
    </w:p>
    <w:p w14:paraId="5BFCC864">
      <w:pPr>
        <w:ind w:left="0" w:leftChars="0" w:firstLine="640" w:firstLineChars="200"/>
        <w:rPr>
          <w:rFonts w:hint="eastAsia" w:eastAsia="仿宋_GB2312"/>
          <w:lang w:eastAsia="zh-CN"/>
        </w:rPr>
      </w:pPr>
      <w:r>
        <w:rPr>
          <w:rFonts w:hint="eastAsia" w:eastAsia="仿宋_GB2312"/>
          <w:lang w:eastAsia="zh-CN"/>
        </w:rPr>
        <w:t>1. 部分特殊老年群体关怀深度尚需加强</w:t>
      </w:r>
      <w:r>
        <w:rPr>
          <w:rFonts w:hint="eastAsia"/>
          <w:lang w:eastAsia="zh-CN"/>
        </w:rPr>
        <w:t>，</w:t>
      </w:r>
      <w:r>
        <w:rPr>
          <w:rFonts w:hint="eastAsia" w:eastAsia="仿宋_GB2312"/>
          <w:lang w:eastAsia="zh-CN"/>
        </w:rPr>
        <w:t>特殊家庭动态信息和需求变化的掌握精准度有待提高。</w:t>
      </w:r>
    </w:p>
    <w:p w14:paraId="2265C042">
      <w:pPr>
        <w:ind w:left="0" w:leftChars="0" w:firstLine="640" w:firstLineChars="200"/>
        <w:rPr>
          <w:rFonts w:hint="eastAsia" w:eastAsia="仿宋_GB2312"/>
          <w:lang w:eastAsia="zh-CN"/>
        </w:rPr>
      </w:pPr>
      <w:r>
        <w:rPr>
          <w:rFonts w:hint="eastAsia"/>
          <w:lang w:val="en-US" w:eastAsia="zh-CN"/>
        </w:rPr>
        <w:t>2</w:t>
      </w:r>
      <w:r>
        <w:rPr>
          <w:rFonts w:hint="eastAsia" w:eastAsia="仿宋_GB2312"/>
          <w:lang w:eastAsia="zh-CN"/>
        </w:rPr>
        <w:t>.绩效指标设置有待进一步优化，指标的科学性和可操作性尚有提升空间。</w:t>
      </w:r>
    </w:p>
    <w:p w14:paraId="46D17A17">
      <w:pPr>
        <w:ind w:left="0" w:leftChars="0" w:firstLine="640" w:firstLineChars="200"/>
        <w:rPr>
          <w:rFonts w:hint="eastAsia" w:eastAsia="仿宋_GB2312"/>
          <w:lang w:eastAsia="zh-CN"/>
        </w:rPr>
      </w:pPr>
      <w:r>
        <w:rPr>
          <w:rFonts w:hint="eastAsia" w:eastAsia="仿宋_GB2312"/>
          <w:lang w:eastAsia="zh-CN"/>
        </w:rPr>
        <w:t>改进措施：</w:t>
      </w:r>
    </w:p>
    <w:p w14:paraId="068FB1AB">
      <w:pPr>
        <w:ind w:left="0" w:leftChars="0" w:firstLine="640" w:firstLineChars="200"/>
        <w:rPr>
          <w:rFonts w:hint="eastAsia" w:eastAsia="仿宋_GB2312"/>
          <w:lang w:eastAsia="zh-CN"/>
        </w:rPr>
      </w:pPr>
      <w:r>
        <w:rPr>
          <w:rFonts w:hint="eastAsia" w:eastAsia="仿宋_GB2312"/>
          <w:lang w:eastAsia="zh-CN"/>
        </w:rPr>
        <w:t>1.下一步将健全完善信息采集和动态监测机制，进一步提升我镇公共服务水平。</w:t>
      </w:r>
    </w:p>
    <w:p w14:paraId="1F00CAAC">
      <w:pPr>
        <w:ind w:left="0" w:leftChars="0" w:firstLine="640" w:firstLineChars="200"/>
        <w:rPr>
          <w:rFonts w:hint="eastAsia"/>
          <w:lang w:eastAsia="zh-CN"/>
        </w:rPr>
      </w:pPr>
      <w:r>
        <w:rPr>
          <w:rFonts w:hint="eastAsia" w:eastAsia="仿宋_GB2312"/>
          <w:lang w:eastAsia="zh-CN"/>
        </w:rPr>
        <w:t>2.完善信息采集和动态监测机制，强化多部门数据共享</w:t>
      </w:r>
      <w:r>
        <w:rPr>
          <w:rFonts w:hint="eastAsia"/>
          <w:lang w:eastAsia="zh-CN"/>
        </w:rPr>
        <w:t>。</w:t>
      </w:r>
    </w:p>
    <w:p w14:paraId="0A42D44C">
      <w:pPr>
        <w:ind w:left="0" w:leftChars="0" w:firstLine="640" w:firstLineChars="200"/>
        <w:rPr>
          <w:rFonts w:hint="eastAsia" w:eastAsia="仿宋_GB2312"/>
          <w:lang w:eastAsia="zh-CN"/>
        </w:rPr>
      </w:pPr>
      <w:r>
        <w:rPr>
          <w:rFonts w:hint="eastAsia" w:eastAsia="仿宋_GB2312"/>
          <w:lang w:eastAsia="zh-CN"/>
        </w:rPr>
        <w:t>3.进一步优化完善绩效指标体系，强化指标的科学性和可操作性，确保指标设置更加合理、考核更加精准。</w:t>
      </w:r>
    </w:p>
    <w:p w14:paraId="6773DE41">
      <w:pPr>
        <w:ind w:left="0" w:leftChars="0" w:firstLine="640" w:firstLineChars="200"/>
        <w:rPr>
          <w:rFonts w:hint="eastAsia" w:ascii="黑体" w:hAnsi="黑体" w:eastAsia="黑体" w:cs="黑体"/>
          <w:lang w:val="en-US" w:eastAsia="zh-CN"/>
        </w:rPr>
      </w:pPr>
      <w:r>
        <w:rPr>
          <w:rFonts w:hint="eastAsia" w:ascii="黑体" w:hAnsi="黑体" w:eastAsia="黑体" w:cs="黑体"/>
          <w:lang w:val="en-US" w:eastAsia="zh-CN"/>
        </w:rPr>
        <w:t>四、绩效自评结果拟应用和公开情况</w:t>
      </w:r>
    </w:p>
    <w:p w14:paraId="14B86CCA">
      <w:pPr>
        <w:ind w:left="0" w:leftChars="0" w:firstLine="640" w:firstLineChars="200"/>
        <w:rPr>
          <w:rFonts w:hint="eastAsia" w:eastAsia="仿宋_GB2312"/>
          <w:lang w:eastAsia="zh-CN"/>
        </w:rPr>
      </w:pPr>
      <w:r>
        <w:rPr>
          <w:rFonts w:hint="eastAsia" w:eastAsia="仿宋_GB2312"/>
          <w:lang w:eastAsia="zh-CN"/>
        </w:rPr>
        <w:t>经过本次自评打分，我镇农村幸福院建设补助资金项目绩效自评得分</w:t>
      </w:r>
      <w:r>
        <w:rPr>
          <w:rFonts w:hint="eastAsia"/>
          <w:lang w:val="en-US" w:eastAsia="zh-CN"/>
        </w:rPr>
        <w:t>98</w:t>
      </w:r>
      <w:r>
        <w:rPr>
          <w:rFonts w:hint="eastAsia" w:eastAsia="仿宋_GB2312"/>
          <w:lang w:eastAsia="zh-CN"/>
        </w:rPr>
        <w:t>分，其中：预算执行率得10分，资金管理情况得</w:t>
      </w:r>
      <w:r>
        <w:rPr>
          <w:rFonts w:hint="eastAsia"/>
          <w:lang w:val="en-US" w:eastAsia="zh-CN"/>
        </w:rPr>
        <w:t>40</w:t>
      </w:r>
      <w:r>
        <w:rPr>
          <w:rFonts w:hint="eastAsia" w:eastAsia="仿宋_GB2312"/>
          <w:lang w:eastAsia="zh-CN"/>
        </w:rPr>
        <w:t>分，产出指标得20分，效益指标得18分，满意度指标得5分。自评结果将作为下一年度预算编制和项目改进的</w:t>
      </w:r>
      <w:bookmarkStart w:id="0" w:name="_GoBack"/>
      <w:bookmarkEnd w:id="0"/>
      <w:r>
        <w:rPr>
          <w:rFonts w:hint="eastAsia" w:eastAsia="仿宋_GB2312"/>
          <w:lang w:eastAsia="zh-CN"/>
        </w:rPr>
        <w:t>重要依据。项目单位将根据评价结果，进一步完善管理制度，优化走访服务流程，持续提升财政资金使用效益。</w:t>
      </w:r>
    </w:p>
    <w:p w14:paraId="583284D3">
      <w:pPr>
        <w:ind w:left="0" w:leftChars="0" w:firstLine="640" w:firstLineChars="200"/>
        <w:rPr>
          <w:rFonts w:hint="eastAsia" w:eastAsia="仿宋_GB2312"/>
          <w:lang w:eastAsia="zh-CN"/>
        </w:rPr>
      </w:pPr>
      <w:r>
        <w:rPr>
          <w:rFonts w:hint="eastAsia" w:eastAsia="仿宋_GB2312"/>
          <w:lang w:eastAsia="zh-CN"/>
        </w:rPr>
        <w:t>本绩效自评报告将按照上级要求通过相关网站进行全文公开。公开内容包括项目基本情况、资金使用情况、绩效目标完成情况和评价结论等。</w:t>
      </w:r>
    </w:p>
    <w:p w14:paraId="22E6A178">
      <w:pPr>
        <w:ind w:left="0" w:leftChars="0" w:firstLine="640" w:firstLineChars="200"/>
        <w:rPr>
          <w:rFonts w:hint="eastAsia" w:ascii="黑体" w:hAnsi="黑体" w:eastAsia="黑体" w:cs="黑体"/>
          <w:lang w:val="en-US" w:eastAsia="zh-CN"/>
        </w:rPr>
      </w:pPr>
      <w:r>
        <w:rPr>
          <w:rFonts w:hint="eastAsia" w:ascii="黑体" w:hAnsi="黑体" w:eastAsia="黑体" w:cs="黑体"/>
          <w:lang w:val="en-US" w:eastAsia="zh-CN"/>
        </w:rPr>
        <w:t>五、其他需要说明的问题</w:t>
      </w:r>
    </w:p>
    <w:p w14:paraId="41AA95A0">
      <w:pPr>
        <w:ind w:left="0" w:leftChars="0" w:firstLine="640" w:firstLineChars="200"/>
        <w:rPr>
          <w:rFonts w:hint="default" w:eastAsia="仿宋_GB2312"/>
          <w:lang w:val="en-US" w:eastAsia="zh-CN"/>
        </w:rPr>
      </w:pPr>
      <w:r>
        <w:rPr>
          <w:rFonts w:hint="eastAsia" w:eastAsia="仿宋_GB2312"/>
          <w:lang w:eastAsia="zh-CN"/>
        </w:rPr>
        <w:t>无</w:t>
      </w:r>
    </w:p>
    <w:p w14:paraId="1EF1AAA7">
      <w:pPr>
        <w:ind w:left="0" w:leftChars="0" w:firstLine="0" w:firstLineChars="0"/>
        <w:rPr>
          <w:rFonts w:hint="eastAsia" w:eastAsia="仿宋_GB2312"/>
          <w:lang w:eastAsia="zh-CN"/>
        </w:rPr>
      </w:pPr>
    </w:p>
    <w:sectPr>
      <w:pgSz w:w="11906" w:h="16838"/>
      <w:pgMar w:top="2098" w:right="1474" w:bottom="1984" w:left="1587" w:header="851" w:footer="992" w:gutter="0"/>
      <w:cols w:space="0" w:num="1"/>
      <w:rtlGutter w:val="0"/>
      <w:docGrid w:type="lines" w:linePitch="43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E8CF679-F880-4F69-BA39-712E696E260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02437E55-9C7C-4D3B-ADCD-E0CF73CC41D1}"/>
  </w:font>
  <w:font w:name="方正小标宋简体">
    <w:panose1 w:val="02000000000000000000"/>
    <w:charset w:val="86"/>
    <w:family w:val="auto"/>
    <w:pitch w:val="default"/>
    <w:sig w:usb0="00000001" w:usb1="080E0000" w:usb2="00000000" w:usb3="00000000" w:csb0="00040000" w:csb1="00000000"/>
    <w:embedRegular r:id="rId3" w:fontKey="{120E0C2A-ABA5-46C6-85D4-B490ADA2B469}"/>
  </w:font>
  <w:font w:name="楷体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kOTVmN2FkYjAxNDNhZTAyNmI5ZDMwYjVkYzZjYjQifQ=="/>
  </w:docVars>
  <w:rsids>
    <w:rsidRoot w:val="00000000"/>
    <w:rsid w:val="0B122223"/>
    <w:rsid w:val="0BDA2FAB"/>
    <w:rsid w:val="0C747B62"/>
    <w:rsid w:val="10264A11"/>
    <w:rsid w:val="107B2FAF"/>
    <w:rsid w:val="10A65870"/>
    <w:rsid w:val="14E86739"/>
    <w:rsid w:val="167069E6"/>
    <w:rsid w:val="1E6C2189"/>
    <w:rsid w:val="22FA1509"/>
    <w:rsid w:val="2315555B"/>
    <w:rsid w:val="25184F27"/>
    <w:rsid w:val="29CF6772"/>
    <w:rsid w:val="2DFA2D34"/>
    <w:rsid w:val="2F7C75DE"/>
    <w:rsid w:val="2F967065"/>
    <w:rsid w:val="34131002"/>
    <w:rsid w:val="34A40D5D"/>
    <w:rsid w:val="34ED44EE"/>
    <w:rsid w:val="375F0685"/>
    <w:rsid w:val="3ACD240D"/>
    <w:rsid w:val="3B1D4ADF"/>
    <w:rsid w:val="3B672D49"/>
    <w:rsid w:val="41A52EC8"/>
    <w:rsid w:val="440400D7"/>
    <w:rsid w:val="49F44C5D"/>
    <w:rsid w:val="4FD438E7"/>
    <w:rsid w:val="508907EC"/>
    <w:rsid w:val="510F4A72"/>
    <w:rsid w:val="51A46EB8"/>
    <w:rsid w:val="53FC12DE"/>
    <w:rsid w:val="57407733"/>
    <w:rsid w:val="5A18083E"/>
    <w:rsid w:val="5DF70D68"/>
    <w:rsid w:val="630C0619"/>
    <w:rsid w:val="63B91558"/>
    <w:rsid w:val="66860EDB"/>
    <w:rsid w:val="6C5623AB"/>
    <w:rsid w:val="6D0B5B51"/>
    <w:rsid w:val="712E4649"/>
    <w:rsid w:val="7230192D"/>
    <w:rsid w:val="79DE1FF1"/>
    <w:rsid w:val="7A4605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880" w:firstLineChars="20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qFormat/>
    <w:uiPriority w:val="0"/>
    <w:pPr>
      <w:keepNext/>
      <w:keepLines/>
      <w:spacing w:beforeLines="0" w:beforeAutospacing="0" w:afterLines="0" w:afterAutospacing="0" w:line="720" w:lineRule="exact"/>
      <w:ind w:firstLine="0" w:firstLineChars="0"/>
      <w:jc w:val="center"/>
      <w:outlineLvl w:val="0"/>
    </w:pPr>
    <w:rPr>
      <w:rFonts w:eastAsia="方正小标宋简体"/>
      <w:kern w:val="44"/>
      <w:sz w:val="44"/>
    </w:rPr>
  </w:style>
  <w:style w:type="paragraph" w:styleId="3">
    <w:name w:val="heading 2"/>
    <w:basedOn w:val="1"/>
    <w:next w:val="1"/>
    <w:unhideWhenUsed/>
    <w:qFormat/>
    <w:uiPriority w:val="0"/>
    <w:pPr>
      <w:keepNext/>
      <w:keepLines/>
      <w:spacing w:beforeLines="0" w:beforeAutospacing="0" w:afterLines="0" w:afterAutospacing="0" w:line="560" w:lineRule="exact"/>
      <w:outlineLvl w:val="1"/>
    </w:pPr>
    <w:rPr>
      <w:rFonts w:ascii="Arial" w:hAnsi="Arial" w:eastAsia="黑体"/>
    </w:rPr>
  </w:style>
  <w:style w:type="paragraph" w:styleId="4">
    <w:name w:val="heading 3"/>
    <w:basedOn w:val="1"/>
    <w:next w:val="1"/>
    <w:link w:val="9"/>
    <w:unhideWhenUsed/>
    <w:qFormat/>
    <w:uiPriority w:val="0"/>
    <w:pPr>
      <w:keepNext/>
      <w:keepLines/>
      <w:spacing w:beforeLines="0" w:beforeAutospacing="0" w:afterLines="0" w:afterAutospacing="0" w:line="560" w:lineRule="exact"/>
      <w:outlineLvl w:val="2"/>
    </w:pPr>
    <w:rPr>
      <w:rFonts w:eastAsia="楷体_GB231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rPr>
      <w:sz w:val="24"/>
    </w:rPr>
  </w:style>
  <w:style w:type="character" w:styleId="8">
    <w:name w:val="Strong"/>
    <w:basedOn w:val="7"/>
    <w:qFormat/>
    <w:uiPriority w:val="0"/>
    <w:rPr>
      <w:b/>
    </w:rPr>
  </w:style>
  <w:style w:type="character" w:customStyle="1" w:styleId="9">
    <w:name w:val="标题 3 Char"/>
    <w:link w:val="4"/>
    <w:qFormat/>
    <w:uiPriority w:val="0"/>
    <w:rPr>
      <w:rFonts w:eastAsia="楷体_GB231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2179</Words>
  <Characters>2297</Characters>
  <Lines>0</Lines>
  <Paragraphs>0</Paragraphs>
  <TotalTime>2</TotalTime>
  <ScaleCrop>false</ScaleCrop>
  <LinksUpToDate>false</LinksUpToDate>
  <CharactersWithSpaces>2299</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2026-01-08T00:53:00Z</dcterms:created>
  <dc:creator>Administrator</dc:creator>
  <cp:lastModifiedBy>わたぬき きみひろ</cp:lastModifiedBy>
  <cp:lastPrinted>2026-03-20T02:44:00Z</cp:lastPrinted>
  <dcterms:modified xsi:type="dcterms:W3CDTF">2026-04-13T09:12:31Z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B297BD7EAF1749A894C24036F95BFD5F_12</vt:lpwstr>
  </property>
  <property fmtid="{D5CDD505-2E9C-101B-9397-08002B2CF9AE}" pid="4" name="KSOTemplateDocerSaveRecord">
    <vt:lpwstr>eyJoZGlkIjoiNGI1ODE2ZmFlZGU3OGUzYmVmNGNjNWVlNjcwMGJhMTYiLCJ1c2VySWQiOiI2NjkxMTg1NzEifQ==</vt:lpwstr>
  </property>
</Properties>
</file>