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7D59FF">
      <w:pPr>
        <w:pStyle w:val="2"/>
        <w:spacing w:before="225" w:beforeAutospacing="0" w:after="225" w:afterAutospacing="0"/>
        <w:jc w:val="center"/>
        <w:rPr>
          <w:rFonts w:hint="eastAsia" w:ascii="黑体" w:hAnsi="黑体" w:eastAsia="黑体"/>
        </w:rPr>
      </w:pPr>
      <w:r>
        <w:rPr>
          <w:rFonts w:hint="eastAsia" w:ascii="黑体" w:hAnsi="黑体" w:eastAsia="黑体"/>
        </w:rPr>
        <w:t>关于《贵池区殷汇镇</w:t>
      </w:r>
      <w:r>
        <w:rPr>
          <w:rFonts w:hint="eastAsia" w:ascii="黑体" w:hAnsi="黑体" w:eastAsia="黑体"/>
          <w:lang w:eastAsia="zh-CN"/>
        </w:rPr>
        <w:t>长庄村</w:t>
      </w:r>
      <w:r>
        <w:rPr>
          <w:rFonts w:hint="eastAsia" w:ascii="黑体" w:hAnsi="黑体" w:eastAsia="黑体"/>
        </w:rPr>
        <w:t>村庄规划（2021-2035年）》的公示</w:t>
      </w:r>
    </w:p>
    <w:p w14:paraId="66F264A6">
      <w:pPr>
        <w:pStyle w:val="13"/>
        <w:shd w:val="clear" w:color="auto" w:fill="FFFFFF"/>
        <w:adjustRightInd w:val="0"/>
        <w:snapToGrid w:val="0"/>
        <w:spacing w:before="120" w:beforeLines="50" w:beforeAutospacing="0" w:after="120" w:afterLines="50" w:afterAutospacing="0" w:line="276" w:lineRule="auto"/>
        <w:ind w:firstLine="567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根据《安徽省村庄规划编制指南（2022年版）》的相关要求，殷汇镇人民政府组织由北京世纪千府国际工程设计有限公司编制的《贵池区殷汇镇</w:t>
      </w:r>
      <w:r>
        <w:rPr>
          <w:rFonts w:hint="eastAsia" w:ascii="仿宋" w:hAnsi="仿宋" w:eastAsia="仿宋"/>
          <w:sz w:val="30"/>
          <w:szCs w:val="30"/>
          <w:lang w:eastAsia="zh-CN"/>
        </w:rPr>
        <w:t>长庄村</w:t>
      </w:r>
      <w:r>
        <w:rPr>
          <w:rFonts w:hint="eastAsia" w:ascii="仿宋" w:hAnsi="仿宋" w:eastAsia="仿宋"/>
          <w:sz w:val="30"/>
          <w:szCs w:val="30"/>
        </w:rPr>
        <w:t>村庄规划（2021-2035年）》，已形成规划成果，并通过专家评审会，现予以公示。</w:t>
      </w:r>
    </w:p>
    <w:p w14:paraId="7C0C2C69">
      <w:pPr>
        <w:pStyle w:val="13"/>
        <w:shd w:val="clear" w:color="auto" w:fill="FFFFFF"/>
        <w:adjustRightInd w:val="0"/>
        <w:snapToGrid w:val="0"/>
        <w:spacing w:before="120" w:beforeLines="50" w:beforeAutospacing="0" w:after="120" w:afterLines="50" w:afterAutospacing="0" w:line="276" w:lineRule="auto"/>
        <w:ind w:firstLine="567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一、规划范围：本次规划范围为池州市贵池区殷汇镇</w:t>
      </w:r>
      <w:r>
        <w:rPr>
          <w:rFonts w:hint="eastAsia" w:ascii="仿宋" w:hAnsi="仿宋" w:eastAsia="仿宋"/>
          <w:sz w:val="30"/>
          <w:szCs w:val="30"/>
          <w:lang w:eastAsia="zh-CN"/>
        </w:rPr>
        <w:t>长庄村</w:t>
      </w:r>
      <w:r>
        <w:rPr>
          <w:rFonts w:hint="eastAsia" w:ascii="仿宋" w:hAnsi="仿宋" w:eastAsia="仿宋"/>
          <w:sz w:val="30"/>
          <w:szCs w:val="30"/>
        </w:rPr>
        <w:t>全域，国土面积共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503.37</w:t>
      </w:r>
      <w:r>
        <w:rPr>
          <w:rFonts w:hint="eastAsia" w:ascii="仿宋" w:hAnsi="仿宋" w:eastAsia="仿宋"/>
          <w:sz w:val="30"/>
          <w:szCs w:val="30"/>
        </w:rPr>
        <w:t>公顷。</w:t>
      </w:r>
    </w:p>
    <w:p w14:paraId="7A10BEDD">
      <w:pPr>
        <w:pStyle w:val="13"/>
        <w:shd w:val="clear" w:color="auto" w:fill="FFFFFF"/>
        <w:adjustRightInd w:val="0"/>
        <w:snapToGrid w:val="0"/>
        <w:spacing w:before="120" w:beforeLines="50" w:beforeAutospacing="0" w:after="120" w:afterLines="50" w:afterAutospacing="0" w:line="276" w:lineRule="auto"/>
        <w:ind w:firstLine="567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二、规划期限：规划期限为</w:t>
      </w:r>
      <w:r>
        <w:rPr>
          <w:rFonts w:ascii="仿宋" w:hAnsi="仿宋" w:eastAsia="仿宋"/>
          <w:sz w:val="30"/>
          <w:szCs w:val="30"/>
        </w:rPr>
        <w:t>2021-2035年，规划基期年为2020年，近期</w:t>
      </w:r>
      <w:r>
        <w:rPr>
          <w:rFonts w:hint="eastAsia" w:ascii="仿宋" w:hAnsi="仿宋" w:eastAsia="仿宋"/>
          <w:sz w:val="30"/>
          <w:szCs w:val="30"/>
        </w:rPr>
        <w:t>目标年为</w:t>
      </w:r>
      <w:r>
        <w:rPr>
          <w:rFonts w:ascii="仿宋" w:hAnsi="仿宋" w:eastAsia="仿宋"/>
          <w:sz w:val="30"/>
          <w:szCs w:val="30"/>
        </w:rPr>
        <w:t>2025年，规划目标年为2035年。</w:t>
      </w:r>
    </w:p>
    <w:p w14:paraId="6F7714E6">
      <w:pPr>
        <w:pStyle w:val="13"/>
        <w:shd w:val="clear" w:color="auto" w:fill="FFFFFF"/>
        <w:adjustRightInd w:val="0"/>
        <w:snapToGrid w:val="0"/>
        <w:spacing w:before="120" w:beforeLines="50" w:beforeAutospacing="0" w:after="120" w:afterLines="50" w:afterAutospacing="0" w:line="276" w:lineRule="auto"/>
        <w:ind w:firstLine="567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三、公示时间：2025年</w:t>
      </w:r>
      <w:r>
        <w:rPr>
          <w:rFonts w:hint="eastAsia" w:ascii="仿宋" w:hAnsi="仿宋" w:eastAsia="仿宋"/>
          <w:color w:val="EE0000"/>
          <w:sz w:val="30"/>
          <w:szCs w:val="30"/>
          <w:lang w:val="en-US" w:eastAsia="zh-CN"/>
        </w:rPr>
        <w:t>8</w:t>
      </w:r>
      <w:r>
        <w:rPr>
          <w:rFonts w:hint="eastAsia" w:ascii="仿宋" w:hAnsi="仿宋" w:eastAsia="仿宋"/>
          <w:color w:val="EE0000"/>
          <w:sz w:val="30"/>
          <w:szCs w:val="30"/>
        </w:rPr>
        <w:t>月</w:t>
      </w:r>
      <w:r>
        <w:rPr>
          <w:rFonts w:hint="eastAsia" w:ascii="仿宋" w:hAnsi="仿宋" w:eastAsia="仿宋"/>
          <w:color w:val="EE0000"/>
          <w:sz w:val="30"/>
          <w:szCs w:val="30"/>
          <w:lang w:val="en-US" w:eastAsia="zh-CN"/>
        </w:rPr>
        <w:t>19</w:t>
      </w:r>
      <w:r>
        <w:rPr>
          <w:rFonts w:hint="eastAsia" w:ascii="仿宋" w:hAnsi="仿宋" w:eastAsia="仿宋"/>
          <w:color w:val="EE0000"/>
          <w:sz w:val="30"/>
          <w:szCs w:val="30"/>
        </w:rPr>
        <w:t>日至</w:t>
      </w:r>
      <w:r>
        <w:rPr>
          <w:rFonts w:hint="eastAsia" w:ascii="仿宋" w:hAnsi="仿宋" w:eastAsia="仿宋"/>
          <w:color w:val="EE0000"/>
          <w:sz w:val="30"/>
          <w:szCs w:val="30"/>
          <w:lang w:val="en-US" w:eastAsia="zh-CN"/>
        </w:rPr>
        <w:t>9</w:t>
      </w:r>
      <w:r>
        <w:rPr>
          <w:rFonts w:hint="eastAsia" w:ascii="仿宋" w:hAnsi="仿宋" w:eastAsia="仿宋"/>
          <w:color w:val="EE0000"/>
          <w:sz w:val="30"/>
          <w:szCs w:val="30"/>
        </w:rPr>
        <w:t>月</w:t>
      </w:r>
      <w:r>
        <w:rPr>
          <w:rFonts w:hint="eastAsia" w:ascii="仿宋" w:hAnsi="仿宋" w:eastAsia="仿宋"/>
          <w:color w:val="EE0000"/>
          <w:sz w:val="30"/>
          <w:szCs w:val="30"/>
          <w:lang w:val="en-US" w:eastAsia="zh-CN"/>
        </w:rPr>
        <w:t>18</w:t>
      </w:r>
      <w:r>
        <w:rPr>
          <w:rFonts w:hint="eastAsia" w:ascii="仿宋" w:hAnsi="仿宋" w:eastAsia="仿宋"/>
          <w:color w:val="EE0000"/>
          <w:sz w:val="30"/>
          <w:szCs w:val="30"/>
        </w:rPr>
        <w:t>日，为</w:t>
      </w:r>
      <w:r>
        <w:rPr>
          <w:rFonts w:hint="eastAsia" w:ascii="仿宋" w:hAnsi="仿宋" w:eastAsia="仿宋"/>
          <w:sz w:val="30"/>
          <w:szCs w:val="30"/>
        </w:rPr>
        <w:t>期一个月。</w:t>
      </w:r>
    </w:p>
    <w:p w14:paraId="4669BC0F">
      <w:pPr>
        <w:pStyle w:val="13"/>
        <w:shd w:val="clear" w:color="auto" w:fill="FFFFFF"/>
        <w:adjustRightInd w:val="0"/>
        <w:snapToGrid w:val="0"/>
        <w:spacing w:before="120" w:beforeLines="50" w:beforeAutospacing="0" w:after="120" w:afterLines="50" w:afterAutospacing="0" w:line="276" w:lineRule="auto"/>
        <w:ind w:firstLine="567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四、公示方式：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池州市</w:t>
      </w:r>
      <w:r>
        <w:rPr>
          <w:rFonts w:hint="eastAsia" w:ascii="仿宋" w:hAnsi="仿宋" w:eastAsia="仿宋"/>
          <w:sz w:val="30"/>
          <w:szCs w:val="30"/>
        </w:rPr>
        <w:t>贵池区殷汇镇人民政府网站。</w:t>
      </w:r>
    </w:p>
    <w:p w14:paraId="616052B4">
      <w:pPr>
        <w:pStyle w:val="13"/>
        <w:shd w:val="clear" w:color="auto" w:fill="FFFFFF"/>
        <w:adjustRightInd w:val="0"/>
        <w:snapToGrid w:val="0"/>
        <w:spacing w:before="120" w:beforeLines="50" w:beforeAutospacing="0" w:after="120" w:afterLines="50" w:afterAutospacing="0" w:line="276" w:lineRule="auto"/>
        <w:ind w:firstLine="567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 xml:space="preserve">五、意见或建议：依照《中华人民共和国城乡规划法》，在公示之日起三十日内可用信函、电话及电子邮件等方式提出反馈意见和建议。 </w:t>
      </w:r>
    </w:p>
    <w:p w14:paraId="137BD516">
      <w:pPr>
        <w:pStyle w:val="13"/>
        <w:shd w:val="clear" w:color="auto" w:fill="FFFFFF"/>
        <w:adjustRightInd w:val="0"/>
        <w:snapToGrid w:val="0"/>
        <w:spacing w:before="120" w:beforeLines="50" w:beforeAutospacing="0" w:after="120" w:afterLines="50" w:afterAutospacing="0" w:line="276" w:lineRule="auto"/>
        <w:ind w:firstLine="567"/>
        <w:jc w:val="both"/>
        <w:rPr>
          <w:rFonts w:hint="eastAsia" w:ascii="仿宋" w:hAnsi="仿宋" w:eastAsia="仿宋"/>
          <w:color w:val="EE0000"/>
          <w:sz w:val="30"/>
          <w:szCs w:val="30"/>
          <w:lang w:val="en-US" w:eastAsia="zh-CN"/>
        </w:rPr>
      </w:pPr>
      <w:r>
        <w:rPr>
          <w:rFonts w:hint="eastAsia" w:ascii="仿宋" w:hAnsi="仿宋" w:eastAsia="仿宋"/>
          <w:sz w:val="30"/>
          <w:szCs w:val="30"/>
        </w:rPr>
        <w:t>联系人：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包瑶</w:t>
      </w:r>
      <w:r>
        <w:rPr>
          <w:rFonts w:hint="eastAsia" w:ascii="仿宋" w:hAnsi="仿宋" w:eastAsia="仿宋"/>
          <w:sz w:val="30"/>
          <w:szCs w:val="30"/>
        </w:rPr>
        <w:t xml:space="preserve"> </w:t>
      </w:r>
      <w:r>
        <w:rPr>
          <w:rFonts w:hint="eastAsia" w:ascii="仿宋" w:hAnsi="仿宋" w:eastAsia="仿宋"/>
          <w:color w:val="EE0000"/>
          <w:sz w:val="30"/>
          <w:szCs w:val="30"/>
          <w:lang w:val="en-US" w:eastAsia="zh-CN"/>
        </w:rPr>
        <w:t xml:space="preserve"> </w:t>
      </w:r>
    </w:p>
    <w:p w14:paraId="254B2118">
      <w:pPr>
        <w:pStyle w:val="13"/>
        <w:shd w:val="clear" w:color="auto" w:fill="FFFFFF"/>
        <w:adjustRightInd w:val="0"/>
        <w:snapToGrid w:val="0"/>
        <w:spacing w:before="120" w:beforeLines="50" w:beforeAutospacing="0" w:after="120" w:afterLines="50" w:afterAutospacing="0" w:line="276" w:lineRule="auto"/>
        <w:ind w:firstLine="567"/>
        <w:jc w:val="both"/>
        <w:rPr>
          <w:rFonts w:hint="eastAsia" w:ascii="仿宋" w:hAnsi="仿宋" w:eastAsia="仿宋"/>
          <w:color w:val="EE0000"/>
          <w:sz w:val="30"/>
          <w:szCs w:val="30"/>
          <w:lang w:eastAsia="zh-CN"/>
        </w:rPr>
      </w:pPr>
      <w:r>
        <w:rPr>
          <w:rFonts w:hint="eastAsia" w:ascii="仿宋" w:hAnsi="仿宋" w:eastAsia="仿宋"/>
          <w:color w:val="EE0000"/>
          <w:sz w:val="30"/>
          <w:szCs w:val="30"/>
        </w:rPr>
        <w:t>联系电话：</w:t>
      </w:r>
      <w:r>
        <w:rPr>
          <w:rFonts w:hint="eastAsia" w:ascii="仿宋" w:hAnsi="仿宋" w:eastAsia="仿宋"/>
          <w:color w:val="EE0000"/>
          <w:sz w:val="30"/>
          <w:szCs w:val="30"/>
          <w:lang w:val="en-US" w:eastAsia="zh-CN"/>
        </w:rPr>
        <w:t xml:space="preserve">15656699309 </w:t>
      </w:r>
    </w:p>
    <w:p w14:paraId="4E4153C2">
      <w:pPr>
        <w:pStyle w:val="13"/>
        <w:shd w:val="clear" w:color="auto" w:fill="FFFFFF"/>
        <w:adjustRightInd w:val="0"/>
        <w:snapToGrid w:val="0"/>
        <w:spacing w:before="120" w:beforeLines="50" w:beforeAutospacing="0" w:after="120" w:afterLines="50" w:afterAutospacing="0" w:line="276" w:lineRule="auto"/>
        <w:ind w:firstLine="567"/>
        <w:jc w:val="both"/>
        <w:rPr>
          <w:rFonts w:hint="eastAsia" w:ascii="仿宋" w:hAnsi="仿宋" w:eastAsia="仿宋"/>
          <w:color w:val="EE0000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邮箱：</w:t>
      </w:r>
      <w:r>
        <w:rPr>
          <w:rFonts w:hint="eastAsia" w:ascii="仿宋" w:hAnsi="仿宋" w:eastAsia="仿宋"/>
          <w:color w:val="EE0000"/>
          <w:sz w:val="30"/>
          <w:szCs w:val="30"/>
          <w:lang w:val="en-US" w:eastAsia="zh-CN"/>
        </w:rPr>
        <w:t xml:space="preserve"> a56699309 </w:t>
      </w:r>
      <w:r>
        <w:rPr>
          <w:rFonts w:hint="eastAsia" w:ascii="仿宋" w:hAnsi="仿宋" w:eastAsia="仿宋"/>
          <w:color w:val="EE0000"/>
          <w:sz w:val="30"/>
          <w:szCs w:val="30"/>
        </w:rPr>
        <w:t>@</w:t>
      </w:r>
      <w:r>
        <w:rPr>
          <w:rFonts w:hint="eastAsia" w:ascii="仿宋" w:hAnsi="仿宋" w:eastAsia="仿宋"/>
          <w:color w:val="EE0000"/>
          <w:sz w:val="30"/>
          <w:szCs w:val="30"/>
          <w:lang w:val="en-US" w:eastAsia="zh-CN"/>
        </w:rPr>
        <w:t>163</w:t>
      </w:r>
      <w:r>
        <w:rPr>
          <w:rFonts w:hint="eastAsia" w:ascii="仿宋" w:hAnsi="仿宋" w:eastAsia="仿宋"/>
          <w:color w:val="EE0000"/>
          <w:sz w:val="30"/>
          <w:szCs w:val="30"/>
        </w:rPr>
        <w:t>.com</w:t>
      </w:r>
    </w:p>
    <w:p w14:paraId="3B37229A">
      <w:pPr>
        <w:pStyle w:val="13"/>
        <w:shd w:val="clear" w:color="auto" w:fill="FFFFFF"/>
        <w:adjustRightInd w:val="0"/>
        <w:snapToGrid w:val="0"/>
        <w:spacing w:before="120" w:beforeLines="50" w:beforeAutospacing="0" w:after="120" w:afterLines="50" w:afterAutospacing="0" w:line="276" w:lineRule="auto"/>
        <w:ind w:firstLine="567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地址：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池州市</w:t>
      </w:r>
      <w:r>
        <w:rPr>
          <w:rFonts w:hint="eastAsia" w:ascii="仿宋" w:hAnsi="仿宋" w:eastAsia="仿宋"/>
          <w:sz w:val="30"/>
          <w:szCs w:val="30"/>
        </w:rPr>
        <w:t>贵池区殷汇镇人民政府</w:t>
      </w:r>
    </w:p>
    <w:p w14:paraId="4D3741B7">
      <w:pPr>
        <w:pStyle w:val="13"/>
        <w:shd w:val="clear" w:color="auto" w:fill="FFFFFF"/>
        <w:adjustRightInd w:val="0"/>
        <w:snapToGrid w:val="0"/>
        <w:spacing w:before="120" w:beforeLines="50" w:beforeAutospacing="0" w:after="120" w:afterLines="50" w:afterAutospacing="0" w:line="276" w:lineRule="auto"/>
        <w:ind w:firstLine="567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附：《贵池区殷汇镇</w:t>
      </w:r>
      <w:r>
        <w:rPr>
          <w:rFonts w:hint="eastAsia" w:ascii="仿宋" w:hAnsi="仿宋" w:eastAsia="仿宋"/>
          <w:sz w:val="30"/>
          <w:szCs w:val="30"/>
          <w:lang w:eastAsia="zh-CN"/>
        </w:rPr>
        <w:t>长庄村</w:t>
      </w:r>
      <w:r>
        <w:rPr>
          <w:rFonts w:hint="eastAsia" w:ascii="仿宋" w:hAnsi="仿宋" w:eastAsia="仿宋"/>
          <w:sz w:val="30"/>
          <w:szCs w:val="30"/>
        </w:rPr>
        <w:t>村庄规划（2021-2035年）》“三图一表一则”。</w:t>
      </w:r>
    </w:p>
    <w:p w14:paraId="5BE0E62A">
      <w:pPr>
        <w:pStyle w:val="13"/>
        <w:shd w:val="clear" w:color="auto" w:fill="FFFFFF"/>
        <w:adjustRightInd w:val="0"/>
        <w:snapToGrid w:val="0"/>
        <w:spacing w:before="120" w:beforeLines="50" w:beforeAutospacing="0" w:after="120" w:afterLines="50" w:afterAutospacing="0" w:line="276" w:lineRule="auto"/>
        <w:ind w:firstLine="567"/>
        <w:jc w:val="right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 xml:space="preserve">                     殷汇镇人民政府</w:t>
      </w:r>
    </w:p>
    <w:p w14:paraId="5DEACD8C">
      <w:pPr>
        <w:pStyle w:val="13"/>
        <w:shd w:val="clear" w:color="auto" w:fill="FFFFFF"/>
        <w:adjustRightInd w:val="0"/>
        <w:snapToGrid w:val="0"/>
        <w:spacing w:before="120" w:beforeLines="50" w:beforeAutospacing="0" w:after="120" w:afterLines="50" w:afterAutospacing="0" w:line="276" w:lineRule="auto"/>
        <w:ind w:firstLine="420"/>
        <w:jc w:val="right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2025年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8</w:t>
      </w:r>
      <w:r>
        <w:rPr>
          <w:rFonts w:hint="eastAsia" w:ascii="仿宋" w:hAnsi="仿宋" w:eastAsia="仿宋"/>
          <w:sz w:val="30"/>
          <w:szCs w:val="30"/>
        </w:rPr>
        <w:t>月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19</w:t>
      </w:r>
      <w:r>
        <w:rPr>
          <w:rFonts w:hint="eastAsia" w:ascii="仿宋" w:hAnsi="仿宋" w:eastAsia="仿宋"/>
          <w:sz w:val="30"/>
          <w:szCs w:val="30"/>
        </w:rPr>
        <w:t>日</w:t>
      </w:r>
      <w:bookmarkStart w:id="1" w:name="_GoBack"/>
      <w:bookmarkEnd w:id="1"/>
    </w:p>
    <w:p w14:paraId="13DC4A1B">
      <w:pPr>
        <w:pStyle w:val="5"/>
        <w:spacing w:line="448" w:lineRule="auto"/>
        <w:jc w:val="both"/>
        <w:rPr>
          <w:rFonts w:hint="eastAsia"/>
          <w:b/>
          <w:bCs/>
        </w:rPr>
      </w:pPr>
      <w:r>
        <w:drawing>
          <wp:inline distT="0" distB="0" distL="0" distR="0">
            <wp:extent cx="5581650" cy="3947795"/>
            <wp:effectExtent l="0" t="0" r="0" b="14605"/>
            <wp:docPr id="1372538691" name="图片 2" descr="H:/池州市贵池区村庄规划/长庄村/03、图件/06 村域国土空间规划图.jpg06 村域国土空间规划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2538691" name="图片 2" descr="H:/池州市贵池区村庄规划/长庄村/03、图件/06 村域国土空间规划图.jpg06 村域国土空间规划图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6" r="16"/>
                    <a:stretch>
                      <a:fillRect/>
                    </a:stretch>
                  </pic:blipFill>
                  <pic:spPr>
                    <a:xfrm>
                      <a:off x="0" y="0"/>
                      <a:ext cx="5585443" cy="394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699125" cy="4030980"/>
            <wp:effectExtent l="0" t="0" r="15875" b="7620"/>
            <wp:docPr id="508368842" name="图片 1" descr="H:/池州市贵池区村庄规划/长庄村/03、图件/15 重点区域规划图.jpg15 重点区域规划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368842" name="图片 1" descr="H:/池州市贵池区村庄规划/长庄村/03、图件/15 重点区域规划图.jpg15 重点区域规划图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6" r="16"/>
                    <a:stretch>
                      <a:fillRect/>
                    </a:stretch>
                  </pic:blipFill>
                  <pic:spPr>
                    <a:xfrm>
                      <a:off x="0" y="0"/>
                      <a:ext cx="5701086" cy="403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13A3E9">
      <w:pPr>
        <w:pStyle w:val="5"/>
        <w:jc w:val="both"/>
        <w:rPr>
          <w:rFonts w:hint="eastAsia"/>
          <w:b/>
          <w:bCs/>
          <w:sz w:val="28"/>
          <w:szCs w:val="28"/>
        </w:rPr>
      </w:pPr>
      <w:r>
        <w:drawing>
          <wp:inline distT="0" distB="0" distL="0" distR="0">
            <wp:extent cx="5676900" cy="4013835"/>
            <wp:effectExtent l="0" t="0" r="0" b="5715"/>
            <wp:docPr id="236109897" name="图片 4" descr="H:/池州市贵池区村庄规划/长庄村/03、图件/20 近期建设项目规划图.jpg20 近期建设项目规划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109897" name="图片 4" descr="H:/池州市贵池区村庄规划/长庄村/03、图件/20 近期建设项目规划图.jpg20 近期建设项目规划图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t="6" b="6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4015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83DAAA">
      <w:pPr>
        <w:pStyle w:val="5"/>
        <w:jc w:val="center"/>
        <w:rPr>
          <w:rFonts w:hint="eastAsia"/>
          <w:b/>
          <w:bCs/>
          <w:sz w:val="32"/>
          <w:szCs w:val="32"/>
        </w:rPr>
      </w:pPr>
    </w:p>
    <w:p w14:paraId="5D1C1394">
      <w:pPr>
        <w:pStyle w:val="5"/>
        <w:jc w:val="center"/>
        <w:rPr>
          <w:rFonts w:hint="eastAsia"/>
          <w:b/>
          <w:bCs/>
          <w:sz w:val="32"/>
          <w:szCs w:val="32"/>
        </w:rPr>
      </w:pPr>
    </w:p>
    <w:p w14:paraId="5B3B6CC4">
      <w:pPr>
        <w:pStyle w:val="5"/>
        <w:jc w:val="center"/>
        <w:rPr>
          <w:rFonts w:hint="eastAsia"/>
          <w:b/>
          <w:bCs/>
          <w:sz w:val="32"/>
          <w:szCs w:val="32"/>
        </w:rPr>
      </w:pPr>
    </w:p>
    <w:p w14:paraId="72094F4C">
      <w:pPr>
        <w:pStyle w:val="5"/>
        <w:jc w:val="center"/>
        <w:rPr>
          <w:rFonts w:hint="eastAsia"/>
          <w:b/>
          <w:bCs/>
          <w:sz w:val="32"/>
          <w:szCs w:val="32"/>
        </w:rPr>
      </w:pPr>
    </w:p>
    <w:p w14:paraId="039FEEED">
      <w:pPr>
        <w:pStyle w:val="5"/>
        <w:jc w:val="center"/>
        <w:rPr>
          <w:rFonts w:hint="eastAsia"/>
          <w:b/>
          <w:bCs/>
          <w:sz w:val="32"/>
          <w:szCs w:val="32"/>
        </w:rPr>
      </w:pPr>
    </w:p>
    <w:p w14:paraId="2AC7EDA7">
      <w:pPr>
        <w:pStyle w:val="5"/>
        <w:jc w:val="center"/>
        <w:rPr>
          <w:rFonts w:hint="eastAsia"/>
          <w:b/>
          <w:bCs/>
          <w:sz w:val="32"/>
          <w:szCs w:val="32"/>
        </w:rPr>
      </w:pPr>
    </w:p>
    <w:p w14:paraId="4D54D35E">
      <w:pPr>
        <w:pStyle w:val="5"/>
        <w:jc w:val="center"/>
        <w:rPr>
          <w:rFonts w:hint="eastAsia"/>
          <w:b/>
          <w:bCs/>
          <w:sz w:val="32"/>
          <w:szCs w:val="32"/>
        </w:rPr>
      </w:pPr>
    </w:p>
    <w:p w14:paraId="2CEEDCD7">
      <w:pPr>
        <w:pStyle w:val="5"/>
        <w:jc w:val="center"/>
        <w:rPr>
          <w:rFonts w:hint="eastAsia"/>
          <w:b/>
          <w:bCs/>
          <w:sz w:val="32"/>
          <w:szCs w:val="32"/>
        </w:rPr>
      </w:pPr>
    </w:p>
    <w:p w14:paraId="778C24A6">
      <w:pPr>
        <w:pStyle w:val="5"/>
        <w:jc w:val="center"/>
        <w:rPr>
          <w:rFonts w:hint="eastAsia"/>
          <w:b/>
          <w:bCs/>
          <w:sz w:val="32"/>
          <w:szCs w:val="32"/>
        </w:rPr>
      </w:pPr>
    </w:p>
    <w:p w14:paraId="26688E5E">
      <w:pPr>
        <w:pStyle w:val="5"/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近期建设项目（工程）表</w:t>
      </w:r>
    </w:p>
    <w:tbl>
      <w:tblPr>
        <w:tblStyle w:val="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7"/>
        <w:gridCol w:w="1115"/>
        <w:gridCol w:w="1495"/>
        <w:gridCol w:w="875"/>
        <w:gridCol w:w="3462"/>
        <w:gridCol w:w="1422"/>
      </w:tblGrid>
      <w:tr w14:paraId="76A101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DA25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2EE95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4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B872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项目类型</w:t>
            </w:r>
          </w:p>
        </w:tc>
        <w:tc>
          <w:tcPr>
            <w:tcW w:w="8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820AB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建设规模</w:t>
            </w:r>
          </w:p>
        </w:tc>
        <w:tc>
          <w:tcPr>
            <w:tcW w:w="346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95F3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建设内容</w:t>
            </w:r>
          </w:p>
        </w:tc>
        <w:tc>
          <w:tcPr>
            <w:tcW w:w="14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E7BE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建设时限</w:t>
            </w:r>
          </w:p>
        </w:tc>
      </w:tr>
      <w:tr w14:paraId="38A9D0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FA46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457D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国土综合整治和生态修复</w:t>
            </w:r>
          </w:p>
        </w:tc>
        <w:tc>
          <w:tcPr>
            <w:tcW w:w="14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0AD4D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农村建设用地复垦项目</w:t>
            </w:r>
          </w:p>
        </w:tc>
        <w:tc>
          <w:tcPr>
            <w:tcW w:w="8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4A46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0.44</w:t>
            </w:r>
            <w:r>
              <w:rPr>
                <w:rStyle w:val="16"/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 w:bidi="ar"/>
              </w:rPr>
              <w:t>公顷</w:t>
            </w:r>
          </w:p>
        </w:tc>
        <w:tc>
          <w:tcPr>
            <w:tcW w:w="34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BF3C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近期对搬迁撤并后的农村建设用地进行复垦</w:t>
            </w:r>
          </w:p>
        </w:tc>
        <w:tc>
          <w:tcPr>
            <w:tcW w:w="142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9B37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2023-2025</w:t>
            </w:r>
          </w:p>
        </w:tc>
      </w:tr>
      <w:tr w14:paraId="551DD8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F6AE3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F915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4A07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高标准农田建设</w:t>
            </w:r>
          </w:p>
        </w:tc>
        <w:tc>
          <w:tcPr>
            <w:tcW w:w="8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AF45B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109.63</w:t>
            </w:r>
            <w:r>
              <w:rPr>
                <w:rStyle w:val="16"/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 w:bidi="ar"/>
              </w:rPr>
              <w:t>公顷</w:t>
            </w:r>
          </w:p>
        </w:tc>
        <w:tc>
          <w:tcPr>
            <w:tcW w:w="34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C2AA6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土地平整、灌排、机耕路等设施完善、蓄水坑塘挖深</w:t>
            </w:r>
          </w:p>
        </w:tc>
        <w:tc>
          <w:tcPr>
            <w:tcW w:w="142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D05C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</w:t>
            </w:r>
          </w:p>
        </w:tc>
      </w:tr>
      <w:tr w14:paraId="5CF5B7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FD5FA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249E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农村住房</w:t>
            </w:r>
          </w:p>
        </w:tc>
        <w:tc>
          <w:tcPr>
            <w:tcW w:w="14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39EA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农村住房新建</w:t>
            </w:r>
          </w:p>
        </w:tc>
        <w:tc>
          <w:tcPr>
            <w:tcW w:w="8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1253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——</w:t>
            </w:r>
          </w:p>
        </w:tc>
        <w:tc>
          <w:tcPr>
            <w:tcW w:w="34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1910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新建居民点，落实一户一宅</w:t>
            </w:r>
          </w:p>
        </w:tc>
        <w:tc>
          <w:tcPr>
            <w:tcW w:w="142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F177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2023-2025</w:t>
            </w:r>
          </w:p>
        </w:tc>
      </w:tr>
      <w:tr w14:paraId="59E288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01AA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8C7A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公共服务和公用设施项目</w:t>
            </w:r>
          </w:p>
        </w:tc>
        <w:tc>
          <w:tcPr>
            <w:tcW w:w="14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BF8D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干道拓展提升</w:t>
            </w:r>
          </w:p>
        </w:tc>
        <w:tc>
          <w:tcPr>
            <w:tcW w:w="8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B6AD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  <w:r>
              <w:rPr>
                <w:rStyle w:val="16"/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 w:bidi="ar"/>
              </w:rPr>
              <w:t>千米</w:t>
            </w:r>
          </w:p>
        </w:tc>
        <w:tc>
          <w:tcPr>
            <w:tcW w:w="34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FD88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对村庄内部部分狭窄干道进行拓宽提升，安置区域新建道路，使其满足日常会车通行条件、安置点道路建设</w:t>
            </w:r>
          </w:p>
        </w:tc>
        <w:tc>
          <w:tcPr>
            <w:tcW w:w="142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76C5E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2023-2025</w:t>
            </w:r>
          </w:p>
        </w:tc>
      </w:tr>
      <w:tr w14:paraId="15E46D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E512A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9796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27C3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巷道硬化提升</w:t>
            </w:r>
          </w:p>
        </w:tc>
        <w:tc>
          <w:tcPr>
            <w:tcW w:w="8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66C4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</w:t>
            </w:r>
            <w:r>
              <w:rPr>
                <w:rStyle w:val="16"/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 w:bidi="ar"/>
              </w:rPr>
              <w:t>平方米</w:t>
            </w:r>
          </w:p>
        </w:tc>
        <w:tc>
          <w:tcPr>
            <w:tcW w:w="34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BB25E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对村庄内部部分未硬化巷道进行硬化处理；安置区域新建道路</w:t>
            </w:r>
          </w:p>
        </w:tc>
        <w:tc>
          <w:tcPr>
            <w:tcW w:w="142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BEF49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2023-2025</w:t>
            </w:r>
          </w:p>
        </w:tc>
      </w:tr>
      <w:tr w14:paraId="262951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448F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F57A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1E14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公共厕所</w:t>
            </w:r>
          </w:p>
        </w:tc>
        <w:tc>
          <w:tcPr>
            <w:tcW w:w="8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FD9E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Style w:val="16"/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 w:bidi="ar"/>
              </w:rPr>
              <w:t>处</w:t>
            </w:r>
          </w:p>
        </w:tc>
        <w:tc>
          <w:tcPr>
            <w:tcW w:w="34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68FA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在中心村新建公共厕所</w:t>
            </w:r>
          </w:p>
        </w:tc>
        <w:tc>
          <w:tcPr>
            <w:tcW w:w="142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6AB84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2023-2025</w:t>
            </w:r>
          </w:p>
        </w:tc>
      </w:tr>
      <w:tr w14:paraId="3E79E5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15B20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A8CD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9208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污水处理设施</w:t>
            </w:r>
          </w:p>
        </w:tc>
        <w:tc>
          <w:tcPr>
            <w:tcW w:w="8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C028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Style w:val="16"/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 w:bidi="ar"/>
              </w:rPr>
              <w:t>座</w:t>
            </w:r>
          </w:p>
        </w:tc>
        <w:tc>
          <w:tcPr>
            <w:tcW w:w="34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2C1E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收集所有污水就地生态处理</w:t>
            </w:r>
          </w:p>
        </w:tc>
        <w:tc>
          <w:tcPr>
            <w:tcW w:w="142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78893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2023-2025</w:t>
            </w:r>
          </w:p>
        </w:tc>
      </w:tr>
      <w:tr w14:paraId="1C476E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01720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3854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A69F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污水管网敷设</w:t>
            </w:r>
          </w:p>
        </w:tc>
        <w:tc>
          <w:tcPr>
            <w:tcW w:w="87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10C7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2100</w:t>
            </w:r>
            <w:r>
              <w:rPr>
                <w:rStyle w:val="16"/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 w:bidi="ar"/>
              </w:rPr>
              <w:t>米</w:t>
            </w:r>
          </w:p>
        </w:tc>
        <w:tc>
          <w:tcPr>
            <w:tcW w:w="3462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EF50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保留村庄及新建工业铺设污水主管网</w:t>
            </w:r>
          </w:p>
        </w:tc>
        <w:tc>
          <w:tcPr>
            <w:tcW w:w="1422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C6C4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2023-2025</w:t>
            </w:r>
          </w:p>
        </w:tc>
      </w:tr>
      <w:tr w14:paraId="7A51C5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A8738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36D2F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B283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04BA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2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A906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2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A217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C710D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CC6F7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389E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41F6D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雨水管网</w:t>
            </w:r>
          </w:p>
        </w:tc>
        <w:tc>
          <w:tcPr>
            <w:tcW w:w="8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505B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2100</w:t>
            </w:r>
            <w:r>
              <w:rPr>
                <w:rStyle w:val="16"/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 w:bidi="ar"/>
              </w:rPr>
              <w:t>米</w:t>
            </w:r>
          </w:p>
        </w:tc>
        <w:tc>
          <w:tcPr>
            <w:tcW w:w="34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10A89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保留村庄铺设雨水主管网</w:t>
            </w:r>
          </w:p>
        </w:tc>
        <w:tc>
          <w:tcPr>
            <w:tcW w:w="142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180F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2023-2025</w:t>
            </w:r>
          </w:p>
        </w:tc>
      </w:tr>
      <w:tr w14:paraId="4C40F9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BC62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707C3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D45C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亮化工程</w:t>
            </w:r>
          </w:p>
        </w:tc>
        <w:tc>
          <w:tcPr>
            <w:tcW w:w="8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842FB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  <w:r>
              <w:rPr>
                <w:rStyle w:val="16"/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 w:bidi="ar"/>
              </w:rPr>
              <w:t>盏</w:t>
            </w:r>
          </w:p>
        </w:tc>
        <w:tc>
          <w:tcPr>
            <w:tcW w:w="34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C139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补充道路路灯及景观灯</w:t>
            </w:r>
          </w:p>
        </w:tc>
        <w:tc>
          <w:tcPr>
            <w:tcW w:w="142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752E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2023-2025</w:t>
            </w:r>
          </w:p>
        </w:tc>
      </w:tr>
      <w:tr w14:paraId="58C9B4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DC25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182A7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6E57A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秋浦河流域综合治理工程</w:t>
            </w:r>
          </w:p>
        </w:tc>
        <w:tc>
          <w:tcPr>
            <w:tcW w:w="8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1AFA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——</w:t>
            </w:r>
          </w:p>
        </w:tc>
        <w:tc>
          <w:tcPr>
            <w:tcW w:w="34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2324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秋浦河流域中游段治理</w:t>
            </w:r>
          </w:p>
        </w:tc>
        <w:tc>
          <w:tcPr>
            <w:tcW w:w="142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F2516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2023-2025</w:t>
            </w:r>
          </w:p>
        </w:tc>
      </w:tr>
      <w:tr w14:paraId="549F3C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B2282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7052A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CF17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道路拓宽</w:t>
            </w:r>
          </w:p>
        </w:tc>
        <w:tc>
          <w:tcPr>
            <w:tcW w:w="8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7BE7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4000</w:t>
            </w:r>
            <w:r>
              <w:rPr>
                <w:rStyle w:val="16"/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 w:bidi="ar"/>
              </w:rPr>
              <w:t>米</w:t>
            </w:r>
          </w:p>
        </w:tc>
        <w:tc>
          <w:tcPr>
            <w:tcW w:w="34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4782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沧埠至石城道路扩宽</w:t>
            </w:r>
          </w:p>
        </w:tc>
        <w:tc>
          <w:tcPr>
            <w:tcW w:w="142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AEE6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2023-2025</w:t>
            </w:r>
          </w:p>
        </w:tc>
      </w:tr>
      <w:tr w14:paraId="62D5BC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7BF8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9E97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BF23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环境综合整治</w:t>
            </w:r>
          </w:p>
        </w:tc>
        <w:tc>
          <w:tcPr>
            <w:tcW w:w="8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2A39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——</w:t>
            </w:r>
          </w:p>
        </w:tc>
        <w:tc>
          <w:tcPr>
            <w:tcW w:w="34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8053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对中心村、安置点范围内各种杆线进行整治；清理区域内残墙断垣、乱堆乱放和乱搭乱建；对危旧房屋进行拆除和修缮；</w:t>
            </w:r>
          </w:p>
        </w:tc>
        <w:tc>
          <w:tcPr>
            <w:tcW w:w="142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6F1F5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2023-2025</w:t>
            </w:r>
          </w:p>
        </w:tc>
      </w:tr>
      <w:tr w14:paraId="7D60DD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470DF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B7BF6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人居环境整治</w:t>
            </w:r>
          </w:p>
        </w:tc>
        <w:tc>
          <w:tcPr>
            <w:tcW w:w="14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3F03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绿化工程</w:t>
            </w:r>
          </w:p>
        </w:tc>
        <w:tc>
          <w:tcPr>
            <w:tcW w:w="8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BAA55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——</w:t>
            </w:r>
          </w:p>
        </w:tc>
        <w:tc>
          <w:tcPr>
            <w:tcW w:w="34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755D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以乔木和乡土树种为主，灌木为辅，中心村建成区绿化率达</w:t>
            </w:r>
            <w:r>
              <w:rPr>
                <w:rStyle w:val="17"/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 w:bidi="ar"/>
              </w:rPr>
              <w:t>40%</w:t>
            </w:r>
            <w:r>
              <w:rPr>
                <w:rStyle w:val="16"/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 w:bidi="ar"/>
              </w:rPr>
              <w:t>以上，道路和河渠绿化</w:t>
            </w:r>
            <w:r>
              <w:rPr>
                <w:rStyle w:val="17"/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 w:bidi="ar"/>
              </w:rPr>
              <w:t>90%</w:t>
            </w:r>
            <w:r>
              <w:rPr>
                <w:rStyle w:val="16"/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 w:bidi="ar"/>
              </w:rPr>
              <w:t>以上</w:t>
            </w:r>
          </w:p>
        </w:tc>
        <w:tc>
          <w:tcPr>
            <w:tcW w:w="142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E2438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2023-2025</w:t>
            </w:r>
          </w:p>
        </w:tc>
      </w:tr>
      <w:tr w14:paraId="6A6479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03866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7184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C396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美化工程</w:t>
            </w:r>
          </w:p>
        </w:tc>
        <w:tc>
          <w:tcPr>
            <w:tcW w:w="8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21595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——</w:t>
            </w:r>
          </w:p>
        </w:tc>
        <w:tc>
          <w:tcPr>
            <w:tcW w:w="34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FA2E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景观节点建设、村庄入口标识建设</w:t>
            </w:r>
          </w:p>
        </w:tc>
        <w:tc>
          <w:tcPr>
            <w:tcW w:w="142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E5957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2023-2025</w:t>
            </w:r>
          </w:p>
        </w:tc>
      </w:tr>
      <w:tr w14:paraId="3882DA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1D783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FAB2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6E4C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环卫工程</w:t>
            </w:r>
          </w:p>
        </w:tc>
        <w:tc>
          <w:tcPr>
            <w:tcW w:w="8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ED6B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——</w:t>
            </w:r>
          </w:p>
        </w:tc>
        <w:tc>
          <w:tcPr>
            <w:tcW w:w="34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4184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清理区域内所有积存垃圾和暴露垃圾，完成户分类投放，新增一处垃圾收集点</w:t>
            </w:r>
          </w:p>
        </w:tc>
        <w:tc>
          <w:tcPr>
            <w:tcW w:w="142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9F1A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2023-2025</w:t>
            </w:r>
          </w:p>
        </w:tc>
      </w:tr>
      <w:tr w14:paraId="7CBC60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A2C5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91578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4189F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水塘清淤整治</w:t>
            </w:r>
          </w:p>
        </w:tc>
        <w:tc>
          <w:tcPr>
            <w:tcW w:w="8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ABC7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4.51公顷</w:t>
            </w:r>
          </w:p>
        </w:tc>
        <w:tc>
          <w:tcPr>
            <w:tcW w:w="34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C358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对保留的村庄部分池塘水环境整治</w:t>
            </w:r>
          </w:p>
        </w:tc>
        <w:tc>
          <w:tcPr>
            <w:tcW w:w="142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74890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</w:t>
            </w:r>
          </w:p>
        </w:tc>
      </w:tr>
      <w:tr w14:paraId="0A0E83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7F9D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646C7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产业发展</w:t>
            </w:r>
          </w:p>
        </w:tc>
        <w:tc>
          <w:tcPr>
            <w:tcW w:w="14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C3BC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茶叶种植园</w:t>
            </w:r>
          </w:p>
        </w:tc>
        <w:tc>
          <w:tcPr>
            <w:tcW w:w="8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7335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——</w:t>
            </w:r>
          </w:p>
        </w:tc>
        <w:tc>
          <w:tcPr>
            <w:tcW w:w="34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446A3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建设茶叶种植园及其相关配套的茶叶加工厂</w:t>
            </w:r>
          </w:p>
        </w:tc>
        <w:tc>
          <w:tcPr>
            <w:tcW w:w="142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1BA2F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2023-2025</w:t>
            </w:r>
          </w:p>
        </w:tc>
      </w:tr>
      <w:tr w14:paraId="0BED60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6953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34838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合计</w:t>
            </w:r>
          </w:p>
        </w:tc>
        <w:tc>
          <w:tcPr>
            <w:tcW w:w="14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424D2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——</w:t>
            </w:r>
          </w:p>
        </w:tc>
        <w:tc>
          <w:tcPr>
            <w:tcW w:w="8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D52F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——</w:t>
            </w:r>
          </w:p>
        </w:tc>
        <w:tc>
          <w:tcPr>
            <w:tcW w:w="346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7E956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——</w:t>
            </w:r>
          </w:p>
        </w:tc>
        <w:tc>
          <w:tcPr>
            <w:tcW w:w="142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3E91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——</w:t>
            </w:r>
          </w:p>
        </w:tc>
      </w:tr>
    </w:tbl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30"/>
      </w:tblGrid>
      <w:tr w14:paraId="186400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630" w:type="dxa"/>
            <w:vAlign w:val="top"/>
          </w:tcPr>
          <w:p w14:paraId="38DCCC36">
            <w:pPr>
              <w:pStyle w:val="5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zh-CN"/>
              </w:rPr>
              <w:t>长庄村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国土空间用途管制规则</w:t>
            </w:r>
          </w:p>
          <w:p w14:paraId="09930751">
            <w:pPr>
              <w:pStyle w:val="5"/>
              <w:spacing w:line="240" w:lineRule="auto"/>
              <w:ind w:firstLine="480" w:firstLineChars="200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规划期内在国土空间上进行的各类活动应按照以下规则进行，确需改变用途的，应按照国家和安徽省相关规定，对规划进行调整或修改。涉及永久基本农田、生态保护红线、历史文化保护线等有关控制线的，按照国家和安徽省有关要求进行管控。位于村庄建设边界外的村庄建设用地，在规划期内优先考虑按照实际情况逐步撤并，暂时不能撤并的，应保留现状用地规模和范围，不得扩大。 </w:t>
            </w:r>
          </w:p>
          <w:p w14:paraId="688C5DC7">
            <w:pPr>
              <w:pStyle w:val="5"/>
              <w:spacing w:line="240" w:lineRule="auto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1.耕地：</w:t>
            </w:r>
            <w:r>
              <w:rPr>
                <w:rFonts w:hint="eastAsia" w:ascii="宋体" w:hAnsi="宋体" w:eastAsia="宋体" w:cs="宋体"/>
                <w:lang w:eastAsia="zh-CN"/>
              </w:rPr>
              <w:t>长庄村</w:t>
            </w:r>
            <w:r>
              <w:rPr>
                <w:rFonts w:hint="eastAsia" w:ascii="宋体" w:hAnsi="宋体" w:eastAsia="宋体" w:cs="宋体"/>
              </w:rPr>
              <w:t>耕地保有量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114.12</w:t>
            </w:r>
            <w:r>
              <w:rPr>
                <w:rFonts w:hint="eastAsia" w:ascii="宋体" w:hAnsi="宋体" w:eastAsia="宋体" w:cs="宋体"/>
              </w:rPr>
              <w:t>公顷，已划定永久基本农田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109.63</w:t>
            </w:r>
            <w:r>
              <w:rPr>
                <w:rFonts w:hint="eastAsia" w:ascii="宋体" w:hAnsi="宋体" w:eastAsia="宋体" w:cs="宋体"/>
              </w:rPr>
              <w:t xml:space="preserve">公顷。永久基本农田重点用于粮食生产，高标准农田原则上全部用于粮食生产，一般耕地主要用于粮食和棉、油、糖、蔬菜等农产品及饲草饲料生产，在不破坏耕地耕作层且不造成耕地地类改变的前提下，可以适度种植其他农作物。禁止非农建设和破坏耕作层、改变耕地地类的农业生产活动。 </w:t>
            </w:r>
          </w:p>
          <w:p w14:paraId="6BF693B3">
            <w:pPr>
              <w:pStyle w:val="5"/>
              <w:spacing w:line="24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2.园地</w:t>
            </w:r>
            <w:r>
              <w:rPr>
                <w:rFonts w:hint="eastAsia" w:ascii="宋体" w:hAnsi="宋体" w:eastAsia="宋体" w:cs="宋体"/>
              </w:rPr>
              <w:t>：</w:t>
            </w:r>
            <w:r>
              <w:rPr>
                <w:rFonts w:hint="eastAsia" w:ascii="宋体" w:hAnsi="宋体" w:eastAsia="宋体" w:cs="宋体"/>
                <w:lang w:eastAsia="zh-CN"/>
              </w:rPr>
              <w:t>长庄村</w:t>
            </w:r>
            <w:r>
              <w:rPr>
                <w:rFonts w:hint="eastAsia" w:ascii="宋体" w:hAnsi="宋体" w:eastAsia="宋体" w:cs="宋体"/>
              </w:rPr>
              <w:t>园地0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14.69</w:t>
            </w:r>
            <w:r>
              <w:rPr>
                <w:rFonts w:hint="eastAsia" w:ascii="宋体" w:hAnsi="宋体" w:eastAsia="宋体" w:cs="宋体"/>
              </w:rPr>
              <w:t>公顷。主要用于种植以采集果、叶、根、茎、汁等为主的集约经营的多年生木本和草本作物，禁止非农建设。</w:t>
            </w:r>
          </w:p>
          <w:p w14:paraId="6D8D3642">
            <w:pPr>
              <w:pStyle w:val="5"/>
              <w:spacing w:line="24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3.林地</w:t>
            </w:r>
            <w:r>
              <w:rPr>
                <w:rFonts w:hint="eastAsia" w:ascii="宋体" w:hAnsi="宋体" w:eastAsia="宋体" w:cs="宋体"/>
              </w:rPr>
              <w:t>：</w:t>
            </w:r>
            <w:r>
              <w:rPr>
                <w:rFonts w:hint="eastAsia" w:ascii="宋体" w:hAnsi="宋体" w:eastAsia="宋体" w:cs="宋体"/>
                <w:lang w:eastAsia="zh-CN"/>
              </w:rPr>
              <w:t>长庄村</w:t>
            </w:r>
            <w:r>
              <w:rPr>
                <w:rFonts w:hint="eastAsia" w:ascii="宋体" w:hAnsi="宋体" w:eastAsia="宋体" w:cs="宋体"/>
              </w:rPr>
              <w:t>林地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284.68</w:t>
            </w:r>
            <w:r>
              <w:rPr>
                <w:rFonts w:hint="eastAsia" w:ascii="宋体" w:hAnsi="宋体" w:eastAsia="宋体" w:cs="宋体"/>
              </w:rPr>
              <w:t xml:space="preserve">公顷。主要用于生长乔木、竹类、灌木，禁止非农建设。公益林或生态保护红线范围内的林地禁止改变用途。 </w:t>
            </w:r>
          </w:p>
          <w:p w14:paraId="7C89FAE2">
            <w:pPr>
              <w:pStyle w:val="5"/>
              <w:spacing w:line="24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4.草地</w:t>
            </w:r>
            <w:r>
              <w:rPr>
                <w:rFonts w:hint="eastAsia" w:ascii="宋体" w:hAnsi="宋体" w:eastAsia="宋体" w:cs="宋体"/>
              </w:rPr>
              <w:t>：</w:t>
            </w:r>
            <w:r>
              <w:rPr>
                <w:rFonts w:hint="eastAsia" w:ascii="宋体" w:hAnsi="宋体" w:eastAsia="宋体" w:cs="宋体"/>
                <w:lang w:eastAsia="zh-CN"/>
              </w:rPr>
              <w:t>长庄村</w:t>
            </w:r>
            <w:r>
              <w:rPr>
                <w:rFonts w:hint="eastAsia" w:ascii="宋体" w:hAnsi="宋体" w:eastAsia="宋体" w:cs="宋体"/>
              </w:rPr>
              <w:t>草地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3.58</w:t>
            </w:r>
            <w:r>
              <w:rPr>
                <w:rFonts w:hint="eastAsia" w:ascii="宋体" w:hAnsi="宋体" w:eastAsia="宋体" w:cs="宋体"/>
              </w:rPr>
              <w:t>公顷。主要用于生长草本植物，禁止非农建设。生态保护红线范围内的草地禁止改变用途。</w:t>
            </w:r>
          </w:p>
          <w:p w14:paraId="622BA7CF">
            <w:pPr>
              <w:pStyle w:val="5"/>
              <w:spacing w:line="24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/>
                <w:bCs/>
              </w:rPr>
              <w:t>.农业设施建设用地</w:t>
            </w:r>
            <w:r>
              <w:rPr>
                <w:rFonts w:hint="eastAsia" w:ascii="宋体" w:hAnsi="宋体" w:eastAsia="宋体" w:cs="宋体"/>
              </w:rPr>
              <w:t>：</w:t>
            </w:r>
            <w:r>
              <w:rPr>
                <w:rFonts w:hint="eastAsia" w:ascii="宋体" w:hAnsi="宋体" w:eastAsia="宋体" w:cs="宋体"/>
                <w:lang w:eastAsia="zh-CN"/>
              </w:rPr>
              <w:t>长庄村</w:t>
            </w:r>
            <w:r>
              <w:rPr>
                <w:rFonts w:hint="eastAsia" w:ascii="宋体" w:hAnsi="宋体" w:eastAsia="宋体" w:cs="宋体"/>
              </w:rPr>
              <w:t>农业设施建设用地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3.22</w:t>
            </w:r>
            <w:r>
              <w:rPr>
                <w:rFonts w:hint="eastAsia" w:ascii="宋体" w:hAnsi="宋体" w:eastAsia="宋体" w:cs="宋体"/>
              </w:rPr>
              <w:t>公顷。主要用于建设为农业生产、农村生活服务的乡村道路用地以及种植设施、畜禽养殖设施、水产养殖设施，禁止非农建设。</w:t>
            </w:r>
          </w:p>
          <w:p w14:paraId="3FD18FA8">
            <w:pPr>
              <w:pStyle w:val="5"/>
              <w:spacing w:line="24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b/>
                <w:bCs/>
              </w:rPr>
              <w:t>.居住用地</w:t>
            </w:r>
            <w:r>
              <w:rPr>
                <w:rFonts w:hint="eastAsia" w:ascii="宋体" w:hAnsi="宋体" w:eastAsia="宋体" w:cs="宋体"/>
              </w:rPr>
              <w:t>：</w:t>
            </w:r>
            <w:bookmarkStart w:id="0" w:name="OLE_LINK13"/>
            <w:r>
              <w:rPr>
                <w:rFonts w:hint="eastAsia" w:ascii="宋体" w:hAnsi="宋体" w:eastAsia="宋体" w:cs="宋体"/>
                <w:lang w:eastAsia="zh-CN"/>
              </w:rPr>
              <w:t>长庄村</w:t>
            </w:r>
            <w:r>
              <w:rPr>
                <w:rFonts w:hint="eastAsia" w:ascii="宋体" w:hAnsi="宋体" w:eastAsia="宋体" w:cs="宋体"/>
              </w:rPr>
              <w:t>居住用地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30.65</w:t>
            </w:r>
            <w:r>
              <w:rPr>
                <w:rFonts w:hint="eastAsia" w:ascii="宋体" w:hAnsi="宋体" w:eastAsia="宋体" w:cs="宋体"/>
              </w:rPr>
              <w:t>公顷</w:t>
            </w:r>
            <w:bookmarkEnd w:id="0"/>
            <w:r>
              <w:rPr>
                <w:rFonts w:hint="eastAsia" w:ascii="宋体" w:hAnsi="宋体" w:eastAsia="宋体" w:cs="宋体"/>
              </w:rPr>
              <w:t xml:space="preserve">。主要用于城乡住宅及其居住生活配套的社区服务设施建设。 </w:t>
            </w:r>
          </w:p>
          <w:p w14:paraId="6581099A">
            <w:pPr>
              <w:pStyle w:val="5"/>
              <w:spacing w:line="24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b/>
                <w:bCs/>
              </w:rPr>
              <w:t>.公共管理与公共服务用地</w:t>
            </w:r>
            <w:r>
              <w:rPr>
                <w:rFonts w:hint="eastAsia" w:ascii="宋体" w:hAnsi="宋体" w:eastAsia="宋体" w:cs="宋体"/>
              </w:rPr>
              <w:t>：</w:t>
            </w:r>
            <w:r>
              <w:rPr>
                <w:rFonts w:hint="eastAsia" w:ascii="宋体" w:hAnsi="宋体" w:eastAsia="宋体" w:cs="宋体"/>
                <w:lang w:eastAsia="zh-CN"/>
              </w:rPr>
              <w:t>长庄村</w:t>
            </w:r>
            <w:r>
              <w:rPr>
                <w:rFonts w:hint="eastAsia" w:ascii="宋体" w:hAnsi="宋体" w:eastAsia="宋体" w:cs="宋体"/>
              </w:rPr>
              <w:t>公共管理与公共服务用地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0.18</w:t>
            </w:r>
            <w:r>
              <w:rPr>
                <w:rFonts w:hint="eastAsia" w:ascii="宋体" w:hAnsi="宋体" w:eastAsia="宋体" w:cs="宋体"/>
              </w:rPr>
              <w:t xml:space="preserve">公顷。主要用于机关团体、科研、文化、教育、体育、卫生、社会福利等机构和设施建设。 </w:t>
            </w:r>
          </w:p>
          <w:p w14:paraId="225A5687">
            <w:pPr>
              <w:pStyle w:val="5"/>
              <w:spacing w:line="24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b/>
                <w:bCs/>
              </w:rPr>
              <w:t>.商业服务业用地</w:t>
            </w:r>
            <w:r>
              <w:rPr>
                <w:rFonts w:hint="eastAsia" w:ascii="宋体" w:hAnsi="宋体" w:eastAsia="宋体" w:cs="宋体"/>
              </w:rPr>
              <w:t>：</w:t>
            </w:r>
            <w:r>
              <w:rPr>
                <w:rFonts w:hint="eastAsia" w:ascii="宋体" w:hAnsi="宋体" w:eastAsia="宋体" w:cs="宋体"/>
                <w:lang w:eastAsia="zh-CN"/>
              </w:rPr>
              <w:t>长庄村</w:t>
            </w:r>
            <w:r>
              <w:rPr>
                <w:rFonts w:hint="eastAsia" w:ascii="宋体" w:hAnsi="宋体" w:eastAsia="宋体" w:cs="宋体"/>
              </w:rPr>
              <w:t>商业服务业用地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0.38</w:t>
            </w:r>
            <w:r>
              <w:rPr>
                <w:rFonts w:hint="eastAsia" w:ascii="宋体" w:hAnsi="宋体" w:eastAsia="宋体" w:cs="宋体"/>
              </w:rPr>
              <w:t>公顷。主要用于商业、商务金融以及娱乐康体等设施建设。</w:t>
            </w:r>
          </w:p>
          <w:p w14:paraId="7EB63D00">
            <w:pPr>
              <w:pStyle w:val="5"/>
              <w:spacing w:line="24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b/>
                <w:bCs/>
              </w:rPr>
              <w:t>.工矿用地</w:t>
            </w:r>
            <w:r>
              <w:rPr>
                <w:rFonts w:hint="eastAsia" w:ascii="宋体" w:hAnsi="宋体" w:eastAsia="宋体" w:cs="宋体"/>
              </w:rPr>
              <w:t>：</w:t>
            </w:r>
            <w:r>
              <w:rPr>
                <w:rFonts w:hint="eastAsia" w:ascii="宋体" w:hAnsi="宋体" w:eastAsia="宋体" w:cs="宋体"/>
                <w:lang w:eastAsia="zh-CN"/>
              </w:rPr>
              <w:t>长庄村</w:t>
            </w:r>
            <w:r>
              <w:rPr>
                <w:rFonts w:hint="eastAsia" w:ascii="宋体" w:hAnsi="宋体" w:eastAsia="宋体" w:cs="宋体"/>
              </w:rPr>
              <w:t>工矿用地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0.39</w:t>
            </w:r>
            <w:r>
              <w:rPr>
                <w:rFonts w:hint="eastAsia" w:ascii="宋体" w:hAnsi="宋体" w:eastAsia="宋体" w:cs="宋体"/>
              </w:rPr>
              <w:t>公顷。主要用于工矿业生产。</w:t>
            </w:r>
          </w:p>
          <w:p w14:paraId="304F1F8A">
            <w:pPr>
              <w:pStyle w:val="5"/>
              <w:spacing w:line="24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b/>
                <w:bCs/>
              </w:rPr>
              <w:t>.交通运输用地</w:t>
            </w:r>
            <w:r>
              <w:rPr>
                <w:rFonts w:hint="eastAsia" w:ascii="宋体" w:hAnsi="宋体" w:eastAsia="宋体" w:cs="宋体"/>
              </w:rPr>
              <w:t>：</w:t>
            </w:r>
            <w:r>
              <w:rPr>
                <w:rFonts w:hint="eastAsia" w:ascii="宋体" w:hAnsi="宋体" w:eastAsia="宋体" w:cs="宋体"/>
                <w:lang w:eastAsia="zh-CN"/>
              </w:rPr>
              <w:t>长庄村</w:t>
            </w:r>
            <w:r>
              <w:rPr>
                <w:rFonts w:hint="eastAsia" w:ascii="宋体" w:hAnsi="宋体" w:eastAsia="宋体" w:cs="宋体"/>
              </w:rPr>
              <w:t>交通运输用地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2.88</w:t>
            </w:r>
            <w:r>
              <w:rPr>
                <w:rFonts w:hint="eastAsia" w:ascii="宋体" w:hAnsi="宋体" w:eastAsia="宋体" w:cs="宋体"/>
              </w:rPr>
              <w:t xml:space="preserve">公顷。主要用于铁路、公路、机场、港口码头、管道运输、城市轨道交通、各种道路以及交通场站等交通运输设施及其附属设施建设。 </w:t>
            </w:r>
          </w:p>
          <w:p w14:paraId="3A94F7F5">
            <w:pPr>
              <w:pStyle w:val="5"/>
              <w:spacing w:line="240" w:lineRule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1</w:t>
            </w:r>
            <w:r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b/>
                <w:bCs/>
              </w:rPr>
              <w:t>.公用设施用地</w:t>
            </w:r>
            <w:r>
              <w:rPr>
                <w:rFonts w:hint="eastAsia" w:ascii="宋体" w:hAnsi="宋体" w:eastAsia="宋体" w:cs="宋体"/>
              </w:rPr>
              <w:t>：</w:t>
            </w:r>
            <w:r>
              <w:rPr>
                <w:rFonts w:hint="eastAsia" w:ascii="宋体" w:hAnsi="宋体" w:eastAsia="宋体" w:cs="宋体"/>
                <w:lang w:eastAsia="zh-CN"/>
              </w:rPr>
              <w:t>长庄村</w:t>
            </w:r>
            <w:r>
              <w:rPr>
                <w:rFonts w:hint="eastAsia" w:ascii="宋体" w:hAnsi="宋体" w:eastAsia="宋体" w:cs="宋体"/>
              </w:rPr>
              <w:t>公用设施用地3.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99</w:t>
            </w:r>
            <w:r>
              <w:rPr>
                <w:rFonts w:hint="eastAsia" w:ascii="宋体" w:hAnsi="宋体" w:eastAsia="宋体" w:cs="宋体"/>
              </w:rPr>
              <w:t xml:space="preserve">公顷。主要用于城乡和区域基础设施的供水、排水、供电、供燃气、供热、通信、邮政、广播电视、环卫、消防、干渠、水工等设施建设。   </w:t>
            </w:r>
          </w:p>
          <w:p w14:paraId="7FF941F3">
            <w:pPr>
              <w:pStyle w:val="5"/>
              <w:spacing w:line="240" w:lineRule="auto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  <w:t>12</w:t>
            </w:r>
            <w:r>
              <w:rPr>
                <w:rFonts w:hint="eastAsia" w:ascii="宋体" w:hAnsi="宋体" w:eastAsia="宋体" w:cs="宋体"/>
                <w:b/>
                <w:bCs/>
              </w:rPr>
              <w:t>.陆地水域</w:t>
            </w:r>
            <w:r>
              <w:rPr>
                <w:rFonts w:hint="eastAsia" w:ascii="宋体" w:hAnsi="宋体" w:eastAsia="宋体" w:cs="宋体"/>
              </w:rPr>
              <w:t>：</w:t>
            </w:r>
            <w:r>
              <w:rPr>
                <w:rFonts w:hint="eastAsia" w:ascii="宋体" w:hAnsi="宋体" w:eastAsia="宋体" w:cs="宋体"/>
                <w:lang w:eastAsia="zh-CN"/>
              </w:rPr>
              <w:t>长庄村</w:t>
            </w:r>
            <w:r>
              <w:rPr>
                <w:rFonts w:hint="eastAsia" w:ascii="宋体" w:hAnsi="宋体" w:eastAsia="宋体" w:cs="宋体"/>
              </w:rPr>
              <w:t>陆地水域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23.20</w:t>
            </w:r>
            <w:r>
              <w:rPr>
                <w:rFonts w:hint="eastAsia" w:ascii="宋体" w:hAnsi="宋体" w:eastAsia="宋体" w:cs="宋体"/>
              </w:rPr>
              <w:t>公顷。主要为陆域内的河流、湖泊等天然陆地水域，以及水库、坑塘水面、沟渠等人工陆地水域。河流、湖泊、水库禁止改变用途，坑塘水面、沟渠禁止非农建设。</w:t>
            </w:r>
          </w:p>
        </w:tc>
      </w:tr>
    </w:tbl>
    <w:p w14:paraId="4F68F80D">
      <w:pPr>
        <w:pStyle w:val="5"/>
        <w:rPr>
          <w:rFonts w:hint="eastAsia"/>
          <w:b/>
          <w:bCs/>
          <w:sz w:val="28"/>
          <w:szCs w:val="28"/>
        </w:rPr>
      </w:pPr>
    </w:p>
    <w:sectPr>
      <w:pgSz w:w="12240" w:h="15840"/>
      <w:pgMar w:top="1440" w:right="1800" w:bottom="1440" w:left="18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ZhYzYxNmE4NzRiN2VlMThlMjZlYTEzNzA0MGU4YzEifQ=="/>
  </w:docVars>
  <w:rsids>
    <w:rsidRoot w:val="0053789F"/>
    <w:rsid w:val="00001F99"/>
    <w:rsid w:val="00004479"/>
    <w:rsid w:val="000109B3"/>
    <w:rsid w:val="000171A5"/>
    <w:rsid w:val="00027DC1"/>
    <w:rsid w:val="00031756"/>
    <w:rsid w:val="00047E2A"/>
    <w:rsid w:val="000A554D"/>
    <w:rsid w:val="000B3480"/>
    <w:rsid w:val="000B64BA"/>
    <w:rsid w:val="000E72D0"/>
    <w:rsid w:val="00136D68"/>
    <w:rsid w:val="00167CCE"/>
    <w:rsid w:val="00170C3E"/>
    <w:rsid w:val="00176A44"/>
    <w:rsid w:val="001B17E0"/>
    <w:rsid w:val="00212CEE"/>
    <w:rsid w:val="00256C07"/>
    <w:rsid w:val="00267F41"/>
    <w:rsid w:val="00286D56"/>
    <w:rsid w:val="002B26D8"/>
    <w:rsid w:val="002B69A1"/>
    <w:rsid w:val="002C56DC"/>
    <w:rsid w:val="002E1A3E"/>
    <w:rsid w:val="002F63FA"/>
    <w:rsid w:val="00303E4B"/>
    <w:rsid w:val="00317A63"/>
    <w:rsid w:val="00330564"/>
    <w:rsid w:val="00347C69"/>
    <w:rsid w:val="003B111A"/>
    <w:rsid w:val="003B48E2"/>
    <w:rsid w:val="00427D2F"/>
    <w:rsid w:val="00442AC2"/>
    <w:rsid w:val="004A1B31"/>
    <w:rsid w:val="004B6802"/>
    <w:rsid w:val="004D3C57"/>
    <w:rsid w:val="005308D0"/>
    <w:rsid w:val="0053476C"/>
    <w:rsid w:val="0053789F"/>
    <w:rsid w:val="00550DE7"/>
    <w:rsid w:val="00551AEE"/>
    <w:rsid w:val="005916D3"/>
    <w:rsid w:val="005A5CE6"/>
    <w:rsid w:val="005C3C95"/>
    <w:rsid w:val="005D5040"/>
    <w:rsid w:val="00603F6B"/>
    <w:rsid w:val="006549BC"/>
    <w:rsid w:val="00681F8C"/>
    <w:rsid w:val="006857A5"/>
    <w:rsid w:val="00690C0E"/>
    <w:rsid w:val="00693462"/>
    <w:rsid w:val="0069471C"/>
    <w:rsid w:val="006A0632"/>
    <w:rsid w:val="006A1A2E"/>
    <w:rsid w:val="006B4762"/>
    <w:rsid w:val="006D2F50"/>
    <w:rsid w:val="006D7878"/>
    <w:rsid w:val="00705515"/>
    <w:rsid w:val="00767D3B"/>
    <w:rsid w:val="00783CF0"/>
    <w:rsid w:val="007921E0"/>
    <w:rsid w:val="007A6580"/>
    <w:rsid w:val="007C42B0"/>
    <w:rsid w:val="007E0095"/>
    <w:rsid w:val="007E0AFE"/>
    <w:rsid w:val="007E3489"/>
    <w:rsid w:val="008253F7"/>
    <w:rsid w:val="008614D8"/>
    <w:rsid w:val="0087479B"/>
    <w:rsid w:val="00891C8B"/>
    <w:rsid w:val="008A22E4"/>
    <w:rsid w:val="008A7161"/>
    <w:rsid w:val="008B3D33"/>
    <w:rsid w:val="008C47A9"/>
    <w:rsid w:val="00916F9E"/>
    <w:rsid w:val="009459EA"/>
    <w:rsid w:val="00957C2C"/>
    <w:rsid w:val="009636EE"/>
    <w:rsid w:val="00982AB1"/>
    <w:rsid w:val="009A4812"/>
    <w:rsid w:val="009D3176"/>
    <w:rsid w:val="009F0909"/>
    <w:rsid w:val="00A04F47"/>
    <w:rsid w:val="00A51BDA"/>
    <w:rsid w:val="00A6730B"/>
    <w:rsid w:val="00A872DF"/>
    <w:rsid w:val="00B11239"/>
    <w:rsid w:val="00B36132"/>
    <w:rsid w:val="00B431E9"/>
    <w:rsid w:val="00B516B1"/>
    <w:rsid w:val="00B61563"/>
    <w:rsid w:val="00B7018C"/>
    <w:rsid w:val="00B969FA"/>
    <w:rsid w:val="00C22421"/>
    <w:rsid w:val="00C23921"/>
    <w:rsid w:val="00C26E1A"/>
    <w:rsid w:val="00C30619"/>
    <w:rsid w:val="00C4046C"/>
    <w:rsid w:val="00C45A9F"/>
    <w:rsid w:val="00CA1FB4"/>
    <w:rsid w:val="00CA4727"/>
    <w:rsid w:val="00CA49A3"/>
    <w:rsid w:val="00CA5646"/>
    <w:rsid w:val="00CB6980"/>
    <w:rsid w:val="00CF781E"/>
    <w:rsid w:val="00D20BEF"/>
    <w:rsid w:val="00D246C5"/>
    <w:rsid w:val="00D50392"/>
    <w:rsid w:val="00D51B74"/>
    <w:rsid w:val="00D523FC"/>
    <w:rsid w:val="00D53D1D"/>
    <w:rsid w:val="00D55DAE"/>
    <w:rsid w:val="00D72B12"/>
    <w:rsid w:val="00DF063B"/>
    <w:rsid w:val="00E07611"/>
    <w:rsid w:val="00E310D7"/>
    <w:rsid w:val="00E56581"/>
    <w:rsid w:val="00E61766"/>
    <w:rsid w:val="00E947D5"/>
    <w:rsid w:val="00EA682A"/>
    <w:rsid w:val="00EE0DC2"/>
    <w:rsid w:val="00F14A7D"/>
    <w:rsid w:val="00F537A8"/>
    <w:rsid w:val="00F57CDD"/>
    <w:rsid w:val="00F657C7"/>
    <w:rsid w:val="058F45C0"/>
    <w:rsid w:val="13F65235"/>
    <w:rsid w:val="19182A5A"/>
    <w:rsid w:val="21E85C1A"/>
    <w:rsid w:val="24E03A54"/>
    <w:rsid w:val="263112B0"/>
    <w:rsid w:val="2CAC795C"/>
    <w:rsid w:val="45630FDF"/>
    <w:rsid w:val="47560017"/>
    <w:rsid w:val="61485357"/>
    <w:rsid w:val="6B115B35"/>
    <w:rsid w:val="74486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sz w:val="24"/>
      <w:szCs w:val="24"/>
      <w:lang w:val="en-US" w:eastAsia="zh-CN" w:bidi="ar-SA"/>
    </w:rPr>
  </w:style>
  <w:style w:type="paragraph" w:styleId="2">
    <w:name w:val="heading 2"/>
    <w:basedOn w:val="1"/>
    <w:link w:val="9"/>
    <w:qFormat/>
    <w:uiPriority w:val="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</w:pPr>
  </w:style>
  <w:style w:type="table" w:styleId="7">
    <w:name w:val="Table Grid"/>
    <w:basedOn w:val="6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标题 2 字符"/>
    <w:basedOn w:val="8"/>
    <w:link w:val="2"/>
    <w:semiHidden/>
    <w:qFormat/>
    <w:locked/>
    <w:uiPriority w:val="9"/>
    <w:rPr>
      <w:rFonts w:hint="default" w:asciiTheme="majorHAnsi" w:hAnsiTheme="majorHAnsi" w:eastAsiaTheme="majorEastAsia" w:cstheme="majorBidi"/>
      <w:b/>
      <w:bCs/>
      <w:sz w:val="32"/>
      <w:szCs w:val="32"/>
    </w:rPr>
  </w:style>
  <w:style w:type="paragraph" w:customStyle="1" w:styleId="10">
    <w:name w:val="table"/>
    <w:basedOn w:val="1"/>
    <w:semiHidden/>
    <w:qFormat/>
    <w:uiPriority w:val="99"/>
    <w:pPr>
      <w:pBdr>
        <w:top w:val="single" w:color="333333" w:sz="6" w:space="0"/>
        <w:left w:val="single" w:color="333333" w:sz="6" w:space="0"/>
        <w:bottom w:val="single" w:color="333333" w:sz="6" w:space="0"/>
        <w:right w:val="single" w:color="333333" w:sz="6" w:space="0"/>
      </w:pBdr>
      <w:spacing w:before="100" w:beforeAutospacing="1" w:after="100" w:afterAutospacing="1"/>
    </w:pPr>
  </w:style>
  <w:style w:type="paragraph" w:customStyle="1" w:styleId="11">
    <w:name w:val="m-dttexts"/>
    <w:basedOn w:val="1"/>
    <w:semiHidden/>
    <w:qFormat/>
    <w:uiPriority w:val="99"/>
    <w:pPr>
      <w:spacing w:before="100" w:beforeAutospacing="1" w:after="100" w:afterAutospacing="1" w:line="448" w:lineRule="auto"/>
    </w:pPr>
  </w:style>
  <w:style w:type="paragraph" w:customStyle="1" w:styleId="12">
    <w:name w:val="u-title"/>
    <w:basedOn w:val="1"/>
    <w:semiHidden/>
    <w:qFormat/>
    <w:uiPriority w:val="99"/>
    <w:pPr>
      <w:spacing w:before="225" w:after="225"/>
      <w:jc w:val="center"/>
    </w:pPr>
    <w:rPr>
      <w:sz w:val="45"/>
      <w:szCs w:val="45"/>
    </w:rPr>
  </w:style>
  <w:style w:type="paragraph" w:customStyle="1" w:styleId="13">
    <w:name w:val="p"/>
    <w:basedOn w:val="1"/>
    <w:semiHidden/>
    <w:qFormat/>
    <w:uiPriority w:val="99"/>
    <w:pPr>
      <w:spacing w:before="100" w:beforeAutospacing="1" w:after="100" w:afterAutospacing="1"/>
    </w:pPr>
  </w:style>
  <w:style w:type="character" w:customStyle="1" w:styleId="14">
    <w:name w:val="页眉 字符"/>
    <w:basedOn w:val="8"/>
    <w:link w:val="4"/>
    <w:qFormat/>
    <w:uiPriority w:val="99"/>
    <w:rPr>
      <w:rFonts w:ascii="宋体" w:hAnsi="宋体" w:eastAsia="宋体" w:cs="宋体"/>
      <w:sz w:val="18"/>
      <w:szCs w:val="18"/>
    </w:rPr>
  </w:style>
  <w:style w:type="character" w:customStyle="1" w:styleId="15">
    <w:name w:val="页脚 字符"/>
    <w:basedOn w:val="8"/>
    <w:link w:val="3"/>
    <w:qFormat/>
    <w:uiPriority w:val="99"/>
    <w:rPr>
      <w:rFonts w:ascii="宋体" w:hAnsi="宋体" w:eastAsia="宋体" w:cs="宋体"/>
      <w:sz w:val="18"/>
      <w:szCs w:val="18"/>
    </w:rPr>
  </w:style>
  <w:style w:type="character" w:customStyle="1" w:styleId="16">
    <w:name w:val="font31"/>
    <w:basedOn w:val="8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7">
    <w:name w:val="font21"/>
    <w:basedOn w:val="8"/>
    <w:qFormat/>
    <w:uiPriority w:val="0"/>
    <w:rPr>
      <w:rFonts w:hint="default" w:ascii="Verdana" w:hAnsi="Verdana" w:cs="Verdana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Organization</Company>
  <Pages>6</Pages>
  <Words>464</Words>
  <Characters>555</Characters>
  <Lines>24</Lines>
  <Paragraphs>7</Paragraphs>
  <TotalTime>226</TotalTime>
  <ScaleCrop>false</ScaleCrop>
  <LinksUpToDate>false</LinksUpToDate>
  <CharactersWithSpaces>582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2023-08-08T01:18:00Z</dcterms:created>
  <dc:creator>Windows 用户</dc:creator>
  <cp:lastModifiedBy>昼然</cp:lastModifiedBy>
  <cp:lastPrinted>2025-08-05T02:21:00Z</cp:lastPrinted>
  <dcterms:modified xsi:type="dcterms:W3CDTF">2025-08-19T01:21:52Z</dcterms:modified>
  <dc:title>关于《池州市贵池区梅龙街道新龙村村庄规划（2021-2035年）》的公示-池州市贵池区人民政府</dc:title>
  <cp:revision>88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ICV">
    <vt:lpwstr>3063D164A40A4D8286B08C43A5D77E9B_13</vt:lpwstr>
  </property>
  <property fmtid="{D5CDD505-2E9C-101B-9397-08002B2CF9AE}" pid="4" name="KSOTemplateDocerSaveRecord">
    <vt:lpwstr>eyJoZGlkIjoiMWZhYzYxNmE4NzRiN2VlMThlMjZlYTEzNzA0MGU4YzEiLCJ1c2VySWQiOiI3Mzg1Nzc4MjcifQ==</vt:lpwstr>
  </property>
</Properties>
</file>