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D59FF">
      <w:pPr>
        <w:pStyle w:val="2"/>
        <w:spacing w:before="225" w:beforeAutospacing="0" w:after="225" w:afterAutospacing="0"/>
        <w:jc w:val="center"/>
        <w:rPr>
          <w:rFonts w:hint="eastAsia" w:ascii="黑体" w:hAnsi="黑体" w:eastAsia="黑体"/>
        </w:rPr>
      </w:pPr>
      <w:r>
        <w:rPr>
          <w:rFonts w:hint="eastAsia" w:ascii="黑体" w:hAnsi="黑体" w:eastAsia="黑体"/>
        </w:rPr>
        <w:t>关于《贵池区殷汇镇杨桥村、沧埠村村庄规划（2021-2035年）》的公示</w:t>
      </w:r>
    </w:p>
    <w:p w14:paraId="66F264A6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根据《安徽省村庄规划编制指南（2022年版）》的相关要求，殷汇镇人民政府组织由北京世纪千府国际工程设计有限公司编制的《贵池区殷汇镇杨桥村、沧埠村村庄规划（2021-2035年）》，已形成规划成果，并通过专家评审会，现予以公示。</w:t>
      </w:r>
    </w:p>
    <w:p w14:paraId="7C0C2C69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一、规划范围：本次规划范围为池州市贵池区殷汇镇杨桥村和沧埠村全域，国土面积共1502.26公顷，其中杨桥村村域面积863.40公顷，沧埠村村域面积638.91公顷。</w:t>
      </w:r>
    </w:p>
    <w:p w14:paraId="7A10BEDD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二、规划期限：规划期限为</w:t>
      </w:r>
      <w:r>
        <w:rPr>
          <w:rFonts w:ascii="仿宋" w:hAnsi="仿宋" w:eastAsia="仿宋"/>
          <w:sz w:val="30"/>
          <w:szCs w:val="30"/>
        </w:rPr>
        <w:t>2021-2035年，规划基期年为2020年，近期</w:t>
      </w:r>
      <w:r>
        <w:rPr>
          <w:rFonts w:hint="eastAsia" w:ascii="仿宋" w:hAnsi="仿宋" w:eastAsia="仿宋"/>
          <w:sz w:val="30"/>
          <w:szCs w:val="30"/>
        </w:rPr>
        <w:t>目标年为</w:t>
      </w:r>
      <w:r>
        <w:rPr>
          <w:rFonts w:ascii="仿宋" w:hAnsi="仿宋" w:eastAsia="仿宋"/>
          <w:sz w:val="30"/>
          <w:szCs w:val="30"/>
        </w:rPr>
        <w:t>2025年，规划目标年为2035年。</w:t>
      </w:r>
    </w:p>
    <w:p w14:paraId="6F7714E6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三、公示时间：2025年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8</w:t>
      </w:r>
      <w:r>
        <w:rPr>
          <w:rFonts w:hint="eastAsia" w:ascii="仿宋" w:hAnsi="仿宋" w:eastAsia="仿宋"/>
          <w:color w:val="EE0000"/>
          <w:sz w:val="30"/>
          <w:szCs w:val="30"/>
        </w:rPr>
        <w:t>月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19</w:t>
      </w:r>
      <w:r>
        <w:rPr>
          <w:rFonts w:hint="eastAsia" w:ascii="仿宋" w:hAnsi="仿宋" w:eastAsia="仿宋"/>
          <w:color w:val="EE0000"/>
          <w:sz w:val="30"/>
          <w:szCs w:val="30"/>
        </w:rPr>
        <w:t>日至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9</w:t>
      </w:r>
      <w:r>
        <w:rPr>
          <w:rFonts w:hint="eastAsia" w:ascii="仿宋" w:hAnsi="仿宋" w:eastAsia="仿宋"/>
          <w:color w:val="EE0000"/>
          <w:sz w:val="30"/>
          <w:szCs w:val="30"/>
        </w:rPr>
        <w:t>月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18</w:t>
      </w:r>
      <w:r>
        <w:rPr>
          <w:rFonts w:hint="eastAsia" w:ascii="仿宋" w:hAnsi="仿宋" w:eastAsia="仿宋"/>
          <w:color w:val="EE0000"/>
          <w:sz w:val="30"/>
          <w:szCs w:val="30"/>
        </w:rPr>
        <w:t>日，为</w:t>
      </w:r>
      <w:r>
        <w:rPr>
          <w:rFonts w:hint="eastAsia" w:ascii="仿宋" w:hAnsi="仿宋" w:eastAsia="仿宋"/>
          <w:sz w:val="30"/>
          <w:szCs w:val="30"/>
        </w:rPr>
        <w:t>期一个月。</w:t>
      </w:r>
    </w:p>
    <w:p w14:paraId="4669BC0F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四、公示方式：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池州市</w:t>
      </w:r>
      <w:r>
        <w:rPr>
          <w:rFonts w:hint="eastAsia" w:ascii="仿宋" w:hAnsi="仿宋" w:eastAsia="仿宋"/>
          <w:sz w:val="30"/>
          <w:szCs w:val="30"/>
        </w:rPr>
        <w:t>贵池区殷汇镇人民政府网站。</w:t>
      </w:r>
    </w:p>
    <w:p w14:paraId="616052B4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五、意见或建议：依照《中华人民共和国城乡规划法》，在公示之日起三十日内可用信函、电话及电子邮件等方式提出反馈意见和建议。 </w:t>
      </w:r>
    </w:p>
    <w:p w14:paraId="4751B9A1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color w:val="EE0000"/>
          <w:sz w:val="30"/>
          <w:szCs w:val="30"/>
          <w:lang w:eastAsia="zh-CN"/>
        </w:rPr>
      </w:pPr>
      <w:r>
        <w:rPr>
          <w:rFonts w:hint="eastAsia" w:ascii="仿宋" w:hAnsi="仿宋" w:eastAsia="仿宋"/>
          <w:sz w:val="30"/>
          <w:szCs w:val="30"/>
        </w:rPr>
        <w:t>联系人：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包瑶</w:t>
      </w:r>
      <w:r>
        <w:rPr>
          <w:rFonts w:hint="eastAsia" w:ascii="仿宋" w:hAnsi="仿宋" w:eastAsia="仿宋"/>
          <w:sz w:val="30"/>
          <w:szCs w:val="30"/>
        </w:rPr>
        <w:t xml:space="preserve"> 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 xml:space="preserve"> </w:t>
      </w:r>
    </w:p>
    <w:p w14:paraId="254B2118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color w:val="EE0000"/>
          <w:sz w:val="30"/>
          <w:szCs w:val="30"/>
          <w:lang w:eastAsia="zh-CN"/>
        </w:rPr>
      </w:pPr>
      <w:r>
        <w:rPr>
          <w:rFonts w:hint="eastAsia" w:ascii="仿宋" w:hAnsi="仿宋" w:eastAsia="仿宋"/>
          <w:color w:val="EE0000"/>
          <w:sz w:val="30"/>
          <w:szCs w:val="30"/>
        </w:rPr>
        <w:t>联系电话：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 xml:space="preserve">15656699309 </w:t>
      </w:r>
    </w:p>
    <w:p w14:paraId="4E4153C2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color w:val="EE0000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邮箱：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a56699309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/>
          <w:color w:val="EE0000"/>
          <w:sz w:val="30"/>
          <w:szCs w:val="30"/>
        </w:rPr>
        <w:t>@</w:t>
      </w:r>
      <w:r>
        <w:rPr>
          <w:rFonts w:hint="eastAsia" w:ascii="仿宋" w:hAnsi="仿宋" w:eastAsia="仿宋"/>
          <w:color w:val="EE0000"/>
          <w:sz w:val="30"/>
          <w:szCs w:val="30"/>
          <w:lang w:val="en-US" w:eastAsia="zh-CN"/>
        </w:rPr>
        <w:t>163.</w:t>
      </w:r>
      <w:r>
        <w:rPr>
          <w:rFonts w:hint="eastAsia" w:ascii="仿宋" w:hAnsi="仿宋" w:eastAsia="仿宋"/>
          <w:color w:val="EE0000"/>
          <w:sz w:val="30"/>
          <w:szCs w:val="30"/>
        </w:rPr>
        <w:t>com</w:t>
      </w:r>
    </w:p>
    <w:p w14:paraId="3B37229A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地址：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池州市</w:t>
      </w:r>
      <w:r>
        <w:rPr>
          <w:rFonts w:hint="eastAsia" w:ascii="仿宋" w:hAnsi="仿宋" w:eastAsia="仿宋"/>
          <w:sz w:val="30"/>
          <w:szCs w:val="30"/>
        </w:rPr>
        <w:t>贵池区殷汇镇人民政府</w:t>
      </w:r>
    </w:p>
    <w:p w14:paraId="4D3741B7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both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附：《贵池区殷汇镇杨桥村、沧埠村村庄规划（2021-2035年）》“三图一表一则”。</w:t>
      </w:r>
    </w:p>
    <w:p w14:paraId="5BE0E62A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567"/>
        <w:jc w:val="righ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 xml:space="preserve">                     </w:t>
      </w:r>
      <w:bookmarkStart w:id="4" w:name="_GoBack"/>
      <w:bookmarkEnd w:id="4"/>
      <w:r>
        <w:rPr>
          <w:rFonts w:hint="eastAsia" w:ascii="仿宋" w:hAnsi="仿宋" w:eastAsia="仿宋"/>
          <w:sz w:val="30"/>
          <w:szCs w:val="30"/>
        </w:rPr>
        <w:t>殷汇镇人民政府</w:t>
      </w:r>
    </w:p>
    <w:p w14:paraId="5DEACD8C">
      <w:pPr>
        <w:pStyle w:val="13"/>
        <w:shd w:val="clear" w:color="auto" w:fill="FFFFFF"/>
        <w:adjustRightInd w:val="0"/>
        <w:snapToGrid w:val="0"/>
        <w:spacing w:before="120" w:beforeLines="50" w:beforeAutospacing="0" w:after="120" w:afterLines="50" w:afterAutospacing="0" w:line="276" w:lineRule="auto"/>
        <w:ind w:firstLine="420"/>
        <w:jc w:val="right"/>
        <w:rPr>
          <w:rFonts w:hint="eastAsia"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2025年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8</w:t>
      </w:r>
      <w:r>
        <w:rPr>
          <w:rFonts w:hint="eastAsia" w:ascii="仿宋" w:hAnsi="仿宋" w:eastAsia="仿宋"/>
          <w:sz w:val="30"/>
          <w:szCs w:val="30"/>
        </w:rPr>
        <w:t>月</w:t>
      </w:r>
      <w:r>
        <w:rPr>
          <w:rFonts w:hint="eastAsia" w:ascii="仿宋" w:hAnsi="仿宋" w:eastAsia="仿宋"/>
          <w:sz w:val="30"/>
          <w:szCs w:val="30"/>
          <w:lang w:val="en-US" w:eastAsia="zh-CN"/>
        </w:rPr>
        <w:t>19</w:t>
      </w:r>
      <w:r>
        <w:rPr>
          <w:rFonts w:hint="eastAsia" w:ascii="仿宋" w:hAnsi="仿宋" w:eastAsia="仿宋"/>
          <w:sz w:val="30"/>
          <w:szCs w:val="30"/>
        </w:rPr>
        <w:t>日</w:t>
      </w:r>
    </w:p>
    <w:p w14:paraId="13DC4A1B">
      <w:pPr>
        <w:pStyle w:val="5"/>
        <w:spacing w:line="448" w:lineRule="auto"/>
        <w:jc w:val="both"/>
        <w:rPr>
          <w:rFonts w:hint="eastAsia"/>
          <w:b/>
          <w:bCs/>
        </w:rPr>
      </w:pPr>
      <w:r>
        <w:drawing>
          <wp:inline distT="0" distB="0" distL="0" distR="0">
            <wp:extent cx="5581650" cy="3947795"/>
            <wp:effectExtent l="0" t="0" r="0" b="0"/>
            <wp:docPr id="137253869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538691" name="图片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5443" cy="3950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699125" cy="4030980"/>
            <wp:effectExtent l="0" t="0" r="0" b="7620"/>
            <wp:docPr id="50836884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368842" name="图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1086" cy="4032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3A3E9">
      <w:pPr>
        <w:pStyle w:val="5"/>
        <w:jc w:val="both"/>
        <w:rPr>
          <w:rFonts w:hint="eastAsia"/>
          <w:b/>
          <w:bCs/>
          <w:sz w:val="28"/>
          <w:szCs w:val="28"/>
        </w:rPr>
      </w:pPr>
      <w:r>
        <w:drawing>
          <wp:inline distT="0" distB="0" distL="0" distR="0">
            <wp:extent cx="5676900" cy="4013835"/>
            <wp:effectExtent l="0" t="0" r="0" b="5715"/>
            <wp:docPr id="23610989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109897" name="图片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8812" cy="401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768975" cy="4078605"/>
            <wp:effectExtent l="0" t="0" r="3175" b="0"/>
            <wp:docPr id="2649516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951620" name="图片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0114" cy="4079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3DAAA">
      <w:pPr>
        <w:pStyle w:val="5"/>
        <w:jc w:val="center"/>
        <w:rPr>
          <w:rFonts w:hint="eastAsia"/>
          <w:b/>
          <w:bCs/>
          <w:sz w:val="32"/>
          <w:szCs w:val="32"/>
        </w:rPr>
      </w:pPr>
      <w:r>
        <w:drawing>
          <wp:inline distT="0" distB="0" distL="0" distR="0">
            <wp:extent cx="5744210" cy="4062730"/>
            <wp:effectExtent l="0" t="0" r="8890" b="0"/>
            <wp:docPr id="9528218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2821814" name="图片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5494" cy="406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5710555" cy="4039235"/>
            <wp:effectExtent l="0" t="0" r="4445" b="0"/>
            <wp:docPr id="150022797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0227974" name="图片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12272" cy="4040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88E5E">
      <w:pPr>
        <w:pStyle w:val="5"/>
        <w:ind w:firstLine="2570" w:firstLineChars="800"/>
        <w:jc w:val="both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近期建设项目（工程）表</w:t>
      </w:r>
    </w:p>
    <w:tbl>
      <w:tblPr>
        <w:tblStyle w:val="7"/>
        <w:tblW w:w="83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1417"/>
        <w:gridCol w:w="1175"/>
        <w:gridCol w:w="1050"/>
        <w:gridCol w:w="2021"/>
        <w:gridCol w:w="1492"/>
      </w:tblGrid>
      <w:tr w14:paraId="3F4C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  <w:jc w:val="center"/>
        </w:trPr>
        <w:tc>
          <w:tcPr>
            <w:tcW w:w="1207" w:type="dxa"/>
            <w:vAlign w:val="center"/>
          </w:tcPr>
          <w:p w14:paraId="6DBFEAC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b/>
                <w:bCs/>
                <w:kern w:val="24"/>
                <w:sz w:val="21"/>
              </w:rPr>
              <w:t>序号</w:t>
            </w:r>
          </w:p>
        </w:tc>
        <w:tc>
          <w:tcPr>
            <w:tcW w:w="1417" w:type="dxa"/>
            <w:vAlign w:val="center"/>
          </w:tcPr>
          <w:p w14:paraId="769DBDA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b/>
                <w:bCs/>
                <w:kern w:val="24"/>
                <w:sz w:val="21"/>
              </w:rPr>
              <w:t>项目名称</w:t>
            </w:r>
          </w:p>
        </w:tc>
        <w:tc>
          <w:tcPr>
            <w:tcW w:w="1175" w:type="dxa"/>
            <w:vAlign w:val="center"/>
          </w:tcPr>
          <w:p w14:paraId="1C82DF2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b/>
                <w:bCs/>
                <w:kern w:val="24"/>
                <w:sz w:val="21"/>
              </w:rPr>
              <w:t>项目类型</w:t>
            </w:r>
          </w:p>
        </w:tc>
        <w:tc>
          <w:tcPr>
            <w:tcW w:w="1050" w:type="dxa"/>
            <w:vAlign w:val="center"/>
          </w:tcPr>
          <w:p w14:paraId="63B8C43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b/>
                <w:bCs/>
                <w:kern w:val="24"/>
                <w:sz w:val="21"/>
              </w:rPr>
              <w:t>建设规模</w:t>
            </w:r>
          </w:p>
        </w:tc>
        <w:tc>
          <w:tcPr>
            <w:tcW w:w="2021" w:type="dxa"/>
            <w:vAlign w:val="center"/>
          </w:tcPr>
          <w:p w14:paraId="424D8B3D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b/>
                <w:bCs/>
                <w:kern w:val="24"/>
                <w:sz w:val="21"/>
              </w:rPr>
              <w:t>建设内容</w:t>
            </w:r>
          </w:p>
        </w:tc>
        <w:tc>
          <w:tcPr>
            <w:tcW w:w="1492" w:type="dxa"/>
            <w:vAlign w:val="center"/>
          </w:tcPr>
          <w:p w14:paraId="39F172A8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b/>
                <w:bCs/>
                <w:kern w:val="24"/>
                <w:sz w:val="21"/>
              </w:rPr>
              <w:t>建设时限</w:t>
            </w:r>
          </w:p>
        </w:tc>
      </w:tr>
      <w:tr w14:paraId="5ABAD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207" w:type="dxa"/>
            <w:vAlign w:val="center"/>
          </w:tcPr>
          <w:p w14:paraId="758CA1F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</w:t>
            </w:r>
          </w:p>
        </w:tc>
        <w:tc>
          <w:tcPr>
            <w:tcW w:w="1417" w:type="dxa"/>
            <w:vMerge w:val="restart"/>
            <w:vAlign w:val="center"/>
          </w:tcPr>
          <w:p w14:paraId="2F2D9A9B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国土综合整治和生态修复</w:t>
            </w:r>
          </w:p>
        </w:tc>
        <w:tc>
          <w:tcPr>
            <w:tcW w:w="1175" w:type="dxa"/>
            <w:vAlign w:val="center"/>
          </w:tcPr>
          <w:p w14:paraId="0390F01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农村建设用地复垦项目</w:t>
            </w:r>
          </w:p>
        </w:tc>
        <w:tc>
          <w:tcPr>
            <w:tcW w:w="1050" w:type="dxa"/>
            <w:vAlign w:val="center"/>
          </w:tcPr>
          <w:p w14:paraId="6A58977F">
            <w:pPr>
              <w:jc w:val="center"/>
              <w:textAlignment w:val="center"/>
              <w:rPr>
                <w:rFonts w:hint="eastAsia" w:ascii="Arial" w:hAnsi="Arial" w:eastAsia="宋体"/>
                <w:sz w:val="36"/>
                <w:szCs w:val="36"/>
                <w:lang w:val="en-US" w:eastAsia="zh-CN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180</w:t>
            </w:r>
            <w:r>
              <w:rPr>
                <w:rFonts w:hint="eastAsia" w:ascii="Verdana" w:hAnsi="Verdana"/>
                <w:kern w:val="24"/>
                <w:sz w:val="20"/>
                <w:szCs w:val="20"/>
                <w:lang w:val="en-US" w:eastAsia="zh-CN"/>
              </w:rPr>
              <w:t>亩</w:t>
            </w:r>
          </w:p>
        </w:tc>
        <w:tc>
          <w:tcPr>
            <w:tcW w:w="2021" w:type="dxa"/>
            <w:vAlign w:val="center"/>
          </w:tcPr>
          <w:p w14:paraId="63B8D2D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近期对搬迁撤并后的农村建设用地进行复垦</w:t>
            </w:r>
          </w:p>
        </w:tc>
        <w:tc>
          <w:tcPr>
            <w:tcW w:w="1492" w:type="dxa"/>
            <w:vAlign w:val="center"/>
          </w:tcPr>
          <w:p w14:paraId="2E3C473D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57517F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1207" w:type="dxa"/>
            <w:vAlign w:val="center"/>
          </w:tcPr>
          <w:p w14:paraId="4BF5C9E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</w:t>
            </w:r>
          </w:p>
        </w:tc>
        <w:tc>
          <w:tcPr>
            <w:tcW w:w="1417" w:type="dxa"/>
            <w:vMerge w:val="continue"/>
            <w:vAlign w:val="center"/>
          </w:tcPr>
          <w:p w14:paraId="2F4FD134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24197E6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高标准农田建设</w:t>
            </w:r>
          </w:p>
        </w:tc>
        <w:tc>
          <w:tcPr>
            <w:tcW w:w="1050" w:type="dxa"/>
            <w:vAlign w:val="center"/>
          </w:tcPr>
          <w:p w14:paraId="0112E5F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70</w:t>
            </w:r>
            <w:r>
              <w:rPr>
                <w:rFonts w:ascii="Verdana" w:hAnsi="Arial"/>
                <w:kern w:val="24"/>
                <w:sz w:val="20"/>
                <w:szCs w:val="20"/>
              </w:rPr>
              <w:t>公顷</w:t>
            </w:r>
          </w:p>
        </w:tc>
        <w:tc>
          <w:tcPr>
            <w:tcW w:w="2021" w:type="dxa"/>
            <w:vAlign w:val="center"/>
          </w:tcPr>
          <w:p w14:paraId="4D0D4FE8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土地平整、灌排、机耕路等设施完善、蓄水坑塘挖深</w:t>
            </w:r>
          </w:p>
        </w:tc>
        <w:tc>
          <w:tcPr>
            <w:tcW w:w="1492" w:type="dxa"/>
            <w:vAlign w:val="center"/>
          </w:tcPr>
          <w:p w14:paraId="519D83A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</w:t>
            </w:r>
          </w:p>
        </w:tc>
      </w:tr>
      <w:tr w14:paraId="11F8A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Align w:val="center"/>
          </w:tcPr>
          <w:p w14:paraId="6C9952A5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14:paraId="51046F0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农村住房</w:t>
            </w:r>
          </w:p>
        </w:tc>
        <w:tc>
          <w:tcPr>
            <w:tcW w:w="1175" w:type="dxa"/>
            <w:vAlign w:val="center"/>
          </w:tcPr>
          <w:p w14:paraId="3223B5A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农村住房新建</w:t>
            </w:r>
          </w:p>
        </w:tc>
        <w:tc>
          <w:tcPr>
            <w:tcW w:w="1050" w:type="dxa"/>
            <w:vAlign w:val="center"/>
          </w:tcPr>
          <w:p w14:paraId="1EFCD9A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6535C908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新建居民点，落实一户一宅</w:t>
            </w:r>
          </w:p>
        </w:tc>
        <w:tc>
          <w:tcPr>
            <w:tcW w:w="1492" w:type="dxa"/>
            <w:vAlign w:val="center"/>
          </w:tcPr>
          <w:p w14:paraId="2BB69B0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72470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7" w:hRule="atLeast"/>
          <w:jc w:val="center"/>
        </w:trPr>
        <w:tc>
          <w:tcPr>
            <w:tcW w:w="1207" w:type="dxa"/>
            <w:vAlign w:val="center"/>
          </w:tcPr>
          <w:p w14:paraId="0A5D7A7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4</w:t>
            </w:r>
          </w:p>
        </w:tc>
        <w:tc>
          <w:tcPr>
            <w:tcW w:w="1417" w:type="dxa"/>
            <w:vMerge w:val="restart"/>
            <w:vAlign w:val="center"/>
          </w:tcPr>
          <w:p w14:paraId="3F305DC2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公共服务和公用设施项目</w:t>
            </w:r>
          </w:p>
        </w:tc>
        <w:tc>
          <w:tcPr>
            <w:tcW w:w="1175" w:type="dxa"/>
            <w:vAlign w:val="center"/>
          </w:tcPr>
          <w:p w14:paraId="3D89A13C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干道拓展提升</w:t>
            </w:r>
          </w:p>
        </w:tc>
        <w:tc>
          <w:tcPr>
            <w:tcW w:w="1050" w:type="dxa"/>
            <w:vAlign w:val="center"/>
          </w:tcPr>
          <w:p w14:paraId="63FB58C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54</w:t>
            </w:r>
            <w:r>
              <w:rPr>
                <w:rFonts w:hint="eastAsia" w:ascii="Verdana" w:hAnsi="Verdana"/>
                <w:kern w:val="24"/>
                <w:sz w:val="20"/>
                <w:szCs w:val="20"/>
                <w:lang w:val="en-US" w:eastAsia="zh-CN"/>
              </w:rPr>
              <w:t>千</w:t>
            </w:r>
            <w:r>
              <w:rPr>
                <w:rFonts w:ascii="Verdana" w:hAnsi="Arial"/>
                <w:kern w:val="24"/>
                <w:sz w:val="20"/>
                <w:szCs w:val="20"/>
              </w:rPr>
              <w:t>米</w:t>
            </w:r>
          </w:p>
        </w:tc>
        <w:tc>
          <w:tcPr>
            <w:tcW w:w="2021" w:type="dxa"/>
            <w:vAlign w:val="center"/>
          </w:tcPr>
          <w:p w14:paraId="3C88DBC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对村庄内部部分狭窄干道进行拓宽提升，安置区域新建道路，使其满足日常会车通行条件、安置点道路建设</w:t>
            </w:r>
          </w:p>
        </w:tc>
        <w:tc>
          <w:tcPr>
            <w:tcW w:w="1492" w:type="dxa"/>
            <w:vAlign w:val="center"/>
          </w:tcPr>
          <w:p w14:paraId="3FF375F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6F8E7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  <w:jc w:val="center"/>
        </w:trPr>
        <w:tc>
          <w:tcPr>
            <w:tcW w:w="1207" w:type="dxa"/>
            <w:vAlign w:val="center"/>
          </w:tcPr>
          <w:p w14:paraId="298D727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5</w:t>
            </w:r>
          </w:p>
        </w:tc>
        <w:tc>
          <w:tcPr>
            <w:tcW w:w="1417" w:type="dxa"/>
            <w:vMerge w:val="continue"/>
            <w:vAlign w:val="center"/>
          </w:tcPr>
          <w:p w14:paraId="326E2FA7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4826F86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巷道硬化提升</w:t>
            </w:r>
          </w:p>
        </w:tc>
        <w:tc>
          <w:tcPr>
            <w:tcW w:w="1050" w:type="dxa"/>
            <w:vAlign w:val="center"/>
          </w:tcPr>
          <w:p w14:paraId="1A136B7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2300</w:t>
            </w:r>
            <w:r>
              <w:rPr>
                <w:rFonts w:ascii="Verdana" w:hAnsi="Arial"/>
                <w:kern w:val="24"/>
                <w:sz w:val="20"/>
                <w:szCs w:val="20"/>
              </w:rPr>
              <w:t>平方米</w:t>
            </w:r>
          </w:p>
        </w:tc>
        <w:tc>
          <w:tcPr>
            <w:tcW w:w="2021" w:type="dxa"/>
            <w:vAlign w:val="center"/>
          </w:tcPr>
          <w:p w14:paraId="760F9AD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对村庄内部部分未硬化巷道进行硬化处理；安置区域新建道路</w:t>
            </w:r>
          </w:p>
        </w:tc>
        <w:tc>
          <w:tcPr>
            <w:tcW w:w="1492" w:type="dxa"/>
            <w:vAlign w:val="center"/>
          </w:tcPr>
          <w:p w14:paraId="443118E4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3E408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Align w:val="center"/>
          </w:tcPr>
          <w:p w14:paraId="4868C96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6</w:t>
            </w:r>
          </w:p>
        </w:tc>
        <w:tc>
          <w:tcPr>
            <w:tcW w:w="1417" w:type="dxa"/>
            <w:vMerge w:val="continue"/>
            <w:vAlign w:val="center"/>
          </w:tcPr>
          <w:p w14:paraId="77039908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6012CA94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公共厕所</w:t>
            </w:r>
          </w:p>
        </w:tc>
        <w:tc>
          <w:tcPr>
            <w:tcW w:w="1050" w:type="dxa"/>
            <w:vAlign w:val="center"/>
          </w:tcPr>
          <w:p w14:paraId="4BF2879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</w:t>
            </w:r>
            <w:r>
              <w:rPr>
                <w:rFonts w:ascii="Verdana" w:hAnsi="Arial"/>
                <w:kern w:val="24"/>
                <w:sz w:val="20"/>
                <w:szCs w:val="20"/>
              </w:rPr>
              <w:t>处</w:t>
            </w:r>
          </w:p>
        </w:tc>
        <w:tc>
          <w:tcPr>
            <w:tcW w:w="2021" w:type="dxa"/>
            <w:vAlign w:val="center"/>
          </w:tcPr>
          <w:p w14:paraId="3247FD4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在中心村新建公共厕所</w:t>
            </w:r>
          </w:p>
        </w:tc>
        <w:tc>
          <w:tcPr>
            <w:tcW w:w="1492" w:type="dxa"/>
            <w:vAlign w:val="center"/>
          </w:tcPr>
          <w:p w14:paraId="2A68B4BC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6C7C3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Align w:val="center"/>
          </w:tcPr>
          <w:p w14:paraId="4C67DD7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7</w:t>
            </w:r>
          </w:p>
        </w:tc>
        <w:tc>
          <w:tcPr>
            <w:tcW w:w="1417" w:type="dxa"/>
            <w:vMerge w:val="continue"/>
            <w:vAlign w:val="center"/>
          </w:tcPr>
          <w:p w14:paraId="47A6E5E8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68CED56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污水处理设施</w:t>
            </w:r>
          </w:p>
        </w:tc>
        <w:tc>
          <w:tcPr>
            <w:tcW w:w="1050" w:type="dxa"/>
            <w:vAlign w:val="center"/>
          </w:tcPr>
          <w:p w14:paraId="61DE1F12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</w:t>
            </w:r>
            <w:r>
              <w:rPr>
                <w:rFonts w:ascii="Verdana" w:hAnsi="Arial"/>
                <w:kern w:val="24"/>
                <w:sz w:val="20"/>
                <w:szCs w:val="20"/>
              </w:rPr>
              <w:t>座</w:t>
            </w:r>
          </w:p>
        </w:tc>
        <w:tc>
          <w:tcPr>
            <w:tcW w:w="2021" w:type="dxa"/>
            <w:vAlign w:val="center"/>
          </w:tcPr>
          <w:p w14:paraId="215ACE08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收集所有污水就地生态处理</w:t>
            </w:r>
          </w:p>
        </w:tc>
        <w:tc>
          <w:tcPr>
            <w:tcW w:w="1492" w:type="dxa"/>
            <w:vAlign w:val="center"/>
          </w:tcPr>
          <w:p w14:paraId="6EA78B0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07732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Align w:val="center"/>
          </w:tcPr>
          <w:p w14:paraId="74AC69B7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8</w:t>
            </w:r>
          </w:p>
        </w:tc>
        <w:tc>
          <w:tcPr>
            <w:tcW w:w="1417" w:type="dxa"/>
            <w:vMerge w:val="continue"/>
            <w:vAlign w:val="center"/>
          </w:tcPr>
          <w:p w14:paraId="1560973B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Merge w:val="restart"/>
            <w:vAlign w:val="center"/>
          </w:tcPr>
          <w:p w14:paraId="35966EC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污水管网敷设</w:t>
            </w:r>
          </w:p>
        </w:tc>
        <w:tc>
          <w:tcPr>
            <w:tcW w:w="1050" w:type="dxa"/>
            <w:vMerge w:val="restart"/>
            <w:vAlign w:val="center"/>
          </w:tcPr>
          <w:p w14:paraId="67239E0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3900</w:t>
            </w:r>
            <w:r>
              <w:rPr>
                <w:rFonts w:ascii="Verdana" w:hAnsi="Arial"/>
                <w:kern w:val="24"/>
                <w:sz w:val="20"/>
                <w:szCs w:val="20"/>
              </w:rPr>
              <w:t>米</w:t>
            </w:r>
          </w:p>
        </w:tc>
        <w:tc>
          <w:tcPr>
            <w:tcW w:w="2021" w:type="dxa"/>
            <w:vMerge w:val="restart"/>
            <w:vAlign w:val="center"/>
          </w:tcPr>
          <w:p w14:paraId="5C7364E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保留村庄及新建工业铺设污水主管网</w:t>
            </w:r>
          </w:p>
        </w:tc>
        <w:tc>
          <w:tcPr>
            <w:tcW w:w="1492" w:type="dxa"/>
            <w:vMerge w:val="restart"/>
            <w:vAlign w:val="center"/>
          </w:tcPr>
          <w:p w14:paraId="7AE18675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35AEE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  <w:jc w:val="center"/>
        </w:trPr>
        <w:tc>
          <w:tcPr>
            <w:tcW w:w="1207" w:type="dxa"/>
            <w:vAlign w:val="center"/>
          </w:tcPr>
          <w:p w14:paraId="6770604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9</w:t>
            </w:r>
          </w:p>
        </w:tc>
        <w:tc>
          <w:tcPr>
            <w:tcW w:w="1417" w:type="dxa"/>
            <w:vMerge w:val="continue"/>
            <w:vAlign w:val="center"/>
          </w:tcPr>
          <w:p w14:paraId="5D296F49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Merge w:val="continue"/>
            <w:vAlign w:val="center"/>
          </w:tcPr>
          <w:p w14:paraId="199F1CE9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050" w:type="dxa"/>
            <w:vMerge w:val="continue"/>
            <w:vAlign w:val="center"/>
          </w:tcPr>
          <w:p w14:paraId="0824E4E0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2021" w:type="dxa"/>
            <w:vMerge w:val="continue"/>
            <w:vAlign w:val="center"/>
          </w:tcPr>
          <w:p w14:paraId="0A6D0AC5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492" w:type="dxa"/>
            <w:vMerge w:val="continue"/>
            <w:vAlign w:val="center"/>
          </w:tcPr>
          <w:p w14:paraId="61C63E97">
            <w:pPr>
              <w:rPr>
                <w:rFonts w:ascii="Arial" w:hAnsi="Arial"/>
                <w:sz w:val="36"/>
                <w:szCs w:val="36"/>
              </w:rPr>
            </w:pPr>
          </w:p>
        </w:tc>
      </w:tr>
      <w:tr w14:paraId="26F5B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Align w:val="center"/>
          </w:tcPr>
          <w:p w14:paraId="12B0788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10</w:t>
            </w:r>
          </w:p>
        </w:tc>
        <w:tc>
          <w:tcPr>
            <w:tcW w:w="1417" w:type="dxa"/>
            <w:vMerge w:val="continue"/>
            <w:vAlign w:val="center"/>
          </w:tcPr>
          <w:p w14:paraId="170B7FBF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2F30938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雨水管网</w:t>
            </w:r>
          </w:p>
        </w:tc>
        <w:tc>
          <w:tcPr>
            <w:tcW w:w="1050" w:type="dxa"/>
            <w:vAlign w:val="center"/>
          </w:tcPr>
          <w:p w14:paraId="7598BDB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3900</w:t>
            </w:r>
            <w:r>
              <w:rPr>
                <w:rFonts w:ascii="Verdana" w:hAnsi="Arial"/>
                <w:kern w:val="24"/>
                <w:sz w:val="20"/>
                <w:szCs w:val="20"/>
              </w:rPr>
              <w:t>米</w:t>
            </w:r>
          </w:p>
        </w:tc>
        <w:tc>
          <w:tcPr>
            <w:tcW w:w="2021" w:type="dxa"/>
            <w:vAlign w:val="center"/>
          </w:tcPr>
          <w:p w14:paraId="7FB40D18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保留村庄铺设雨水主管网</w:t>
            </w:r>
          </w:p>
        </w:tc>
        <w:tc>
          <w:tcPr>
            <w:tcW w:w="1492" w:type="dxa"/>
            <w:vAlign w:val="center"/>
          </w:tcPr>
          <w:p w14:paraId="4940793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6C9D4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Align w:val="center"/>
          </w:tcPr>
          <w:p w14:paraId="3A86EEA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11</w:t>
            </w:r>
          </w:p>
        </w:tc>
        <w:tc>
          <w:tcPr>
            <w:tcW w:w="1417" w:type="dxa"/>
            <w:vMerge w:val="continue"/>
            <w:vAlign w:val="center"/>
          </w:tcPr>
          <w:p w14:paraId="657D68E8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172E84F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亮化工程</w:t>
            </w:r>
          </w:p>
        </w:tc>
        <w:tc>
          <w:tcPr>
            <w:tcW w:w="1050" w:type="dxa"/>
            <w:vAlign w:val="center"/>
          </w:tcPr>
          <w:p w14:paraId="6EB0CFA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76</w:t>
            </w:r>
            <w:r>
              <w:rPr>
                <w:rFonts w:ascii="Verdana" w:hAnsi="Arial"/>
                <w:kern w:val="24"/>
                <w:sz w:val="20"/>
                <w:szCs w:val="20"/>
              </w:rPr>
              <w:t>盏</w:t>
            </w:r>
          </w:p>
        </w:tc>
        <w:tc>
          <w:tcPr>
            <w:tcW w:w="2021" w:type="dxa"/>
            <w:vAlign w:val="center"/>
          </w:tcPr>
          <w:p w14:paraId="101B092C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补充道路路灯及景观灯</w:t>
            </w:r>
          </w:p>
        </w:tc>
        <w:tc>
          <w:tcPr>
            <w:tcW w:w="1492" w:type="dxa"/>
            <w:vAlign w:val="center"/>
          </w:tcPr>
          <w:p w14:paraId="1E89A2E8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30A09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207" w:type="dxa"/>
            <w:vAlign w:val="center"/>
          </w:tcPr>
          <w:p w14:paraId="68123D9B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12</w:t>
            </w:r>
          </w:p>
        </w:tc>
        <w:tc>
          <w:tcPr>
            <w:tcW w:w="1417" w:type="dxa"/>
            <w:vMerge w:val="continue"/>
            <w:vAlign w:val="center"/>
          </w:tcPr>
          <w:p w14:paraId="1ED24DC9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04FECFC5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秋浦河流域综合治理工程</w:t>
            </w:r>
          </w:p>
        </w:tc>
        <w:tc>
          <w:tcPr>
            <w:tcW w:w="1050" w:type="dxa"/>
            <w:vAlign w:val="center"/>
          </w:tcPr>
          <w:p w14:paraId="3E75717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3A8DAA5B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秋浦河流域中游段治理</w:t>
            </w:r>
          </w:p>
        </w:tc>
        <w:tc>
          <w:tcPr>
            <w:tcW w:w="1492" w:type="dxa"/>
            <w:vAlign w:val="center"/>
          </w:tcPr>
          <w:p w14:paraId="49687E6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75B72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1207" w:type="dxa"/>
            <w:vAlign w:val="center"/>
          </w:tcPr>
          <w:p w14:paraId="1AD211C7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13</w:t>
            </w:r>
          </w:p>
        </w:tc>
        <w:tc>
          <w:tcPr>
            <w:tcW w:w="1417" w:type="dxa"/>
            <w:vMerge w:val="continue"/>
            <w:vAlign w:val="center"/>
          </w:tcPr>
          <w:p w14:paraId="0800B7CB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1E97989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道路拓宽</w:t>
            </w:r>
          </w:p>
        </w:tc>
        <w:tc>
          <w:tcPr>
            <w:tcW w:w="1050" w:type="dxa"/>
            <w:vAlign w:val="center"/>
          </w:tcPr>
          <w:p w14:paraId="38C5113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8000</w:t>
            </w:r>
            <w:r>
              <w:rPr>
                <w:rFonts w:ascii="Verdana" w:hAnsi="Arial"/>
                <w:kern w:val="24"/>
                <w:sz w:val="20"/>
                <w:szCs w:val="20"/>
              </w:rPr>
              <w:t>米</w:t>
            </w:r>
          </w:p>
        </w:tc>
        <w:tc>
          <w:tcPr>
            <w:tcW w:w="2021" w:type="dxa"/>
            <w:vAlign w:val="center"/>
          </w:tcPr>
          <w:p w14:paraId="7B329F08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杨马公路及村域内其他道路扩宽</w:t>
            </w:r>
          </w:p>
        </w:tc>
        <w:tc>
          <w:tcPr>
            <w:tcW w:w="1492" w:type="dxa"/>
            <w:vAlign w:val="center"/>
          </w:tcPr>
          <w:p w14:paraId="42F3A444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04A3D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5" w:hRule="atLeast"/>
          <w:jc w:val="center"/>
        </w:trPr>
        <w:tc>
          <w:tcPr>
            <w:tcW w:w="1207" w:type="dxa"/>
            <w:vAlign w:val="center"/>
          </w:tcPr>
          <w:p w14:paraId="0F99C97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14</w:t>
            </w:r>
          </w:p>
        </w:tc>
        <w:tc>
          <w:tcPr>
            <w:tcW w:w="1417" w:type="dxa"/>
            <w:vMerge w:val="continue"/>
            <w:vAlign w:val="center"/>
          </w:tcPr>
          <w:p w14:paraId="19D26DF0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38D0614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环境综合整治</w:t>
            </w:r>
          </w:p>
        </w:tc>
        <w:tc>
          <w:tcPr>
            <w:tcW w:w="1050" w:type="dxa"/>
            <w:vAlign w:val="center"/>
          </w:tcPr>
          <w:p w14:paraId="2D300F5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27C9922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对中心村、安置点范围内各种杆线进行整治；清理区域内残墙断垣、乱堆乱放和乱搭乱建；对危旧房屋进行拆除和修缮；</w:t>
            </w:r>
          </w:p>
        </w:tc>
        <w:tc>
          <w:tcPr>
            <w:tcW w:w="1492" w:type="dxa"/>
            <w:vAlign w:val="center"/>
          </w:tcPr>
          <w:p w14:paraId="4201413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36E2E9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207" w:type="dxa"/>
            <w:vAlign w:val="center"/>
          </w:tcPr>
          <w:p w14:paraId="1C25F4F7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15</w:t>
            </w:r>
          </w:p>
        </w:tc>
        <w:tc>
          <w:tcPr>
            <w:tcW w:w="1417" w:type="dxa"/>
            <w:vMerge w:val="restart"/>
            <w:vAlign w:val="center"/>
          </w:tcPr>
          <w:p w14:paraId="77335D14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人居环境整治</w:t>
            </w:r>
          </w:p>
        </w:tc>
        <w:tc>
          <w:tcPr>
            <w:tcW w:w="1175" w:type="dxa"/>
            <w:vAlign w:val="center"/>
          </w:tcPr>
          <w:p w14:paraId="0886AEB2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绿化工程</w:t>
            </w:r>
          </w:p>
        </w:tc>
        <w:tc>
          <w:tcPr>
            <w:tcW w:w="1050" w:type="dxa"/>
            <w:vAlign w:val="center"/>
          </w:tcPr>
          <w:p w14:paraId="31E8A1D4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4495209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以乔木和乡土树种为主，灌木为辅，中心村建成区绿化率达</w:t>
            </w:r>
            <w:r>
              <w:rPr>
                <w:rFonts w:ascii="Verdana" w:hAnsi="Verdana"/>
                <w:kern w:val="24"/>
                <w:sz w:val="20"/>
                <w:szCs w:val="20"/>
              </w:rPr>
              <w:t>40%</w:t>
            </w:r>
            <w:r>
              <w:rPr>
                <w:rFonts w:ascii="Verdana" w:hAnsi="Arial"/>
                <w:kern w:val="24"/>
                <w:sz w:val="20"/>
                <w:szCs w:val="20"/>
              </w:rPr>
              <w:t>以上，道路和河渠绿化</w:t>
            </w:r>
            <w:r>
              <w:rPr>
                <w:rFonts w:ascii="Verdana" w:hAnsi="Verdana"/>
                <w:kern w:val="24"/>
                <w:sz w:val="20"/>
                <w:szCs w:val="20"/>
              </w:rPr>
              <w:t>90%</w:t>
            </w:r>
            <w:r>
              <w:rPr>
                <w:rFonts w:ascii="Verdana" w:hAnsi="Arial"/>
                <w:kern w:val="24"/>
                <w:sz w:val="20"/>
                <w:szCs w:val="20"/>
              </w:rPr>
              <w:t>以上</w:t>
            </w:r>
          </w:p>
        </w:tc>
        <w:tc>
          <w:tcPr>
            <w:tcW w:w="1492" w:type="dxa"/>
            <w:vAlign w:val="center"/>
          </w:tcPr>
          <w:p w14:paraId="773129E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2CA6B3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207" w:type="dxa"/>
            <w:vAlign w:val="center"/>
          </w:tcPr>
          <w:p w14:paraId="3A2D644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16</w:t>
            </w:r>
          </w:p>
        </w:tc>
        <w:tc>
          <w:tcPr>
            <w:tcW w:w="1417" w:type="dxa"/>
            <w:vMerge w:val="continue"/>
            <w:vAlign w:val="center"/>
          </w:tcPr>
          <w:p w14:paraId="7A6BE9BA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18F275C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美化工程</w:t>
            </w:r>
          </w:p>
        </w:tc>
        <w:tc>
          <w:tcPr>
            <w:tcW w:w="1050" w:type="dxa"/>
            <w:vAlign w:val="center"/>
          </w:tcPr>
          <w:p w14:paraId="289D8B8B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3EFF201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景观节点建设、村庄入口标识建设</w:t>
            </w:r>
          </w:p>
        </w:tc>
        <w:tc>
          <w:tcPr>
            <w:tcW w:w="1492" w:type="dxa"/>
            <w:vAlign w:val="center"/>
          </w:tcPr>
          <w:p w14:paraId="73226CB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4F27DD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atLeast"/>
          <w:jc w:val="center"/>
        </w:trPr>
        <w:tc>
          <w:tcPr>
            <w:tcW w:w="1207" w:type="dxa"/>
            <w:vAlign w:val="center"/>
          </w:tcPr>
          <w:p w14:paraId="122FE43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17</w:t>
            </w:r>
          </w:p>
        </w:tc>
        <w:tc>
          <w:tcPr>
            <w:tcW w:w="1417" w:type="dxa"/>
            <w:vMerge w:val="continue"/>
            <w:vAlign w:val="center"/>
          </w:tcPr>
          <w:p w14:paraId="52523046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3612CCA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环卫工程</w:t>
            </w:r>
          </w:p>
        </w:tc>
        <w:tc>
          <w:tcPr>
            <w:tcW w:w="1050" w:type="dxa"/>
            <w:vAlign w:val="center"/>
          </w:tcPr>
          <w:p w14:paraId="0A426A6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30F9BB2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清理区域内所有积存垃圾和暴露垃圾，完成户分类投放，新增一处垃圾收集点</w:t>
            </w:r>
          </w:p>
        </w:tc>
        <w:tc>
          <w:tcPr>
            <w:tcW w:w="1492" w:type="dxa"/>
            <w:vAlign w:val="center"/>
          </w:tcPr>
          <w:p w14:paraId="3432539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311BF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207" w:type="dxa"/>
            <w:vAlign w:val="center"/>
          </w:tcPr>
          <w:p w14:paraId="47664077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18</w:t>
            </w:r>
          </w:p>
        </w:tc>
        <w:tc>
          <w:tcPr>
            <w:tcW w:w="1417" w:type="dxa"/>
            <w:vMerge w:val="continue"/>
            <w:vAlign w:val="center"/>
          </w:tcPr>
          <w:p w14:paraId="38C3F2F7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504CD07C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水塘清淤整治</w:t>
            </w:r>
          </w:p>
        </w:tc>
        <w:tc>
          <w:tcPr>
            <w:tcW w:w="1050" w:type="dxa"/>
            <w:vAlign w:val="center"/>
          </w:tcPr>
          <w:p w14:paraId="2DE70E53">
            <w:pPr>
              <w:jc w:val="center"/>
              <w:textAlignment w:val="center"/>
              <w:rPr>
                <w:rFonts w:hint="eastAsia" w:ascii="Arial" w:hAnsi="Arial" w:eastAsia="宋体"/>
                <w:sz w:val="36"/>
                <w:szCs w:val="36"/>
                <w:lang w:eastAsia="zh-CN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7</w:t>
            </w:r>
            <w:r>
              <w:rPr>
                <w:rFonts w:hint="eastAsia" w:ascii="Verdana" w:hAnsi="Verdana"/>
                <w:kern w:val="24"/>
                <w:sz w:val="20"/>
                <w:szCs w:val="20"/>
                <w:lang w:eastAsia="zh-CN"/>
              </w:rPr>
              <w:t>.</w:t>
            </w:r>
            <w:r>
              <w:rPr>
                <w:rFonts w:ascii="Verdana" w:hAnsi="Verdana"/>
                <w:kern w:val="24"/>
                <w:sz w:val="20"/>
                <w:szCs w:val="20"/>
              </w:rPr>
              <w:t>46</w:t>
            </w:r>
            <w:r>
              <w:rPr>
                <w:rFonts w:hint="eastAsia" w:ascii="Verdana" w:hAnsi="Arial"/>
                <w:kern w:val="24"/>
                <w:sz w:val="20"/>
                <w:szCs w:val="20"/>
                <w:lang w:val="en-US" w:eastAsia="zh-CN"/>
              </w:rPr>
              <w:t>公顷</w:t>
            </w:r>
          </w:p>
        </w:tc>
        <w:tc>
          <w:tcPr>
            <w:tcW w:w="2021" w:type="dxa"/>
            <w:vAlign w:val="center"/>
          </w:tcPr>
          <w:p w14:paraId="141D418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对保留的村庄部分池塘水环境整治</w:t>
            </w:r>
          </w:p>
        </w:tc>
        <w:tc>
          <w:tcPr>
            <w:tcW w:w="1492" w:type="dxa"/>
            <w:vAlign w:val="center"/>
          </w:tcPr>
          <w:p w14:paraId="135317C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</w:t>
            </w:r>
          </w:p>
        </w:tc>
      </w:tr>
      <w:tr w14:paraId="0BAEA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Merge w:val="restart"/>
            <w:vAlign w:val="center"/>
          </w:tcPr>
          <w:p w14:paraId="19A84930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19</w:t>
            </w:r>
          </w:p>
        </w:tc>
        <w:tc>
          <w:tcPr>
            <w:tcW w:w="1417" w:type="dxa"/>
            <w:vMerge w:val="restart"/>
            <w:vAlign w:val="center"/>
          </w:tcPr>
          <w:p w14:paraId="680C8389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产业发展</w:t>
            </w:r>
          </w:p>
        </w:tc>
        <w:tc>
          <w:tcPr>
            <w:tcW w:w="1175" w:type="dxa"/>
            <w:vAlign w:val="center"/>
          </w:tcPr>
          <w:p w14:paraId="431F1B7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农家乐</w:t>
            </w:r>
          </w:p>
        </w:tc>
        <w:tc>
          <w:tcPr>
            <w:tcW w:w="1050" w:type="dxa"/>
            <w:vAlign w:val="center"/>
          </w:tcPr>
          <w:p w14:paraId="1B6CEE3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3CFB4284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　</w:t>
            </w:r>
          </w:p>
        </w:tc>
        <w:tc>
          <w:tcPr>
            <w:tcW w:w="1492" w:type="dxa"/>
            <w:vAlign w:val="center"/>
          </w:tcPr>
          <w:p w14:paraId="6E4B3CA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3DB29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Merge w:val="continue"/>
            <w:vAlign w:val="center"/>
          </w:tcPr>
          <w:p w14:paraId="47889090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417" w:type="dxa"/>
            <w:vMerge w:val="continue"/>
            <w:vAlign w:val="center"/>
          </w:tcPr>
          <w:p w14:paraId="5D1ED1DB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0265ADD5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农家乐</w:t>
            </w:r>
          </w:p>
        </w:tc>
        <w:tc>
          <w:tcPr>
            <w:tcW w:w="1050" w:type="dxa"/>
            <w:vAlign w:val="center"/>
          </w:tcPr>
          <w:p w14:paraId="11CA6DB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1DE0CFB2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　</w:t>
            </w:r>
          </w:p>
        </w:tc>
        <w:tc>
          <w:tcPr>
            <w:tcW w:w="1492" w:type="dxa"/>
            <w:vAlign w:val="center"/>
          </w:tcPr>
          <w:p w14:paraId="3079D7CD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265EAD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1207" w:type="dxa"/>
            <w:vMerge w:val="continue"/>
            <w:vAlign w:val="center"/>
          </w:tcPr>
          <w:p w14:paraId="0866A308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417" w:type="dxa"/>
            <w:vMerge w:val="continue"/>
            <w:vAlign w:val="center"/>
          </w:tcPr>
          <w:p w14:paraId="64892DDD">
            <w:pPr>
              <w:rPr>
                <w:rFonts w:ascii="Arial" w:hAnsi="Arial"/>
                <w:sz w:val="36"/>
                <w:szCs w:val="36"/>
              </w:rPr>
            </w:pPr>
          </w:p>
        </w:tc>
        <w:tc>
          <w:tcPr>
            <w:tcW w:w="1175" w:type="dxa"/>
            <w:vAlign w:val="center"/>
          </w:tcPr>
          <w:p w14:paraId="7DB16DD1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农耕博物馆</w:t>
            </w:r>
          </w:p>
        </w:tc>
        <w:tc>
          <w:tcPr>
            <w:tcW w:w="1050" w:type="dxa"/>
            <w:vAlign w:val="center"/>
          </w:tcPr>
          <w:p w14:paraId="1ACEF8C5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112A4B33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　</w:t>
            </w:r>
          </w:p>
        </w:tc>
        <w:tc>
          <w:tcPr>
            <w:tcW w:w="1492" w:type="dxa"/>
            <w:vAlign w:val="center"/>
          </w:tcPr>
          <w:p w14:paraId="22A40A0A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2023-2025</w:t>
            </w:r>
          </w:p>
        </w:tc>
      </w:tr>
      <w:tr w14:paraId="4DD56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1207" w:type="dxa"/>
            <w:vAlign w:val="center"/>
          </w:tcPr>
          <w:p w14:paraId="1932564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20</w:t>
            </w:r>
          </w:p>
        </w:tc>
        <w:tc>
          <w:tcPr>
            <w:tcW w:w="1417" w:type="dxa"/>
            <w:vAlign w:val="center"/>
          </w:tcPr>
          <w:p w14:paraId="3B24884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Arial"/>
                <w:kern w:val="24"/>
                <w:sz w:val="20"/>
                <w:szCs w:val="20"/>
              </w:rPr>
              <w:t>合计</w:t>
            </w:r>
          </w:p>
        </w:tc>
        <w:tc>
          <w:tcPr>
            <w:tcW w:w="1175" w:type="dxa"/>
            <w:vAlign w:val="center"/>
          </w:tcPr>
          <w:p w14:paraId="038E001E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1050" w:type="dxa"/>
            <w:vAlign w:val="center"/>
          </w:tcPr>
          <w:p w14:paraId="79A721F6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2021" w:type="dxa"/>
            <w:vAlign w:val="center"/>
          </w:tcPr>
          <w:p w14:paraId="1BCEDADF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  <w:tc>
          <w:tcPr>
            <w:tcW w:w="1492" w:type="dxa"/>
            <w:vAlign w:val="center"/>
          </w:tcPr>
          <w:p w14:paraId="08A67AF2">
            <w:pPr>
              <w:jc w:val="center"/>
              <w:textAlignment w:val="center"/>
              <w:rPr>
                <w:rFonts w:ascii="Arial" w:hAnsi="Arial"/>
                <w:sz w:val="36"/>
                <w:szCs w:val="36"/>
              </w:rPr>
            </w:pPr>
            <w:r>
              <w:rPr>
                <w:rFonts w:ascii="Verdana" w:hAnsi="Verdana"/>
                <w:kern w:val="24"/>
                <w:sz w:val="20"/>
                <w:szCs w:val="20"/>
              </w:rPr>
              <w:t>——</w:t>
            </w:r>
          </w:p>
        </w:tc>
      </w:tr>
    </w:tbl>
    <w:p w14:paraId="70DCB8A4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5FC5048C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70F02A14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7940E6B4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6E37B92B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104DC11F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67A1561B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7BA2BD0A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4FB1147A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300EF493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57961740">
      <w:pPr>
        <w:pStyle w:val="5"/>
        <w:jc w:val="both"/>
        <w:rPr>
          <w:rFonts w:hint="eastAsia"/>
          <w:b/>
          <w:bCs/>
          <w:sz w:val="32"/>
          <w:szCs w:val="32"/>
        </w:rPr>
      </w:pPr>
    </w:p>
    <w:p w14:paraId="3FFE09D0">
      <w:pPr>
        <w:pStyle w:val="5"/>
        <w:jc w:val="both"/>
        <w:rPr>
          <w:rFonts w:hint="eastAsia"/>
          <w:b/>
          <w:bCs/>
          <w:sz w:val="32"/>
          <w:szCs w:val="32"/>
        </w:rPr>
      </w:pP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0"/>
      </w:tblGrid>
      <w:tr w14:paraId="18640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630" w:type="dxa"/>
          </w:tcPr>
          <w:p w14:paraId="142A6120">
            <w:pPr>
              <w:pStyle w:val="5"/>
              <w:spacing w:line="320" w:lineRule="exact"/>
              <w:jc w:val="center"/>
              <w:rPr>
                <w:rFonts w:hint="eastAsia"/>
                <w:b/>
                <w:bCs/>
                <w:sz w:val="28"/>
                <w:szCs w:val="28"/>
              </w:rPr>
            </w:pPr>
          </w:p>
          <w:p w14:paraId="38DCCC36">
            <w:pPr>
              <w:pStyle w:val="5"/>
              <w:spacing w:line="320" w:lineRule="exact"/>
              <w:jc w:val="center"/>
              <w:rPr>
                <w:rFonts w:hint="eastAsia" w:ascii="黑体" w:hAnsi="黑体" w:eastAsia="黑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/>
                <w:b/>
                <w:bCs/>
                <w:sz w:val="28"/>
                <w:szCs w:val="28"/>
              </w:rPr>
              <w:t>杨桥村、沧埠村国土空间用途管制规则</w:t>
            </w:r>
          </w:p>
          <w:p w14:paraId="09930751">
            <w:pPr>
              <w:pStyle w:val="5"/>
              <w:spacing w:line="300" w:lineRule="exact"/>
              <w:ind w:firstLine="480" w:firstLineChars="2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规划期内在国土空间上进行的各类活动应按照以下规则进行，确需改变用途的，应按照国家和安徽省相关规定，对规划进行调整或修改。涉及永久基本农田、生态保护红线、历史文化保护线等有关控制线的，按照国家和安徽省有关要求进行管控。位于村庄建设边界外的村庄建设用地，在规划期内优先考虑按照实际情况逐步撤并，暂时不能撤并的，应保留现状用地规模和范围，不得扩大。 </w:t>
            </w:r>
          </w:p>
          <w:p w14:paraId="688C5DC7">
            <w:pPr>
              <w:pStyle w:val="5"/>
              <w:spacing w:line="300" w:lineRule="exact"/>
              <w:rPr>
                <w:rFonts w:hint="eastAsia" w:ascii="仿宋" w:hAnsi="仿宋" w:eastAsia="仿宋"/>
                <w:b/>
                <w:bCs/>
              </w:rPr>
            </w:pPr>
            <w:r>
              <w:rPr>
                <w:rFonts w:ascii="仿宋" w:hAnsi="仿宋" w:eastAsia="仿宋"/>
                <w:b/>
                <w:bCs/>
              </w:rPr>
              <w:t>1.</w:t>
            </w:r>
            <w:r>
              <w:rPr>
                <w:rFonts w:hint="eastAsia" w:ascii="仿宋" w:hAnsi="仿宋" w:eastAsia="仿宋"/>
                <w:b/>
                <w:bCs/>
              </w:rPr>
              <w:t>耕地：</w:t>
            </w:r>
            <w:r>
              <w:rPr>
                <w:rFonts w:hint="eastAsia" w:ascii="仿宋" w:hAnsi="仿宋" w:eastAsia="仿宋"/>
              </w:rPr>
              <w:t>杨桥村耕地保有量187.00公顷，已划定永久基本农田172.46公顷；沧埠村耕地保有量140.27公顷，已划定永久基本农田</w:t>
            </w:r>
            <w:bookmarkStart w:id="0" w:name="OLE_LINK16"/>
            <w:r>
              <w:rPr>
                <w:rFonts w:hint="eastAsia" w:ascii="仿宋" w:hAnsi="仿宋" w:eastAsia="仿宋"/>
              </w:rPr>
              <w:t>132.63</w:t>
            </w:r>
            <w:bookmarkEnd w:id="0"/>
            <w:r>
              <w:rPr>
                <w:rFonts w:hint="eastAsia" w:ascii="仿宋" w:hAnsi="仿宋" w:eastAsia="仿宋"/>
              </w:rPr>
              <w:t xml:space="preserve">公顷。永久基本农田重点用于粮食生产，高标准农田原则上全部用于粮食生产，一般耕地主要用于粮食和棉、油、糖、蔬菜等农产品及饲草饲料生产，在不破坏耕地耕作层且不造成耕地地类改变的前提下，可以适度种植其他农作物。禁止非农建设和破坏耕作层、改变耕地地类的农业生产活动。 </w:t>
            </w:r>
          </w:p>
          <w:p w14:paraId="6BF693B3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ascii="仿宋" w:hAnsi="仿宋" w:eastAsia="仿宋"/>
                <w:b/>
                <w:bCs/>
              </w:rPr>
              <w:t>2.</w:t>
            </w:r>
            <w:r>
              <w:rPr>
                <w:rFonts w:hint="eastAsia" w:ascii="仿宋" w:hAnsi="仿宋" w:eastAsia="仿宋"/>
                <w:b/>
                <w:bCs/>
              </w:rPr>
              <w:t>园地</w:t>
            </w:r>
            <w:r>
              <w:rPr>
                <w:rFonts w:hint="eastAsia" w:ascii="仿宋" w:hAnsi="仿宋" w:eastAsia="仿宋"/>
              </w:rPr>
              <w:t>：杨桥村园地0.61公顷，沧埠村园地19.03公顷。主要用于种植以采集果、叶、根、茎、汁等为主的集约经营的多年生木本和草本作物，禁止非农建设。</w:t>
            </w:r>
          </w:p>
          <w:p w14:paraId="6D8D3642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3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林地</w:t>
            </w:r>
            <w:r>
              <w:rPr>
                <w:rFonts w:hint="eastAsia" w:ascii="仿宋" w:hAnsi="仿宋" w:eastAsia="仿宋"/>
              </w:rPr>
              <w:t xml:space="preserve">：杨桥村林地476.55公顷，沧埠村林地308.22公顷。主要用于生长乔木、竹类、灌木，禁止非农建设。公益林或生态保护红线范围内的林地禁止改变用途。 </w:t>
            </w:r>
          </w:p>
          <w:p w14:paraId="7C89FAE2">
            <w:pPr>
              <w:pStyle w:val="5"/>
              <w:spacing w:line="300" w:lineRule="exact"/>
              <w:rPr>
                <w:rFonts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4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草地</w:t>
            </w:r>
            <w:r>
              <w:rPr>
                <w:rFonts w:hint="eastAsia" w:ascii="仿宋" w:hAnsi="仿宋" w:eastAsia="仿宋"/>
              </w:rPr>
              <w:t>：杨桥村草地4.24公顷，沧埠村草地0.78公顷。主要用于生长草本植物，禁止非农建设。生态保护红线范围内的草地禁止改变用途。</w:t>
            </w:r>
          </w:p>
          <w:p w14:paraId="5D67621C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5.湿地：</w:t>
            </w:r>
            <w:r>
              <w:rPr>
                <w:rFonts w:hint="eastAsia" w:ascii="仿宋" w:hAnsi="仿宋" w:eastAsia="仿宋"/>
              </w:rPr>
              <w:t>杨桥村湿地0.91公顷，沧埠村湿地2.54公顷。主要是陆地和水域的交汇处，水位接近或处于地表面，或有浅层积水，且处于自然状态的土地，规划期须加强保护，禁止改变用途。</w:t>
            </w:r>
          </w:p>
          <w:p w14:paraId="622BA7CF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6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农业设施建设用地</w:t>
            </w:r>
            <w:r>
              <w:rPr>
                <w:rFonts w:hint="eastAsia" w:ascii="仿宋" w:hAnsi="仿宋" w:eastAsia="仿宋"/>
              </w:rPr>
              <w:t>：杨桥村农业设施建设用地7.47公顷，沧埠村农业设施建设用地8.92公顷。主要用于建设为农业生产、农村生活服务的乡村道路用地以及种植设施、畜禽养殖设施、水产养殖设施，禁止非农建设。</w:t>
            </w:r>
          </w:p>
          <w:p w14:paraId="3FD18FA8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7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居住用地</w:t>
            </w:r>
            <w:r>
              <w:rPr>
                <w:rFonts w:hint="eastAsia" w:ascii="仿宋" w:hAnsi="仿宋" w:eastAsia="仿宋"/>
              </w:rPr>
              <w:t>：杨桥村</w:t>
            </w:r>
            <w:bookmarkStart w:id="1" w:name="OLE_LINK13"/>
            <w:r>
              <w:rPr>
                <w:rFonts w:hint="eastAsia" w:ascii="仿宋" w:hAnsi="仿宋" w:eastAsia="仿宋"/>
              </w:rPr>
              <w:t>居住用地47.89公顷</w:t>
            </w:r>
            <w:bookmarkEnd w:id="1"/>
            <w:r>
              <w:rPr>
                <w:rFonts w:hint="eastAsia" w:ascii="仿宋" w:hAnsi="仿宋" w:eastAsia="仿宋"/>
              </w:rPr>
              <w:t xml:space="preserve">，沧埠村居住用地30.34公顷。主要用于城乡住宅及其居住生活配套的社区服务设施建设。 </w:t>
            </w:r>
          </w:p>
          <w:p w14:paraId="6581099A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8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公共管理与公共服务用地</w:t>
            </w:r>
            <w:r>
              <w:rPr>
                <w:rFonts w:hint="eastAsia" w:ascii="仿宋" w:hAnsi="仿宋" w:eastAsia="仿宋"/>
              </w:rPr>
              <w:t>：杨桥村公共管理与公共服务用地1.00公顷，</w:t>
            </w:r>
            <w:bookmarkStart w:id="2" w:name="OLE_LINK14"/>
            <w:r>
              <w:rPr>
                <w:rFonts w:hint="eastAsia" w:ascii="仿宋" w:hAnsi="仿宋" w:eastAsia="仿宋"/>
              </w:rPr>
              <w:t>沧埠村</w:t>
            </w:r>
            <w:bookmarkEnd w:id="2"/>
            <w:r>
              <w:rPr>
                <w:rFonts w:hint="eastAsia" w:ascii="仿宋" w:hAnsi="仿宋" w:eastAsia="仿宋"/>
              </w:rPr>
              <w:t xml:space="preserve">公共管理与公共服务用地0.19公顷。主要用于机关团体、科研、文化、教育、体育、卫生、社会福利等机构和设施建设。 </w:t>
            </w:r>
          </w:p>
          <w:p w14:paraId="225A5687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9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商业服务业用地</w:t>
            </w:r>
            <w:r>
              <w:rPr>
                <w:rFonts w:hint="eastAsia" w:ascii="仿宋" w:hAnsi="仿宋" w:eastAsia="仿宋"/>
              </w:rPr>
              <w:t>：杨桥村商业服务业用地0.74公顷，沧埠村商业服务业用地0公顷。主要用于商业、商务金融以及娱乐康体等设施建设。</w:t>
            </w:r>
          </w:p>
          <w:p w14:paraId="7EB63D00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10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工矿用地</w:t>
            </w:r>
            <w:r>
              <w:rPr>
                <w:rFonts w:hint="eastAsia" w:ascii="仿宋" w:hAnsi="仿宋" w:eastAsia="仿宋"/>
              </w:rPr>
              <w:t>：杨桥村工矿用地9.80公顷，沧埠村工矿用地0.16公顷。主要用于工矿业生产。</w:t>
            </w:r>
          </w:p>
          <w:p w14:paraId="304F1F8A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11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交通运输用地</w:t>
            </w:r>
            <w:r>
              <w:rPr>
                <w:rFonts w:hint="eastAsia" w:ascii="仿宋" w:hAnsi="仿宋" w:eastAsia="仿宋"/>
              </w:rPr>
              <w:t>：杨桥村交通运输用地</w:t>
            </w:r>
            <w:r>
              <w:rPr>
                <w:rFonts w:hint="eastAsia"/>
              </w:rPr>
              <w:t>34.97</w:t>
            </w:r>
            <w:r>
              <w:rPr>
                <w:rFonts w:hint="eastAsia" w:ascii="仿宋" w:hAnsi="仿宋" w:eastAsia="仿宋"/>
              </w:rPr>
              <w:t>公顷，</w:t>
            </w:r>
            <w:bookmarkStart w:id="3" w:name="OLE_LINK20"/>
            <w:r>
              <w:rPr>
                <w:rFonts w:hint="eastAsia" w:ascii="仿宋" w:hAnsi="仿宋" w:eastAsia="仿宋"/>
              </w:rPr>
              <w:t>沧埠村</w:t>
            </w:r>
            <w:bookmarkEnd w:id="3"/>
            <w:r>
              <w:rPr>
                <w:rFonts w:hint="eastAsia" w:ascii="仿宋" w:hAnsi="仿宋" w:eastAsia="仿宋"/>
              </w:rPr>
              <w:t>交通运输用地</w:t>
            </w:r>
            <w:r>
              <w:rPr>
                <w:rFonts w:hint="eastAsia"/>
              </w:rPr>
              <w:t>16.03</w:t>
            </w:r>
            <w:r>
              <w:rPr>
                <w:rFonts w:hint="eastAsia" w:ascii="仿宋" w:hAnsi="仿宋" w:eastAsia="仿宋"/>
              </w:rPr>
              <w:t xml:space="preserve">公顷。主要用于铁路、公路、机场、港口码头、管道运输、城市轨道交通、各种道路以及交通场站等交通运输设施及其附属设施建设。 </w:t>
            </w:r>
          </w:p>
          <w:p w14:paraId="6679B265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12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公用设施用地</w:t>
            </w:r>
            <w:r>
              <w:rPr>
                <w:rFonts w:hint="eastAsia" w:ascii="仿宋" w:hAnsi="仿宋" w:eastAsia="仿宋"/>
              </w:rPr>
              <w:t xml:space="preserve">：杨桥村公用设施用地3.44公顷，沧埠村公用设施用地5.41公顷。主要用于城乡和区域基础设施的供水、排水、供电、供燃气、供热、通信、邮政、广播电视、环卫、消防、干渠、水工等设施建设。 </w:t>
            </w:r>
          </w:p>
          <w:p w14:paraId="65BDAE8C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13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绿地与开敞空间用地</w:t>
            </w:r>
            <w:r>
              <w:rPr>
                <w:rFonts w:hint="eastAsia" w:ascii="仿宋" w:hAnsi="仿宋" w:eastAsia="仿宋"/>
              </w:rPr>
              <w:t xml:space="preserve">：杨桥村绿地与开敞空间用地0.36公顷，沧埠村绿地与开敞空间用地0.06公顷。主要用于城镇、村庄建设用地范围内的公园绿地、防护绿地、广场等公共开敞空间。 </w:t>
            </w:r>
          </w:p>
          <w:p w14:paraId="38DE133E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14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特殊用地</w:t>
            </w:r>
            <w:r>
              <w:rPr>
                <w:rFonts w:hint="eastAsia" w:ascii="仿宋" w:hAnsi="仿宋" w:eastAsia="仿宋"/>
              </w:rPr>
              <w:t xml:space="preserve">：杨桥村特殊用地0.18公顷，沧埠村特殊用地0.08公顷。主要用于军事、外事、宗教、安保、殡葬，以及文物古迹等具有特殊性质的土地。 </w:t>
            </w:r>
          </w:p>
          <w:p w14:paraId="3A94F7F5">
            <w:pPr>
              <w:pStyle w:val="5"/>
              <w:spacing w:line="3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b/>
                <w:bCs/>
              </w:rPr>
              <w:t>15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留白用地</w:t>
            </w:r>
            <w:r>
              <w:rPr>
                <w:rFonts w:hint="eastAsia" w:ascii="仿宋" w:hAnsi="仿宋" w:eastAsia="仿宋"/>
              </w:rPr>
              <w:t xml:space="preserve">：杨桥村留白用地1.81公顷，沧埠村留白用地0公顷。待用地性质明确后可按要求使用。在用地性质明确前，按现状地类使用，不得闲置浪费。 </w:t>
            </w:r>
          </w:p>
          <w:p w14:paraId="7FF941F3">
            <w:pPr>
              <w:pStyle w:val="5"/>
              <w:spacing w:line="300" w:lineRule="exact"/>
              <w:rPr>
                <w:rFonts w:hint="eastAsia"/>
              </w:rPr>
            </w:pPr>
            <w:r>
              <w:rPr>
                <w:rFonts w:hint="eastAsia" w:ascii="仿宋" w:hAnsi="仿宋" w:eastAsia="仿宋"/>
                <w:b/>
                <w:bCs/>
              </w:rPr>
              <w:t>16</w:t>
            </w:r>
            <w:r>
              <w:rPr>
                <w:rFonts w:ascii="仿宋" w:hAnsi="仿宋" w:eastAsia="仿宋"/>
                <w:b/>
                <w:bCs/>
              </w:rPr>
              <w:t>.</w:t>
            </w:r>
            <w:r>
              <w:rPr>
                <w:rFonts w:hint="eastAsia" w:ascii="仿宋" w:hAnsi="仿宋" w:eastAsia="仿宋"/>
                <w:b/>
                <w:bCs/>
              </w:rPr>
              <w:t>陆地水域</w:t>
            </w:r>
            <w:r>
              <w:rPr>
                <w:rFonts w:hint="eastAsia" w:ascii="仿宋" w:hAnsi="仿宋" w:eastAsia="仿宋"/>
              </w:rPr>
              <w:t>：杨桥村陆地水域52.27公顷，沧埠村陆地水域68.38公顷。主要为陆域内的河流、湖泊等天然陆地水域，以及水库、坑塘水面、沟渠等人工陆地水域。河流、湖泊、水库禁止改变用途，坑塘水面、沟渠禁止非农建设。</w:t>
            </w:r>
          </w:p>
        </w:tc>
      </w:tr>
    </w:tbl>
    <w:p w14:paraId="4F68F80D">
      <w:pPr>
        <w:pStyle w:val="5"/>
        <w:rPr>
          <w:rFonts w:hint="eastAsia"/>
          <w:b/>
          <w:bCs/>
          <w:sz w:val="28"/>
          <w:szCs w:val="28"/>
        </w:rPr>
      </w:pPr>
    </w:p>
    <w:sectPr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noPunctuationKerning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ZhYzYxNmE4NzRiN2VlMThlMjZlYTEzNzA0MGU4YzEifQ=="/>
  </w:docVars>
  <w:rsids>
    <w:rsidRoot w:val="0053789F"/>
    <w:rsid w:val="00001F99"/>
    <w:rsid w:val="00004479"/>
    <w:rsid w:val="000109B3"/>
    <w:rsid w:val="000171A5"/>
    <w:rsid w:val="00027DC1"/>
    <w:rsid w:val="00031756"/>
    <w:rsid w:val="00047E2A"/>
    <w:rsid w:val="000A554D"/>
    <w:rsid w:val="000B3480"/>
    <w:rsid w:val="000B64BA"/>
    <w:rsid w:val="000E72D0"/>
    <w:rsid w:val="00136D68"/>
    <w:rsid w:val="00167CCE"/>
    <w:rsid w:val="00170C3E"/>
    <w:rsid w:val="00176A44"/>
    <w:rsid w:val="001B17E0"/>
    <w:rsid w:val="00212CEE"/>
    <w:rsid w:val="00256C07"/>
    <w:rsid w:val="00267F41"/>
    <w:rsid w:val="00286D56"/>
    <w:rsid w:val="002B26D8"/>
    <w:rsid w:val="002B69A1"/>
    <w:rsid w:val="002C56DC"/>
    <w:rsid w:val="002E1A3E"/>
    <w:rsid w:val="002F63FA"/>
    <w:rsid w:val="00303E4B"/>
    <w:rsid w:val="00317A63"/>
    <w:rsid w:val="00330564"/>
    <w:rsid w:val="00347C69"/>
    <w:rsid w:val="003B111A"/>
    <w:rsid w:val="003B48E2"/>
    <w:rsid w:val="00427D2F"/>
    <w:rsid w:val="00442AC2"/>
    <w:rsid w:val="004A1B31"/>
    <w:rsid w:val="004B6802"/>
    <w:rsid w:val="004D3C57"/>
    <w:rsid w:val="005308D0"/>
    <w:rsid w:val="0053476C"/>
    <w:rsid w:val="0053789F"/>
    <w:rsid w:val="00550DE7"/>
    <w:rsid w:val="00551AEE"/>
    <w:rsid w:val="005916D3"/>
    <w:rsid w:val="005A5CE6"/>
    <w:rsid w:val="005C3C95"/>
    <w:rsid w:val="005D5040"/>
    <w:rsid w:val="00603F6B"/>
    <w:rsid w:val="006549BC"/>
    <w:rsid w:val="00681F8C"/>
    <w:rsid w:val="006857A5"/>
    <w:rsid w:val="00690C0E"/>
    <w:rsid w:val="00693462"/>
    <w:rsid w:val="0069471C"/>
    <w:rsid w:val="006A0632"/>
    <w:rsid w:val="006A1A2E"/>
    <w:rsid w:val="006B4762"/>
    <w:rsid w:val="006D2F50"/>
    <w:rsid w:val="006D7878"/>
    <w:rsid w:val="00705515"/>
    <w:rsid w:val="00767D3B"/>
    <w:rsid w:val="00783CF0"/>
    <w:rsid w:val="007921E0"/>
    <w:rsid w:val="007A6580"/>
    <w:rsid w:val="007C42B0"/>
    <w:rsid w:val="007E0095"/>
    <w:rsid w:val="007E0AFE"/>
    <w:rsid w:val="007E3489"/>
    <w:rsid w:val="008253F7"/>
    <w:rsid w:val="008614D8"/>
    <w:rsid w:val="0087479B"/>
    <w:rsid w:val="00891C8B"/>
    <w:rsid w:val="008A22E4"/>
    <w:rsid w:val="008A7161"/>
    <w:rsid w:val="008B3D33"/>
    <w:rsid w:val="008C47A9"/>
    <w:rsid w:val="00916F9E"/>
    <w:rsid w:val="009459EA"/>
    <w:rsid w:val="00957C2C"/>
    <w:rsid w:val="009636EE"/>
    <w:rsid w:val="00982AB1"/>
    <w:rsid w:val="009A4812"/>
    <w:rsid w:val="009D3176"/>
    <w:rsid w:val="009F0909"/>
    <w:rsid w:val="00A04F47"/>
    <w:rsid w:val="00A51BDA"/>
    <w:rsid w:val="00A6730B"/>
    <w:rsid w:val="00A872DF"/>
    <w:rsid w:val="00B11239"/>
    <w:rsid w:val="00B36132"/>
    <w:rsid w:val="00B431E9"/>
    <w:rsid w:val="00B516B1"/>
    <w:rsid w:val="00B61563"/>
    <w:rsid w:val="00B7018C"/>
    <w:rsid w:val="00B969FA"/>
    <w:rsid w:val="00C22421"/>
    <w:rsid w:val="00C23921"/>
    <w:rsid w:val="00C26E1A"/>
    <w:rsid w:val="00C30619"/>
    <w:rsid w:val="00C4046C"/>
    <w:rsid w:val="00C45A9F"/>
    <w:rsid w:val="00CA1FB4"/>
    <w:rsid w:val="00CA4727"/>
    <w:rsid w:val="00CA49A3"/>
    <w:rsid w:val="00CA5646"/>
    <w:rsid w:val="00CB6980"/>
    <w:rsid w:val="00CF781E"/>
    <w:rsid w:val="00D20BEF"/>
    <w:rsid w:val="00D246C5"/>
    <w:rsid w:val="00D50392"/>
    <w:rsid w:val="00D51B74"/>
    <w:rsid w:val="00D523FC"/>
    <w:rsid w:val="00D53D1D"/>
    <w:rsid w:val="00D55DAE"/>
    <w:rsid w:val="00D72B12"/>
    <w:rsid w:val="00DF063B"/>
    <w:rsid w:val="00E07611"/>
    <w:rsid w:val="00E310D7"/>
    <w:rsid w:val="00E56581"/>
    <w:rsid w:val="00E61766"/>
    <w:rsid w:val="00E947D5"/>
    <w:rsid w:val="00EA682A"/>
    <w:rsid w:val="00EE0DC2"/>
    <w:rsid w:val="00F14A7D"/>
    <w:rsid w:val="00F537A8"/>
    <w:rsid w:val="00F57CDD"/>
    <w:rsid w:val="00F657C7"/>
    <w:rsid w:val="058F45C0"/>
    <w:rsid w:val="06252F85"/>
    <w:rsid w:val="17E27E3A"/>
    <w:rsid w:val="1B4F0EC0"/>
    <w:rsid w:val="21E85C1A"/>
    <w:rsid w:val="40047D3D"/>
    <w:rsid w:val="47560017"/>
    <w:rsid w:val="4C642B51"/>
    <w:rsid w:val="5FE04D0E"/>
    <w:rsid w:val="60430DF2"/>
    <w:rsid w:val="61485357"/>
    <w:rsid w:val="7448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styleId="2">
    <w:name w:val="heading 2"/>
    <w:basedOn w:val="1"/>
    <w:link w:val="9"/>
    <w:qFormat/>
    <w:uiPriority w:val="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table" w:styleId="7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标题 2 字符"/>
    <w:basedOn w:val="8"/>
    <w:link w:val="2"/>
    <w:semiHidden/>
    <w:qFormat/>
    <w:locked/>
    <w:uiPriority w:val="9"/>
    <w:rPr>
      <w:rFonts w:hint="default" w:asciiTheme="majorHAnsi" w:hAnsiTheme="majorHAnsi" w:eastAsiaTheme="majorEastAsia" w:cstheme="majorBidi"/>
      <w:b/>
      <w:bCs/>
      <w:sz w:val="32"/>
      <w:szCs w:val="32"/>
    </w:rPr>
  </w:style>
  <w:style w:type="paragraph" w:customStyle="1" w:styleId="10">
    <w:name w:val="table"/>
    <w:basedOn w:val="1"/>
    <w:semiHidden/>
    <w:qFormat/>
    <w:uiPriority w:val="99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100" w:beforeAutospacing="1" w:after="100" w:afterAutospacing="1"/>
    </w:pPr>
  </w:style>
  <w:style w:type="paragraph" w:customStyle="1" w:styleId="11">
    <w:name w:val="m-dttexts"/>
    <w:basedOn w:val="1"/>
    <w:semiHidden/>
    <w:qFormat/>
    <w:uiPriority w:val="99"/>
    <w:pPr>
      <w:spacing w:before="100" w:beforeAutospacing="1" w:after="100" w:afterAutospacing="1" w:line="448" w:lineRule="auto"/>
    </w:pPr>
  </w:style>
  <w:style w:type="paragraph" w:customStyle="1" w:styleId="12">
    <w:name w:val="u-title"/>
    <w:basedOn w:val="1"/>
    <w:semiHidden/>
    <w:qFormat/>
    <w:uiPriority w:val="99"/>
    <w:pPr>
      <w:spacing w:before="225" w:after="225"/>
      <w:jc w:val="center"/>
    </w:pPr>
    <w:rPr>
      <w:sz w:val="45"/>
      <w:szCs w:val="45"/>
    </w:rPr>
  </w:style>
  <w:style w:type="paragraph" w:customStyle="1" w:styleId="13">
    <w:name w:val="p"/>
    <w:basedOn w:val="1"/>
    <w:semiHidden/>
    <w:qFormat/>
    <w:uiPriority w:val="99"/>
    <w:pPr>
      <w:spacing w:before="100" w:beforeAutospacing="1" w:after="100" w:afterAutospacing="1"/>
    </w:pPr>
  </w:style>
  <w:style w:type="character" w:customStyle="1" w:styleId="14">
    <w:name w:val="页眉 字符"/>
    <w:basedOn w:val="8"/>
    <w:link w:val="4"/>
    <w:qFormat/>
    <w:uiPriority w:val="99"/>
    <w:rPr>
      <w:rFonts w:ascii="宋体" w:hAnsi="宋体" w:eastAsia="宋体" w:cs="宋体"/>
      <w:sz w:val="18"/>
      <w:szCs w:val="18"/>
    </w:rPr>
  </w:style>
  <w:style w:type="character" w:customStyle="1" w:styleId="15">
    <w:name w:val="页脚 字符"/>
    <w:basedOn w:val="8"/>
    <w:link w:val="3"/>
    <w:qFormat/>
    <w:uiPriority w:val="99"/>
    <w:rPr>
      <w:rFonts w:ascii="宋体" w:hAnsi="宋体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8</Pages>
  <Words>2516</Words>
  <Characters>2946</Characters>
  <Lines>24</Lines>
  <Paragraphs>7</Paragraphs>
  <TotalTime>3</TotalTime>
  <ScaleCrop>false</ScaleCrop>
  <LinksUpToDate>false</LinksUpToDate>
  <CharactersWithSpaces>2985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2023-08-08T01:18:00Z</dcterms:created>
  <dc:creator>Windows 用户</dc:creator>
  <cp:lastModifiedBy>昼然</cp:lastModifiedBy>
  <cp:lastPrinted>2025-08-05T02:21:00Z</cp:lastPrinted>
  <dcterms:modified xsi:type="dcterms:W3CDTF">2025-08-19T01:24:33Z</dcterms:modified>
  <dc:title>关于《池州市贵池区梅龙街道新龙村村庄规划（2021-2035年）》的公示-池州市贵池区人民政府</dc:title>
  <cp:revision>88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707E00D540704D3692D435556399F858_13</vt:lpwstr>
  </property>
  <property fmtid="{D5CDD505-2E9C-101B-9397-08002B2CF9AE}" pid="4" name="KSOTemplateDocerSaveRecord">
    <vt:lpwstr>eyJoZGlkIjoiMWZhYzYxNmE4NzRiN2VlMThlMjZlYTEzNzA0MGU4YzEiLCJ1c2VySWQiOiI3Mzg1Nzc4MjcifQ==</vt:lpwstr>
  </property>
</Properties>
</file>