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5DCBDE">
      <w:pPr>
        <w:keepNext w:val="0"/>
        <w:keepLines w:val="0"/>
        <w:pageBreakBefore w:val="0"/>
        <w:widowControl w:val="0"/>
        <w:kinsoku/>
        <w:wordWrap/>
        <w:overflowPunct/>
        <w:topLinePunct w:val="0"/>
        <w:autoSpaceDE/>
        <w:autoSpaceDN/>
        <w:bidi w:val="0"/>
        <w:adjustRightInd/>
        <w:snapToGrid/>
        <w:spacing w:line="580" w:lineRule="exact"/>
        <w:jc w:val="left"/>
        <w:textAlignment w:val="auto"/>
        <w:rPr>
          <w:rFonts w:hint="eastAsia" w:ascii="黑体" w:hAnsi="黑体" w:eastAsia="黑体" w:cs="黑体"/>
          <w:w w:val="90"/>
          <w:sz w:val="32"/>
          <w:szCs w:val="32"/>
          <w:lang w:val="en-US" w:eastAsia="zh-CN"/>
        </w:rPr>
      </w:pPr>
      <w:r>
        <w:rPr>
          <w:rFonts w:hint="eastAsia" w:ascii="黑体" w:hAnsi="黑体" w:eastAsia="黑体" w:cs="黑体"/>
          <w:w w:val="90"/>
          <w:sz w:val="32"/>
          <w:szCs w:val="32"/>
          <w:lang w:val="en-US" w:eastAsia="zh-CN"/>
        </w:rPr>
        <w:t xml:space="preserve">附件1 </w:t>
      </w:r>
    </w:p>
    <w:p w14:paraId="1427B847">
      <w:pPr>
        <w:keepNext w:val="0"/>
        <w:keepLines w:val="0"/>
        <w:pageBreakBefore w:val="0"/>
        <w:widowControl w:val="0"/>
        <w:kinsoku/>
        <w:wordWrap/>
        <w:overflowPunct/>
        <w:topLinePunct w:val="0"/>
        <w:autoSpaceDE/>
        <w:autoSpaceDN/>
        <w:bidi w:val="0"/>
        <w:adjustRightInd/>
        <w:snapToGrid/>
        <w:spacing w:before="313" w:beforeLines="100" w:line="580" w:lineRule="exact"/>
        <w:jc w:val="center"/>
        <w:textAlignment w:val="auto"/>
        <w:rPr>
          <w:rFonts w:hint="eastAsia" w:ascii="方正楷体简体" w:hAnsi="方正楷体简体" w:eastAsia="方正楷体简体" w:cs="方正楷体简体"/>
          <w:w w:val="100"/>
          <w:sz w:val="32"/>
          <w:szCs w:val="32"/>
          <w:lang w:val="en-US" w:eastAsia="zh-CN"/>
        </w:rPr>
      </w:pPr>
      <w:r>
        <w:rPr>
          <w:rFonts w:hint="eastAsia" w:ascii="方正小标宋简体" w:hAnsi="方正小标宋简体" w:eastAsia="方正小标宋简体" w:cs="方正小标宋简体"/>
          <w:w w:val="90"/>
          <w:sz w:val="44"/>
          <w:szCs w:val="44"/>
          <w:lang w:val="en-US" w:eastAsia="zh-CN"/>
        </w:rPr>
        <w:t>贵池区科创企业攀高五年行动计划</w:t>
      </w:r>
      <w:r>
        <w:rPr>
          <w:rFonts w:hint="default" w:ascii="Times New Roman" w:hAnsi="Times New Roman" w:eastAsia="方正小标宋简体" w:cs="Times New Roman"/>
          <w:w w:val="90"/>
          <w:sz w:val="44"/>
          <w:szCs w:val="44"/>
          <w:lang w:val="en-US" w:eastAsia="zh-CN"/>
        </w:rPr>
        <w:t>（2025-202</w:t>
      </w:r>
      <w:r>
        <w:rPr>
          <w:rFonts w:hint="eastAsia" w:ascii="Times New Roman" w:hAnsi="Times New Roman" w:eastAsia="方正小标宋简体" w:cs="Times New Roman"/>
          <w:w w:val="90"/>
          <w:sz w:val="44"/>
          <w:szCs w:val="44"/>
          <w:lang w:val="en-US" w:eastAsia="zh-CN"/>
        </w:rPr>
        <w:t>9</w:t>
      </w:r>
      <w:r>
        <w:rPr>
          <w:rFonts w:hint="default" w:ascii="Times New Roman" w:hAnsi="Times New Roman" w:eastAsia="方正小标宋简体" w:cs="Times New Roman"/>
          <w:w w:val="90"/>
          <w:sz w:val="44"/>
          <w:szCs w:val="44"/>
          <w:lang w:val="en-US" w:eastAsia="zh-CN"/>
        </w:rPr>
        <w:t>年）</w:t>
      </w:r>
      <w:r>
        <w:rPr>
          <w:rFonts w:hint="eastAsia" w:ascii="方正楷体简体" w:hAnsi="方正楷体简体" w:eastAsia="方正楷体简体" w:cs="方正楷体简体"/>
          <w:w w:val="100"/>
          <w:sz w:val="32"/>
          <w:szCs w:val="32"/>
          <w:lang w:val="en-US" w:eastAsia="zh-CN"/>
        </w:rPr>
        <w:t>（征求意见稿）</w:t>
      </w:r>
    </w:p>
    <w:p w14:paraId="218BE88D">
      <w:pPr>
        <w:keepNext w:val="0"/>
        <w:keepLines w:val="0"/>
        <w:pageBreakBefore w:val="0"/>
        <w:widowControl w:val="0"/>
        <w:kinsoku/>
        <w:wordWrap/>
        <w:overflowPunct/>
        <w:topLinePunct w:val="0"/>
        <w:autoSpaceDE/>
        <w:autoSpaceDN/>
        <w:bidi w:val="0"/>
        <w:adjustRightInd/>
        <w:snapToGrid/>
        <w:spacing w:line="580" w:lineRule="exact"/>
        <w:jc w:val="center"/>
        <w:textAlignment w:val="auto"/>
        <w:rPr>
          <w:rFonts w:hint="eastAsia" w:ascii="方正楷体简体" w:hAnsi="方正楷体简体" w:eastAsia="方正楷体简体" w:cs="方正楷体简体"/>
          <w:w w:val="100"/>
          <w:sz w:val="32"/>
          <w:szCs w:val="32"/>
          <w:lang w:val="en-US" w:eastAsia="zh-CN"/>
        </w:rPr>
      </w:pPr>
    </w:p>
    <w:p w14:paraId="4E22B01F">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lang w:val="en-US" w:eastAsia="zh-CN"/>
        </w:rPr>
      </w:pPr>
      <w:r>
        <w:rPr>
          <w:rFonts w:hint="eastAsia"/>
          <w:lang w:val="en-US" w:eastAsia="zh-CN"/>
        </w:rPr>
        <w:t>为大力实施创新驱动发展战略，强化企业科技创新主体地位，激发创新创业活力，以科技创新推动产业创新，赋能我区经济社会高质量发展。结合实际，制定本计划。</w:t>
      </w:r>
    </w:p>
    <w:p w14:paraId="0D11D0BE">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default" w:ascii="黑体" w:hAnsi="黑体" w:eastAsia="黑体" w:cs="黑体"/>
          <w:lang w:val="en-US" w:eastAsia="zh-CN"/>
        </w:rPr>
      </w:pPr>
      <w:r>
        <w:rPr>
          <w:rFonts w:hint="eastAsia" w:ascii="黑体" w:hAnsi="黑体" w:eastAsia="黑体" w:cs="黑体"/>
          <w:lang w:val="en-US" w:eastAsia="zh-CN"/>
        </w:rPr>
        <w:t>一、指导思想</w:t>
      </w:r>
    </w:p>
    <w:p w14:paraId="7AB86974">
      <w:pPr>
        <w:keepNext w:val="0"/>
        <w:keepLines w:val="0"/>
        <w:pageBreakBefore w:val="0"/>
        <w:widowControl w:val="0"/>
        <w:kinsoku/>
        <w:wordWrap/>
        <w:overflowPunct/>
        <w:topLinePunct w:val="0"/>
        <w:autoSpaceDE/>
        <w:autoSpaceDN/>
        <w:bidi w:val="0"/>
        <w:adjustRightInd/>
        <w:snapToGrid/>
        <w:spacing w:line="540" w:lineRule="exact"/>
        <w:ind w:firstLine="640" w:firstLineChars="200"/>
        <w:jc w:val="both"/>
        <w:textAlignment w:val="auto"/>
        <w:rPr>
          <w:rFonts w:hint="default" w:ascii="仿宋_GB2312" w:hAnsi="仿宋_GB2312" w:eastAsia="仿宋_GB2312" w:cs="仿宋_GB2312"/>
          <w:lang w:val="en-US" w:eastAsia="zh-CN"/>
        </w:rPr>
      </w:pPr>
      <w:r>
        <w:rPr>
          <w:rFonts w:hint="eastAsia" w:cs="仿宋_GB2312"/>
          <w:lang w:val="en-US" w:eastAsia="zh-CN"/>
        </w:rPr>
        <w:t>以习近平新时代中国特色社会主义思想为指导，深入贯彻落实党的二十届三中全会精神和习近平总书记考察安徽重要讲话精神，聚焦我区企业创新发展，以分层分类、梯次培育为着力点，坚持“重点突出、梯度扶持、精准施策、靶向培育”的原则，构建科创企业梯次培育体系，加快形成“发现一批、培育一批、认定一批、做强一批”的工作格局，为我区经济社会高质量发展提供科技支撑。</w:t>
      </w:r>
    </w:p>
    <w:p w14:paraId="11268ABE">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黑体" w:hAnsi="黑体" w:eastAsia="黑体" w:cs="黑体"/>
          <w:lang w:val="en-US" w:eastAsia="zh-CN"/>
        </w:rPr>
      </w:pPr>
      <w:r>
        <w:rPr>
          <w:rFonts w:hint="eastAsia" w:ascii="黑体" w:hAnsi="黑体" w:eastAsia="黑体" w:cs="黑体"/>
          <w:lang w:val="en-US" w:eastAsia="zh-CN"/>
        </w:rPr>
        <w:t>二、总体目标</w:t>
      </w:r>
    </w:p>
    <w:p w14:paraId="09580963">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cs="仿宋_GB2312"/>
          <w:lang w:val="en-US" w:eastAsia="zh-CN"/>
        </w:rPr>
      </w:pPr>
      <w:r>
        <w:rPr>
          <w:rFonts w:hint="default" w:cs="仿宋_GB2312"/>
          <w:lang w:val="en-US" w:eastAsia="zh-CN"/>
        </w:rPr>
        <w:t>深入实施创新驱动核心战略和产业强区主导战略，建立完善科创企业培育机制，构建“科技型中小企业-高新技术企业-科创型标杆企业”梯次培育体系，加大创新激励和政策引导力度，持续提升企业自主创新能力，不断壮大全区科创企业集群规模。力争到202</w:t>
      </w:r>
      <w:r>
        <w:rPr>
          <w:rFonts w:hint="eastAsia" w:cs="仿宋_GB2312"/>
          <w:lang w:val="en-US" w:eastAsia="zh-CN"/>
        </w:rPr>
        <w:t>9</w:t>
      </w:r>
      <w:r>
        <w:rPr>
          <w:rFonts w:hint="default" w:cs="仿宋_GB2312"/>
          <w:lang w:val="en-US" w:eastAsia="zh-CN"/>
        </w:rPr>
        <w:t>年，全区科技型中小企业突破</w:t>
      </w:r>
      <w:r>
        <w:rPr>
          <w:rFonts w:hint="eastAsia" w:cs="仿宋_GB2312"/>
          <w:lang w:val="en-US" w:eastAsia="zh-CN"/>
        </w:rPr>
        <w:t>490</w:t>
      </w:r>
      <w:r>
        <w:rPr>
          <w:rFonts w:hint="default" w:cs="仿宋_GB2312"/>
          <w:lang w:val="en-US" w:eastAsia="zh-CN"/>
        </w:rPr>
        <w:t>家</w:t>
      </w:r>
      <w:r>
        <w:rPr>
          <w:rFonts w:hint="eastAsia" w:cs="仿宋_GB2312"/>
          <w:lang w:val="en-US" w:eastAsia="zh-CN"/>
        </w:rPr>
        <w:t>、全市占比达35%以上，</w:t>
      </w:r>
      <w:r>
        <w:rPr>
          <w:rFonts w:hint="default" w:cs="仿宋_GB2312"/>
          <w:lang w:val="en-US" w:eastAsia="zh-CN"/>
        </w:rPr>
        <w:t>有效高新技术企业突破</w:t>
      </w:r>
      <w:r>
        <w:rPr>
          <w:rFonts w:hint="eastAsia" w:cs="仿宋_GB2312"/>
          <w:lang w:val="en-US" w:eastAsia="zh-CN"/>
        </w:rPr>
        <w:t>234</w:t>
      </w:r>
      <w:r>
        <w:rPr>
          <w:rFonts w:hint="default" w:cs="仿宋_GB2312"/>
          <w:lang w:val="en-US" w:eastAsia="zh-CN"/>
        </w:rPr>
        <w:t>家</w:t>
      </w:r>
      <w:r>
        <w:rPr>
          <w:rFonts w:hint="eastAsia" w:cs="仿宋_GB2312"/>
          <w:lang w:val="en-US" w:eastAsia="zh-CN"/>
        </w:rPr>
        <w:t>、全市占比达30%以上，</w:t>
      </w:r>
      <w:r>
        <w:rPr>
          <w:rFonts w:hint="default" w:cs="仿宋_GB2312"/>
          <w:lang w:val="en-US" w:eastAsia="zh-CN"/>
        </w:rPr>
        <w:t>培育科创型标杆企业1</w:t>
      </w:r>
      <w:r>
        <w:rPr>
          <w:rFonts w:hint="eastAsia" w:cs="仿宋_GB2312"/>
          <w:lang w:val="en-US" w:eastAsia="zh-CN"/>
        </w:rPr>
        <w:t>5</w:t>
      </w:r>
      <w:r>
        <w:rPr>
          <w:rFonts w:hint="default" w:cs="仿宋_GB2312"/>
          <w:lang w:val="en-US" w:eastAsia="zh-CN"/>
        </w:rPr>
        <w:t>家以上。</w:t>
      </w:r>
    </w:p>
    <w:p w14:paraId="40D9BF83">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黑体" w:hAnsi="黑体" w:eastAsia="黑体" w:cs="黑体"/>
          <w:lang w:val="en-US" w:eastAsia="zh-CN"/>
        </w:rPr>
      </w:pPr>
      <w:r>
        <w:rPr>
          <w:rFonts w:hint="eastAsia" w:ascii="黑体" w:hAnsi="黑体" w:eastAsia="黑体" w:cs="黑体"/>
          <w:lang w:val="en-US" w:eastAsia="zh-CN"/>
        </w:rPr>
        <w:t>三、重点措施</w:t>
      </w:r>
    </w:p>
    <w:p w14:paraId="4A4EE7E3">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楷体_GB2312" w:hAnsi="楷体_GB2312" w:eastAsia="楷体_GB2312" w:cs="楷体_GB2312"/>
          <w:lang w:val="en-US" w:eastAsia="zh-CN"/>
        </w:rPr>
      </w:pPr>
      <w:r>
        <w:rPr>
          <w:rFonts w:hint="eastAsia" w:ascii="楷体_GB2312" w:hAnsi="楷体_GB2312" w:eastAsia="楷体_GB2312" w:cs="楷体_GB2312"/>
          <w:lang w:val="en-US" w:eastAsia="zh-CN"/>
        </w:rPr>
        <w:t>（一）加强科创企业源头引育。</w:t>
      </w:r>
    </w:p>
    <w:p w14:paraId="2B35B730">
      <w:pPr>
        <w:keepNext w:val="0"/>
        <w:keepLines w:val="0"/>
        <w:pageBreakBefore w:val="0"/>
        <w:widowControl w:val="0"/>
        <w:kinsoku/>
        <w:wordWrap/>
        <w:overflowPunct/>
        <w:topLinePunct w:val="0"/>
        <w:autoSpaceDE/>
        <w:autoSpaceDN/>
        <w:bidi w:val="0"/>
        <w:adjustRightInd/>
        <w:snapToGrid/>
        <w:spacing w:line="580" w:lineRule="exact"/>
        <w:ind w:firstLine="643" w:firstLineChars="200"/>
        <w:textAlignment w:val="auto"/>
        <w:rPr>
          <w:rFonts w:hint="eastAsia"/>
          <w:lang w:val="en-US" w:eastAsia="zh-CN"/>
        </w:rPr>
      </w:pPr>
      <w:r>
        <w:rPr>
          <w:rFonts w:hint="eastAsia" w:ascii="仿宋_GB2312" w:hAnsi="仿宋_GB2312" w:eastAsia="仿宋_GB2312" w:cs="仿宋_GB2312"/>
          <w:b/>
          <w:bCs/>
          <w:lang w:val="en-US" w:eastAsia="zh-CN"/>
        </w:rPr>
        <w:t>1.加大科技招商工作力度。</w:t>
      </w:r>
      <w:r>
        <w:rPr>
          <w:rFonts w:hint="eastAsia"/>
          <w:lang w:val="en-US" w:eastAsia="zh-CN"/>
        </w:rPr>
        <w:t>围绕主导产业、新兴产业强链补链和未来产业培育，编制科技招商指引，深入对接高校院所，靶向招引高层次人才团队和初创型、硬科技企业。常态化举办、参与“双创汇”等产学研用对接活动，支持重大创新成果来池落地转化并实现产品化、产业化。秉持“非高新不准入”理念，把好项目源头关，力争到2029年招引项目中科创企业（项目）累计占比达90%以上。</w:t>
      </w:r>
    </w:p>
    <w:p w14:paraId="38F73616">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楷体_GB2312" w:hAnsi="楷体_GB2312" w:eastAsia="楷体_GB2312" w:cs="楷体_GB2312"/>
          <w:lang w:val="en-US" w:eastAsia="zh-CN"/>
        </w:rPr>
      </w:pPr>
      <w:r>
        <w:rPr>
          <w:rFonts w:hint="eastAsia" w:ascii="楷体_GB2312" w:hAnsi="楷体_GB2312" w:eastAsia="楷体_GB2312" w:cs="楷体_GB2312"/>
          <w:lang w:val="en-US" w:eastAsia="zh-CN"/>
        </w:rPr>
        <w:t>（二）强化科创企业梯次培育</w:t>
      </w:r>
    </w:p>
    <w:p w14:paraId="5F6E3D4C">
      <w:pPr>
        <w:keepNext w:val="0"/>
        <w:keepLines w:val="0"/>
        <w:pageBreakBefore w:val="0"/>
        <w:widowControl w:val="0"/>
        <w:kinsoku/>
        <w:wordWrap/>
        <w:overflowPunct/>
        <w:topLinePunct w:val="0"/>
        <w:autoSpaceDE/>
        <w:autoSpaceDN/>
        <w:bidi w:val="0"/>
        <w:adjustRightInd/>
        <w:snapToGrid/>
        <w:spacing w:line="580" w:lineRule="exact"/>
        <w:ind w:firstLine="643" w:firstLineChars="200"/>
        <w:textAlignment w:val="auto"/>
        <w:rPr>
          <w:rFonts w:hint="eastAsia"/>
          <w:lang w:val="en-US" w:eastAsia="zh-CN"/>
        </w:rPr>
      </w:pPr>
      <w:r>
        <w:rPr>
          <w:rFonts w:hint="eastAsia" w:cs="仿宋_GB2312"/>
          <w:b/>
          <w:bCs/>
          <w:lang w:val="en-US" w:eastAsia="zh-CN"/>
        </w:rPr>
        <w:t>2</w:t>
      </w:r>
      <w:r>
        <w:rPr>
          <w:rFonts w:hint="eastAsia" w:ascii="仿宋_GB2312" w:hAnsi="仿宋_GB2312" w:eastAsia="仿宋_GB2312" w:cs="仿宋_GB2312"/>
          <w:b/>
          <w:bCs/>
          <w:lang w:val="en-US" w:eastAsia="zh-CN"/>
        </w:rPr>
        <w:t>.集聚一批有发展潜力的科技型中小企业。</w:t>
      </w:r>
      <w:r>
        <w:rPr>
          <w:rFonts w:hint="eastAsia"/>
          <w:lang w:val="en-US" w:eastAsia="zh-CN"/>
        </w:rPr>
        <w:t>加快完善科技型中小企业技术创新服务体系，加强科技服务机构建设，针对企业不同阶段的成长需求，为企业提供技术服务、市场研究、战略咨询等一站式服务。强化科技型中小企业评价推荐工作，推动更多符合条件的中小企业“应评尽评”，不断提高科技型中小企业覆盖率，扩大科技型中小企业规模。</w:t>
      </w:r>
    </w:p>
    <w:p w14:paraId="3363974E">
      <w:pPr>
        <w:keepNext w:val="0"/>
        <w:keepLines w:val="0"/>
        <w:pageBreakBefore w:val="0"/>
        <w:widowControl w:val="0"/>
        <w:kinsoku/>
        <w:wordWrap/>
        <w:overflowPunct/>
        <w:topLinePunct w:val="0"/>
        <w:autoSpaceDE/>
        <w:autoSpaceDN/>
        <w:bidi w:val="0"/>
        <w:adjustRightInd/>
        <w:snapToGrid/>
        <w:spacing w:line="580" w:lineRule="exact"/>
        <w:ind w:firstLine="643" w:firstLineChars="200"/>
        <w:textAlignment w:val="auto"/>
        <w:rPr>
          <w:rFonts w:hint="eastAsia"/>
          <w:lang w:val="en-US" w:eastAsia="zh-CN"/>
        </w:rPr>
      </w:pPr>
      <w:r>
        <w:rPr>
          <w:rFonts w:hint="eastAsia" w:cs="仿宋_GB2312"/>
          <w:b/>
          <w:bCs/>
          <w:lang w:val="en-US" w:eastAsia="zh-CN"/>
        </w:rPr>
        <w:t>3</w:t>
      </w:r>
      <w:r>
        <w:rPr>
          <w:rFonts w:hint="eastAsia" w:ascii="仿宋_GB2312" w:hAnsi="仿宋_GB2312" w:eastAsia="仿宋_GB2312" w:cs="仿宋_GB2312"/>
          <w:b/>
          <w:bCs/>
          <w:lang w:val="en-US" w:eastAsia="zh-CN"/>
        </w:rPr>
        <w:t>.培育一批高质量发展的高新技术企业。</w:t>
      </w:r>
      <w:r>
        <w:rPr>
          <w:rFonts w:hint="eastAsia"/>
          <w:lang w:val="en-US" w:eastAsia="zh-CN"/>
        </w:rPr>
        <w:t>实施企业“双培”工程，把高新技术企业培育成规上企业，提升企业的经济贡献度，把规上企业培育成高企，增强企业的发展后劲，力争2029年规上企业中高企占比突破55%。</w:t>
      </w:r>
      <w:r>
        <w:rPr>
          <w:rFonts w:hint="eastAsia" w:cs="仿宋_GB2312"/>
          <w:lang w:val="en-US" w:eastAsia="zh-CN"/>
        </w:rPr>
        <w:t>持续推进高新技术企业申报认定工作</w:t>
      </w:r>
      <w:r>
        <w:rPr>
          <w:rFonts w:hint="eastAsia"/>
          <w:lang w:val="en-US" w:eastAsia="zh-CN"/>
        </w:rPr>
        <w:t>，全力做好培训辅导等一系列指导服务工作，形成高新技术企业科创森林，进一步发挥高新技术企业对全区产业高质量发展的技术引领和创新支撑作用</w:t>
      </w:r>
      <w:r>
        <w:rPr>
          <w:rFonts w:hint="eastAsia" w:cs="仿宋_GB2312"/>
          <w:lang w:val="en-US" w:eastAsia="zh-CN"/>
        </w:rPr>
        <w:t>。</w:t>
      </w:r>
    </w:p>
    <w:p w14:paraId="2A4048EB">
      <w:pPr>
        <w:keepNext w:val="0"/>
        <w:keepLines w:val="0"/>
        <w:pageBreakBefore w:val="0"/>
        <w:widowControl w:val="0"/>
        <w:kinsoku/>
        <w:wordWrap/>
        <w:overflowPunct/>
        <w:topLinePunct w:val="0"/>
        <w:autoSpaceDE/>
        <w:autoSpaceDN/>
        <w:bidi w:val="0"/>
        <w:adjustRightInd/>
        <w:snapToGrid/>
        <w:spacing w:line="580" w:lineRule="exact"/>
        <w:ind w:firstLine="643" w:firstLineChars="200"/>
        <w:textAlignment w:val="auto"/>
        <w:rPr>
          <w:rFonts w:hint="eastAsia"/>
          <w:lang w:val="en-US" w:eastAsia="zh-CN"/>
        </w:rPr>
      </w:pPr>
      <w:r>
        <w:rPr>
          <w:rFonts w:hint="eastAsia" w:cs="仿宋_GB2312"/>
          <w:b/>
          <w:bCs/>
          <w:lang w:val="en-US" w:eastAsia="zh-CN"/>
        </w:rPr>
        <w:t>4</w:t>
      </w:r>
      <w:r>
        <w:rPr>
          <w:rFonts w:hint="eastAsia" w:ascii="仿宋_GB2312" w:hAnsi="仿宋_GB2312" w:eastAsia="仿宋_GB2312" w:cs="仿宋_GB2312"/>
          <w:b/>
          <w:bCs/>
          <w:lang w:val="en-US" w:eastAsia="zh-CN"/>
        </w:rPr>
        <w:t>.扶持一批高成长性的科创型标杆企业。</w:t>
      </w:r>
      <w:r>
        <w:rPr>
          <w:rFonts w:hint="eastAsia"/>
          <w:lang w:val="en-US" w:eastAsia="zh-CN"/>
        </w:rPr>
        <w:t>围绕高端装备制造、新能源和节能环保、新材料、新一代电子信息技术、大健康等重点领域，在高新技术企业中筛选出一批产值5000万以上、行业细分领域排名全国前列、技术含量高、成长速度快、盈利能力强、产业模式新、发展潜力大的企业进行重点培育。在研发投入、科技项目、科技金融服务等方面采取“一企一策”方式予以集成支持，引导各类创新要素向重点企业集聚，帮助企业做大做强，加速成长为瞪羚企业和潜在独角兽企业。</w:t>
      </w:r>
    </w:p>
    <w:p w14:paraId="320F93CC">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eastAsia" w:ascii="楷体_GB2312" w:hAnsi="楷体_GB2312" w:eastAsia="楷体_GB2312" w:cs="楷体_GB2312"/>
          <w:lang w:val="en-US" w:eastAsia="zh-CN"/>
        </w:rPr>
      </w:pPr>
      <w:r>
        <w:rPr>
          <w:rFonts w:hint="eastAsia" w:ascii="楷体_GB2312" w:hAnsi="楷体_GB2312" w:eastAsia="楷体_GB2312" w:cs="楷体_GB2312"/>
          <w:lang w:val="en-US" w:eastAsia="zh-CN"/>
        </w:rPr>
        <w:t>（三）提升科创企业创新能力</w:t>
      </w:r>
    </w:p>
    <w:p w14:paraId="03AD21F2">
      <w:pPr>
        <w:keepNext w:val="0"/>
        <w:keepLines w:val="0"/>
        <w:pageBreakBefore w:val="0"/>
        <w:widowControl w:val="0"/>
        <w:kinsoku/>
        <w:wordWrap/>
        <w:overflowPunct/>
        <w:topLinePunct w:val="0"/>
        <w:autoSpaceDE/>
        <w:autoSpaceDN/>
        <w:bidi w:val="0"/>
        <w:adjustRightInd/>
        <w:snapToGrid/>
        <w:spacing w:line="580" w:lineRule="exact"/>
        <w:ind w:firstLine="643" w:firstLineChars="200"/>
        <w:textAlignment w:val="auto"/>
        <w:rPr>
          <w:rFonts w:hint="eastAsia"/>
          <w:b w:val="0"/>
          <w:bCs w:val="0"/>
          <w:lang w:val="en-US" w:eastAsia="zh-CN"/>
        </w:rPr>
      </w:pPr>
      <w:r>
        <w:rPr>
          <w:rFonts w:hint="eastAsia"/>
          <w:b/>
          <w:bCs/>
          <w:lang w:val="en-US" w:eastAsia="zh-CN"/>
        </w:rPr>
        <w:t>5.深化创新体系建设。</w:t>
      </w:r>
      <w:r>
        <w:rPr>
          <w:rFonts w:hint="eastAsia"/>
          <w:b w:val="0"/>
          <w:bCs w:val="0"/>
          <w:lang w:val="en-US" w:eastAsia="zh-CN"/>
        </w:rPr>
        <w:t>支持规上工业企业加大新产品开发和技术改造投入力度，实现亿元以上无研发活动的规上工业企业“清零”，力争2029年规上工业企业研发活动覆</w:t>
      </w:r>
      <w:r>
        <w:rPr>
          <w:rFonts w:hint="eastAsia"/>
          <w:b w:val="0"/>
          <w:bCs w:val="0"/>
          <w:color w:val="000000" w:themeColor="text1"/>
          <w:lang w:val="en-US" w:eastAsia="zh-CN"/>
          <w14:textFill>
            <w14:solidFill>
              <w14:schemeClr w14:val="tx1"/>
            </w14:solidFill>
          </w14:textFill>
        </w:rPr>
        <w:t>盖率达90%以上，研发投入强度突破1.60%。同步推进产学研深度融合，加</w:t>
      </w:r>
      <w:r>
        <w:rPr>
          <w:rFonts w:hint="eastAsia"/>
          <w:b w:val="0"/>
          <w:bCs w:val="0"/>
          <w:lang w:val="en-US" w:eastAsia="zh-CN"/>
        </w:rPr>
        <w:t>强与池州学院全方位合作，共建产教融合示范区，围绕全区重点产业技术瓶颈，</w:t>
      </w:r>
      <w:r>
        <w:rPr>
          <w:rFonts w:hint="eastAsia"/>
          <w:lang w:val="en-US" w:eastAsia="zh-CN"/>
        </w:rPr>
        <w:t>每年实施“揭榜挂帅”科技项目不少于5个</w:t>
      </w:r>
      <w:r>
        <w:rPr>
          <w:rFonts w:hint="eastAsia"/>
          <w:b w:val="0"/>
          <w:bCs w:val="0"/>
          <w:lang w:val="en-US" w:eastAsia="zh-CN"/>
        </w:rPr>
        <w:t>。加强创新平台梯次培育，推动市级平台升级省级平台，力争2029年省级（含）以上研发平台超75家，规上工业企业中建立研发机构的数量占比达到90%以上。支持组建产业技术创新联合体，围绕突破产业关键共性技术开展深入合作，重点推进竹产业研究院和绿色船舶制造基地产业化运营。</w:t>
      </w:r>
    </w:p>
    <w:p w14:paraId="21984908">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eastAsia" w:ascii="黑体" w:hAnsi="黑体" w:eastAsia="黑体" w:cs="黑体"/>
          <w:lang w:val="en-US" w:eastAsia="zh-CN"/>
        </w:rPr>
      </w:pPr>
      <w:r>
        <w:rPr>
          <w:rFonts w:hint="eastAsia" w:ascii="黑体" w:hAnsi="黑体" w:eastAsia="黑体" w:cs="黑体"/>
          <w:lang w:val="en-US" w:eastAsia="zh-CN"/>
        </w:rPr>
        <w:t>四、保障措施</w:t>
      </w:r>
    </w:p>
    <w:p w14:paraId="6EF08BC9">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eastAsia"/>
          <w:lang w:val="en-US" w:eastAsia="zh-CN"/>
        </w:rPr>
      </w:pPr>
      <w:r>
        <w:rPr>
          <w:rFonts w:hint="eastAsia" w:ascii="楷体_GB2312" w:hAnsi="楷体_GB2312" w:eastAsia="楷体_GB2312" w:cs="楷体_GB2312"/>
          <w:lang w:val="en-US" w:eastAsia="zh-CN"/>
        </w:rPr>
        <w:t>（一）加强组织领导。</w:t>
      </w:r>
      <w:r>
        <w:rPr>
          <w:rFonts w:hint="eastAsia"/>
          <w:lang w:val="en-US" w:eastAsia="zh-CN"/>
        </w:rPr>
        <w:t>区级有关部门要结合自身职责，研究制定配套政策措施，完善科技型企业创新发展协调机制，</w:t>
      </w:r>
      <w:r>
        <w:rPr>
          <w:rFonts w:hint="eastAsia"/>
          <w:color w:val="auto"/>
          <w:lang w:val="en-US" w:eastAsia="zh-CN"/>
        </w:rPr>
        <w:t>建立科技、工信、统计、税务等部门参加的定期会商机制，</w:t>
      </w:r>
      <w:r>
        <w:rPr>
          <w:rFonts w:hint="eastAsia"/>
          <w:lang w:val="en-US" w:eastAsia="zh-CN"/>
        </w:rPr>
        <w:t xml:space="preserve">协调解决企业创新发展过程中碰到的困难和问题，形成上下联动、协同推进的工作格局。 </w:t>
      </w:r>
    </w:p>
    <w:p w14:paraId="37EEF2B2">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eastAsia"/>
          <w:lang w:val="en-US" w:eastAsia="zh-CN"/>
        </w:rPr>
      </w:pPr>
      <w:r>
        <w:rPr>
          <w:rFonts w:hint="eastAsia" w:ascii="楷体_GB2312" w:hAnsi="楷体_GB2312" w:eastAsia="楷体_GB2312" w:cs="楷体_GB2312"/>
          <w:lang w:val="en-US" w:eastAsia="zh-CN"/>
        </w:rPr>
        <w:t>（二）加强宣传培训。</w:t>
      </w:r>
      <w:r>
        <w:rPr>
          <w:rFonts w:hint="eastAsia"/>
          <w:lang w:val="en-US" w:eastAsia="zh-CN"/>
        </w:rPr>
        <w:t>加大科技型企业政策宣传力度，定期开展政策宣讲，为企业提供上门服务，争取政策应享尽享。讲好科技企业故事，树立一批创新性强、成长性好的企业典型，营造尊重企业、服务企业的良好氛围。</w:t>
      </w:r>
    </w:p>
    <w:p w14:paraId="5D04B57E">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eastAsia"/>
          <w:lang w:val="en-US" w:eastAsia="zh-CN"/>
        </w:rPr>
      </w:pPr>
      <w:r>
        <w:rPr>
          <w:rFonts w:hint="eastAsia" w:ascii="楷体_GB2312" w:hAnsi="楷体_GB2312" w:eastAsia="楷体_GB2312" w:cs="楷体_GB2312"/>
          <w:lang w:val="en-US" w:eastAsia="zh-CN"/>
        </w:rPr>
        <w:t>（三）加强责任落实。</w:t>
      </w:r>
      <w:r>
        <w:rPr>
          <w:rFonts w:hint="eastAsia"/>
          <w:lang w:val="en-US" w:eastAsia="zh-CN"/>
        </w:rPr>
        <w:t>加强科技型企业统计分析，对全区科技型企业发展状况及时跟踪、研究。各镇街园区及相关部门要结合实际，明确目标任务，制定细化措施，分解落实责任，全力推动科技型企业培育工作有效开展。</w:t>
      </w:r>
    </w:p>
    <w:p w14:paraId="7D009DF7">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default" w:cs="仿宋_GB2312"/>
          <w:color w:val="000000" w:themeColor="text1"/>
          <w:lang w:val="en-US" w:eastAsia="zh-CN"/>
          <w14:textFill>
            <w14:solidFill>
              <w14:schemeClr w14:val="tx1"/>
            </w14:solidFill>
          </w14:textFill>
        </w:rPr>
      </w:pPr>
      <w:r>
        <w:rPr>
          <w:rFonts w:hint="eastAsia" w:ascii="楷体_GB2312" w:hAnsi="楷体_GB2312" w:eastAsia="楷体_GB2312" w:cs="楷体_GB2312"/>
          <w:color w:val="000000" w:themeColor="text1"/>
          <w:lang w:val="en-US" w:eastAsia="zh-CN"/>
          <w14:textFill>
            <w14:solidFill>
              <w14:schemeClr w14:val="tx1"/>
            </w14:solidFill>
          </w14:textFill>
        </w:rPr>
        <w:t>（四）加强政策保障。</w:t>
      </w:r>
      <w:r>
        <w:rPr>
          <w:rFonts w:hint="eastAsia" w:cs="仿宋_GB2312"/>
          <w:color w:val="000000" w:themeColor="text1"/>
          <w:lang w:val="en-US" w:eastAsia="zh-CN"/>
          <w14:textFill>
            <w14:solidFill>
              <w14:schemeClr w14:val="tx1"/>
            </w14:solidFill>
          </w14:textFill>
        </w:rPr>
        <w:t>立足全区产业基础与创新资源</w:t>
      </w:r>
      <w:r>
        <w:rPr>
          <w:rFonts w:hint="eastAsia" w:ascii="仿宋_GB2312" w:hAnsi="仿宋_GB2312" w:eastAsia="仿宋_GB2312" w:cs="仿宋_GB2312"/>
          <w:color w:val="000000" w:themeColor="text1"/>
          <w:lang w:val="en-US" w:eastAsia="zh-CN"/>
          <w14:textFill>
            <w14:solidFill>
              <w14:schemeClr w14:val="tx1"/>
            </w14:solidFill>
          </w14:textFill>
        </w:rPr>
        <w:t>，</w:t>
      </w:r>
      <w:r>
        <w:rPr>
          <w:rFonts w:hint="eastAsia" w:cs="仿宋_GB2312"/>
          <w:color w:val="000000" w:themeColor="text1"/>
          <w:lang w:val="en-US" w:eastAsia="zh-CN"/>
          <w14:textFill>
            <w14:solidFill>
              <w14:schemeClr w14:val="tx1"/>
            </w14:solidFill>
          </w14:textFill>
        </w:rPr>
        <w:t>以“精准施策、靶向发力”为导向，系统梳理创新主体、</w:t>
      </w:r>
      <w:r>
        <w:rPr>
          <w:rFonts w:hint="eastAsia"/>
          <w:color w:val="000000" w:themeColor="text1"/>
          <w:lang w:val="en-US" w:eastAsia="zh-CN"/>
          <w14:textFill>
            <w14:solidFill>
              <w14:schemeClr w14:val="tx1"/>
            </w14:solidFill>
          </w14:textFill>
        </w:rPr>
        <w:t>科技项目、创新平台和研发投入等关键环节的痛点堵点，分层分类出台专项扶持政策，构建全链条政策支撑体系，降低科创企业制度性成本，激发创新活力。</w:t>
      </w:r>
      <w:r>
        <w:rPr>
          <w:rFonts w:hint="eastAsia" w:hAnsi="仿宋" w:cs="宋体"/>
          <w:b/>
          <w:bCs/>
          <w:color w:val="000000" w:themeColor="text1"/>
          <w:sz w:val="32"/>
          <w:szCs w:val="32"/>
          <w:lang w:val="en-US" w:eastAsia="zh-CN"/>
          <w14:textFill>
            <w14:solidFill>
              <w14:schemeClr w14:val="tx1"/>
            </w14:solidFill>
          </w14:textFill>
        </w:rPr>
        <w:t>一是支持科技招商。</w:t>
      </w:r>
      <w:r>
        <w:rPr>
          <w:rFonts w:hint="eastAsia" w:hAnsi="仿宋" w:cs="宋体"/>
          <w:color w:val="000000" w:themeColor="text1"/>
          <w:sz w:val="32"/>
          <w:szCs w:val="32"/>
          <w:lang w:val="en-US" w:eastAsia="zh-CN"/>
          <w14:textFill>
            <w14:solidFill>
              <w14:schemeClr w14:val="tx1"/>
            </w14:solidFill>
          </w14:textFill>
        </w:rPr>
        <w:t>科技型企业自招商引资协议正式签署之日起三年内，达到规模以上企业标准，且研发投入突破5%，给予一次性奖励20万元，与下述政策三不重复奖励。</w:t>
      </w:r>
      <w:r>
        <w:rPr>
          <w:rFonts w:hint="eastAsia"/>
          <w:b/>
          <w:bCs/>
          <w:color w:val="000000" w:themeColor="text1"/>
          <w:lang w:val="en-US" w:eastAsia="zh-CN"/>
          <w14:textFill>
            <w14:solidFill>
              <w14:schemeClr w14:val="tx1"/>
            </w14:solidFill>
          </w14:textFill>
        </w:rPr>
        <w:t>二是支持创新主体培育。</w:t>
      </w:r>
      <w:r>
        <w:rPr>
          <w:rFonts w:hint="eastAsia"/>
          <w:color w:val="000000" w:themeColor="text1"/>
          <w:lang w:val="en-US" w:eastAsia="zh-CN"/>
          <w14:textFill>
            <w14:solidFill>
              <w14:schemeClr w14:val="tx1"/>
            </w14:solidFill>
          </w14:textFill>
        </w:rPr>
        <w:t>（1）当年通过国家科技型中小企业评价入库的企业，给予一次性奖励0.3万元（其中首次入库的企业，给予一次性奖励0.5万元）。（2）对规上企业认定为高新技术企业的或高新技术企业培育成规上企业的，给予一次性奖励5万元。（3）</w:t>
      </w:r>
      <w:r>
        <w:rPr>
          <w:rFonts w:hint="eastAsia" w:cs="仿宋_GB2312"/>
          <w:color w:val="000000" w:themeColor="text1"/>
          <w:lang w:val="en-US" w:eastAsia="zh-CN"/>
          <w14:textFill>
            <w14:solidFill>
              <w14:schemeClr w14:val="tx1"/>
            </w14:solidFill>
          </w14:textFill>
        </w:rPr>
        <w:t>对首次认定的区级瞪羚企业给予一次性奖励10万元，对首次获得国家权威机构榜单或省认定的潜在独角兽企业，给予一次性奖励100万元。</w:t>
      </w:r>
      <w:r>
        <w:rPr>
          <w:rFonts w:hint="eastAsia" w:cs="仿宋_GB2312"/>
          <w:b/>
          <w:bCs/>
          <w:color w:val="000000" w:themeColor="text1"/>
          <w:lang w:val="en-US" w:eastAsia="zh-CN"/>
          <w14:textFill>
            <w14:solidFill>
              <w14:schemeClr w14:val="tx1"/>
            </w14:solidFill>
          </w14:textFill>
        </w:rPr>
        <w:t>三是鼓励企业加大研发投入奖励。</w:t>
      </w:r>
      <w:r>
        <w:rPr>
          <w:rFonts w:hint="eastAsia" w:cs="仿宋_GB2312"/>
          <w:b w:val="0"/>
          <w:bCs w:val="0"/>
          <w:color w:val="000000" w:themeColor="text1"/>
          <w:lang w:val="en-US" w:eastAsia="zh-CN"/>
          <w14:textFill>
            <w14:solidFill>
              <w14:schemeClr w14:val="tx1"/>
            </w14:solidFill>
          </w14:textFill>
        </w:rPr>
        <w:t>对研发活动清零、研发机构清零的企业，给予一次性奖励0.5万元。</w:t>
      </w:r>
      <w:r>
        <w:rPr>
          <w:rFonts w:hint="eastAsia" w:ascii="仿宋_GB2312" w:hAnsi="仿宋" w:eastAsia="仿宋_GB2312" w:cs="宋体"/>
          <w:color w:val="000000" w:themeColor="text1"/>
          <w:sz w:val="32"/>
          <w:szCs w:val="32"/>
          <w:lang w:eastAsia="zh-CN"/>
          <w14:textFill>
            <w14:solidFill>
              <w14:schemeClr w14:val="tx1"/>
            </w14:solidFill>
          </w14:textFill>
        </w:rPr>
        <w:t>对当年研发经费支出</w:t>
      </w:r>
      <w:r>
        <w:rPr>
          <w:rFonts w:hint="eastAsia" w:hAnsi="仿宋" w:cs="宋体"/>
          <w:color w:val="000000" w:themeColor="text1"/>
          <w:sz w:val="32"/>
          <w:szCs w:val="32"/>
          <w:lang w:val="en-US" w:eastAsia="zh-CN"/>
          <w14:textFill>
            <w14:solidFill>
              <w14:schemeClr w14:val="tx1"/>
            </w14:solidFill>
          </w14:textFill>
        </w:rPr>
        <w:t>超过</w:t>
      </w:r>
      <w:bookmarkStart w:id="0" w:name="_GoBack"/>
      <w:bookmarkEnd w:id="0"/>
      <w:r>
        <w:rPr>
          <w:rFonts w:hint="eastAsia" w:hAnsi="仿宋" w:cs="宋体"/>
          <w:color w:val="000000" w:themeColor="text1"/>
          <w:sz w:val="32"/>
          <w:szCs w:val="32"/>
          <w:lang w:val="en-US" w:eastAsia="zh-CN"/>
          <w14:textFill>
            <w14:solidFill>
              <w14:schemeClr w14:val="tx1"/>
            </w14:solidFill>
          </w14:textFill>
        </w:rPr>
        <w:t>100万元且</w:t>
      </w:r>
      <w:r>
        <w:rPr>
          <w:rFonts w:hint="eastAsia" w:ascii="仿宋_GB2312" w:hAnsi="仿宋" w:eastAsia="仿宋_GB2312" w:cs="宋体"/>
          <w:color w:val="000000" w:themeColor="text1"/>
          <w:sz w:val="32"/>
          <w:szCs w:val="32"/>
          <w:lang w:eastAsia="zh-CN"/>
          <w14:textFill>
            <w14:solidFill>
              <w14:schemeClr w14:val="tx1"/>
            </w14:solidFill>
          </w14:textFill>
        </w:rPr>
        <w:t>研发</w:t>
      </w:r>
      <w:r>
        <w:rPr>
          <w:rFonts w:hint="eastAsia" w:hAnsi="仿宋" w:cs="宋体"/>
          <w:color w:val="000000" w:themeColor="text1"/>
          <w:sz w:val="32"/>
          <w:szCs w:val="32"/>
          <w:lang w:val="en-US" w:eastAsia="zh-CN"/>
          <w14:textFill>
            <w14:solidFill>
              <w14:schemeClr w14:val="tx1"/>
            </w14:solidFill>
          </w14:textFill>
        </w:rPr>
        <w:t>强度正增长的</w:t>
      </w:r>
      <w:r>
        <w:rPr>
          <w:rFonts w:hint="eastAsia" w:ascii="仿宋_GB2312" w:hAnsi="仿宋" w:eastAsia="仿宋_GB2312" w:cs="宋体"/>
          <w:color w:val="000000" w:themeColor="text1"/>
          <w:sz w:val="32"/>
          <w:szCs w:val="32"/>
          <w:lang w:eastAsia="zh-CN"/>
          <w14:textFill>
            <w14:solidFill>
              <w14:schemeClr w14:val="tx1"/>
            </w14:solidFill>
          </w14:textFill>
        </w:rPr>
        <w:t>企业</w:t>
      </w:r>
      <w:r>
        <w:rPr>
          <w:rFonts w:hint="eastAsia" w:hAnsi="仿宋" w:cs="宋体"/>
          <w:color w:val="000000" w:themeColor="text1"/>
          <w:sz w:val="32"/>
          <w:szCs w:val="32"/>
          <w:lang w:val="en-US" w:eastAsia="zh-CN"/>
          <w14:textFill>
            <w14:solidFill>
              <w14:schemeClr w14:val="tx1"/>
            </w14:solidFill>
          </w14:textFill>
        </w:rPr>
        <w:t>，对其当年研发经费较</w:t>
      </w:r>
      <w:r>
        <w:rPr>
          <w:rFonts w:hint="eastAsia" w:ascii="仿宋_GB2312" w:hAnsi="仿宋" w:eastAsia="仿宋_GB2312" w:cs="宋体"/>
          <w:color w:val="000000" w:themeColor="text1"/>
          <w:sz w:val="32"/>
          <w:szCs w:val="32"/>
          <w:lang w:eastAsia="zh-CN"/>
          <w14:textFill>
            <w14:solidFill>
              <w14:schemeClr w14:val="tx1"/>
            </w14:solidFill>
          </w14:textFill>
        </w:rPr>
        <w:t>上年</w:t>
      </w:r>
      <w:r>
        <w:rPr>
          <w:rFonts w:hint="eastAsia" w:hAnsi="仿宋" w:cs="宋体"/>
          <w:color w:val="000000" w:themeColor="text1"/>
          <w:sz w:val="32"/>
          <w:szCs w:val="32"/>
          <w:lang w:val="en-US" w:eastAsia="zh-CN"/>
          <w14:textFill>
            <w14:solidFill>
              <w14:schemeClr w14:val="tx1"/>
            </w14:solidFill>
          </w14:textFill>
        </w:rPr>
        <w:t>度</w:t>
      </w:r>
      <w:r>
        <w:rPr>
          <w:rFonts w:hint="eastAsia" w:ascii="仿宋_GB2312" w:hAnsi="仿宋" w:eastAsia="仿宋_GB2312" w:cs="宋体"/>
          <w:color w:val="000000" w:themeColor="text1"/>
          <w:sz w:val="32"/>
          <w:szCs w:val="32"/>
          <w:lang w:eastAsia="zh-CN"/>
          <w14:textFill>
            <w14:solidFill>
              <w14:schemeClr w14:val="tx1"/>
            </w14:solidFill>
          </w14:textFill>
        </w:rPr>
        <w:t>增长部分</w:t>
      </w:r>
      <w:r>
        <w:rPr>
          <w:rFonts w:hint="eastAsia" w:ascii="仿宋_GB2312" w:hAnsi="仿宋" w:eastAsia="仿宋_GB2312" w:cs="宋体"/>
          <w:color w:val="000000" w:themeColor="text1"/>
          <w:sz w:val="32"/>
          <w:szCs w:val="32"/>
          <w14:textFill>
            <w14:solidFill>
              <w14:schemeClr w14:val="tx1"/>
            </w14:solidFill>
          </w14:textFill>
        </w:rPr>
        <w:t>给予3%</w:t>
      </w:r>
      <w:r>
        <w:rPr>
          <w:rFonts w:hint="eastAsia" w:hAnsi="仿宋" w:cs="宋体"/>
          <w:color w:val="000000" w:themeColor="text1"/>
          <w:sz w:val="32"/>
          <w:szCs w:val="32"/>
          <w:lang w:eastAsia="zh-CN"/>
          <w14:textFill>
            <w14:solidFill>
              <w14:schemeClr w14:val="tx1"/>
            </w14:solidFill>
          </w14:textFill>
        </w:rPr>
        <w:t>、</w:t>
      </w:r>
      <w:r>
        <w:rPr>
          <w:rFonts w:hint="eastAsia" w:hAnsi="仿宋" w:cs="宋体"/>
          <w:color w:val="000000" w:themeColor="text1"/>
          <w:sz w:val="32"/>
          <w:szCs w:val="32"/>
          <w:lang w:val="en-US" w:eastAsia="zh-CN"/>
          <w14:textFill>
            <w14:solidFill>
              <w14:schemeClr w14:val="tx1"/>
            </w14:solidFill>
          </w14:textFill>
        </w:rPr>
        <w:t>最高</w:t>
      </w:r>
      <w:r>
        <w:rPr>
          <w:rFonts w:hint="eastAsia" w:ascii="仿宋_GB2312" w:hAnsi="仿宋" w:eastAsia="仿宋_GB2312" w:cs="宋体"/>
          <w:color w:val="000000" w:themeColor="text1"/>
          <w:sz w:val="32"/>
          <w:szCs w:val="32"/>
          <w:lang w:val="en-US" w:eastAsia="zh-CN"/>
          <w14:textFill>
            <w14:solidFill>
              <w14:schemeClr w14:val="tx1"/>
            </w14:solidFill>
          </w14:textFill>
        </w:rPr>
        <w:t>不超过</w:t>
      </w:r>
      <w:r>
        <w:rPr>
          <w:rFonts w:hint="eastAsia" w:hAnsi="仿宋" w:cs="宋体"/>
          <w:color w:val="000000" w:themeColor="text1"/>
          <w:sz w:val="32"/>
          <w:szCs w:val="32"/>
          <w:lang w:val="en-US" w:eastAsia="zh-CN"/>
          <w14:textFill>
            <w14:solidFill>
              <w14:schemeClr w14:val="tx1"/>
            </w14:solidFill>
          </w14:textFill>
        </w:rPr>
        <w:t>100</w:t>
      </w:r>
      <w:r>
        <w:rPr>
          <w:rFonts w:hint="eastAsia" w:ascii="仿宋_GB2312" w:hAnsi="仿宋" w:eastAsia="仿宋_GB2312" w:cs="宋体"/>
          <w:color w:val="000000" w:themeColor="text1"/>
          <w:sz w:val="32"/>
          <w:szCs w:val="32"/>
          <w:lang w:val="en-US" w:eastAsia="zh-CN"/>
          <w14:textFill>
            <w14:solidFill>
              <w14:schemeClr w14:val="tx1"/>
            </w14:solidFill>
          </w14:textFill>
        </w:rPr>
        <w:t>万元</w:t>
      </w:r>
      <w:r>
        <w:rPr>
          <w:rFonts w:hint="eastAsia" w:hAnsi="仿宋" w:cs="宋体"/>
          <w:color w:val="000000" w:themeColor="text1"/>
          <w:sz w:val="32"/>
          <w:szCs w:val="32"/>
          <w:lang w:val="en-US" w:eastAsia="zh-CN"/>
          <w14:textFill>
            <w14:solidFill>
              <w14:schemeClr w14:val="tx1"/>
            </w14:solidFill>
          </w14:textFill>
        </w:rPr>
        <w:t>奖励</w:t>
      </w:r>
      <w:r>
        <w:rPr>
          <w:rFonts w:hint="eastAsia" w:ascii="仿宋_GB2312" w:hAnsi="仿宋" w:eastAsia="仿宋_GB2312" w:cs="宋体"/>
          <w:color w:val="000000" w:themeColor="text1"/>
          <w:sz w:val="32"/>
          <w:szCs w:val="32"/>
          <w:lang w:val="en-US" w:eastAsia="zh-CN"/>
          <w14:textFill>
            <w14:solidFill>
              <w14:schemeClr w14:val="tx1"/>
            </w14:solidFill>
          </w14:textFill>
        </w:rPr>
        <w:t>。</w:t>
      </w:r>
      <w:r>
        <w:rPr>
          <w:rFonts w:hint="eastAsia" w:hAnsi="仿宋" w:cs="宋体"/>
          <w:b/>
          <w:bCs/>
          <w:color w:val="000000" w:themeColor="text1"/>
          <w:sz w:val="32"/>
          <w:szCs w:val="32"/>
          <w:lang w:val="en-US" w:eastAsia="zh-CN"/>
          <w14:textFill>
            <w14:solidFill>
              <w14:schemeClr w14:val="tx1"/>
            </w14:solidFill>
          </w14:textFill>
        </w:rPr>
        <w:t>四是支持企业产学研合作。</w:t>
      </w:r>
      <w:r>
        <w:rPr>
          <w:rFonts w:hint="eastAsia" w:cs="仿宋_GB2312"/>
          <w:b w:val="0"/>
          <w:bCs w:val="0"/>
          <w:color w:val="000000" w:themeColor="text1"/>
          <w:lang w:val="en-US" w:eastAsia="zh-CN"/>
          <w14:textFill>
            <w14:solidFill>
              <w14:schemeClr w14:val="tx1"/>
            </w14:solidFill>
          </w14:textFill>
        </w:rPr>
        <w:t>对获区“揭榜挂帅”科技项目立项的，给予项目不超过总投入30%且最高不超过100万元的财政资金支持。</w:t>
      </w:r>
      <w:r>
        <w:rPr>
          <w:rFonts w:hint="eastAsia" w:cs="仿宋_GB2312"/>
          <w:b/>
          <w:bCs/>
          <w:color w:val="000000" w:themeColor="text1"/>
          <w:lang w:val="en-US" w:eastAsia="zh-CN"/>
          <w14:textFill>
            <w14:solidFill>
              <w14:schemeClr w14:val="tx1"/>
            </w14:solidFill>
          </w14:textFill>
        </w:rPr>
        <w:t>五是支持创新平台建设。</w:t>
      </w:r>
      <w:r>
        <w:rPr>
          <w:rFonts w:hint="eastAsia" w:cs="仿宋_GB2312"/>
          <w:b w:val="0"/>
          <w:bCs w:val="0"/>
          <w:color w:val="000000" w:themeColor="text1"/>
          <w:lang w:val="en-US" w:eastAsia="zh-CN"/>
          <w14:textFill>
            <w14:solidFill>
              <w14:schemeClr w14:val="tx1"/>
            </w14:solidFill>
          </w14:textFill>
        </w:rPr>
        <w:t>（1）对新认定的国家技术创新中心、重点实验室等研发平台，一次性奖励200万元；对新认定的省级重点实验室、产业创新研究院、高水平新型研发机构、院士工作站，一次性奖励100万元；对新认定的博士后科研工作站、新型研发机构等研发平台，一次性奖励10万元；对新认定的省级企业研发中心，一次性奖励8万元。（2）对国家技术创新中心、重点实验室等研发平台在国家组织的运行评估中获优秀等次的，一次性奖励50万元；对省级重点实验室、产业创新研究院、高水平新型研发机构、院士工作站在省绩效评估中获优秀等次的，给予10万元奖励；对博士后科研工作站、新型研发机构、省级企业研发中心等在省绩效评估中获优秀等次的，给予5万元奖励。（3）对获得省级备案的科技成果转化中试基地和科技成果产业化基地，给予一次性奖励50万元。</w:t>
      </w:r>
    </w:p>
    <w:p w14:paraId="2EE67080">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eastAsia" w:ascii="黑体" w:hAnsi="黑体" w:eastAsia="黑体" w:cs="黑体"/>
          <w:b w:val="0"/>
          <w:bCs w:val="0"/>
          <w:color w:val="000000" w:themeColor="text1"/>
          <w:lang w:val="en-US" w:eastAsia="zh-CN"/>
          <w14:textFill>
            <w14:solidFill>
              <w14:schemeClr w14:val="tx1"/>
            </w14:solidFill>
          </w14:textFill>
        </w:rPr>
      </w:pPr>
      <w:r>
        <w:rPr>
          <w:rFonts w:hint="eastAsia" w:ascii="黑体" w:hAnsi="黑体" w:eastAsia="黑体" w:cs="黑体"/>
          <w:b w:val="0"/>
          <w:bCs w:val="0"/>
          <w:color w:val="000000" w:themeColor="text1"/>
          <w:lang w:val="en-US" w:eastAsia="zh-CN"/>
          <w14:textFill>
            <w14:solidFill>
              <w14:schemeClr w14:val="tx1"/>
            </w14:solidFill>
          </w14:textFill>
        </w:rPr>
        <w:t>五、附则</w:t>
      </w:r>
    </w:p>
    <w:p w14:paraId="1FCDD609">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eastAsia" w:cs="仿宋_GB2312"/>
          <w:b w:val="0"/>
          <w:bCs w:val="0"/>
          <w:color w:val="000000" w:themeColor="text1"/>
          <w:lang w:val="en-US" w:eastAsia="zh-CN"/>
          <w14:textFill>
            <w14:solidFill>
              <w14:schemeClr w14:val="tx1"/>
            </w14:solidFill>
          </w14:textFill>
        </w:rPr>
      </w:pPr>
      <w:r>
        <w:rPr>
          <w:rFonts w:hint="eastAsia" w:cs="仿宋_GB2312"/>
          <w:b w:val="0"/>
          <w:bCs w:val="0"/>
          <w:lang w:val="en-US" w:eastAsia="zh-CN"/>
        </w:rPr>
        <w:t>1.本政策支持对象为在贵池区域内注册，并依法经营、无不良诚信记录的企业，但法律、法规、规章和产业政策有限制条件</w:t>
      </w:r>
      <w:r>
        <w:rPr>
          <w:rFonts w:hint="eastAsia" w:cs="仿宋_GB2312"/>
          <w:b w:val="0"/>
          <w:bCs w:val="0"/>
          <w:color w:val="000000" w:themeColor="text1"/>
          <w:lang w:val="en-US" w:eastAsia="zh-CN"/>
          <w14:textFill>
            <w14:solidFill>
              <w14:schemeClr w14:val="tx1"/>
            </w14:solidFill>
          </w14:textFill>
        </w:rPr>
        <w:t>以及发生环保、安全生产重大事故、被列为失信被执行人的除外。</w:t>
      </w:r>
    </w:p>
    <w:p w14:paraId="307E3DD5">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eastAsia" w:cs="仿宋_GB2312"/>
          <w:b w:val="0"/>
          <w:bCs w:val="0"/>
          <w:color w:val="000000" w:themeColor="text1"/>
          <w:lang w:val="en-US" w:eastAsia="zh-CN"/>
          <w14:textFill>
            <w14:solidFill>
              <w14:schemeClr w14:val="tx1"/>
            </w14:solidFill>
          </w14:textFill>
        </w:rPr>
      </w:pPr>
      <w:r>
        <w:rPr>
          <w:rFonts w:hint="eastAsia" w:cs="仿宋_GB2312"/>
          <w:b w:val="0"/>
          <w:bCs w:val="0"/>
          <w:color w:val="000000" w:themeColor="text1"/>
          <w:lang w:val="en-US" w:eastAsia="zh-CN"/>
          <w14:textFill>
            <w14:solidFill>
              <w14:schemeClr w14:val="tx1"/>
            </w14:solidFill>
          </w14:textFill>
        </w:rPr>
        <w:t>2.如遇市级同类型科技创新政策，优先执行市级政策；如遇区级同类型科技创新政策，采取“从高执行”原则。</w:t>
      </w:r>
    </w:p>
    <w:p w14:paraId="5358C598">
      <w:pPr>
        <w:keepNext w:val="0"/>
        <w:keepLines w:val="0"/>
        <w:pageBreakBefore w:val="0"/>
        <w:widowControl w:val="0"/>
        <w:kinsoku/>
        <w:wordWrap/>
        <w:overflowPunct/>
        <w:topLinePunct w:val="0"/>
        <w:autoSpaceDE/>
        <w:autoSpaceDN/>
        <w:bidi w:val="0"/>
        <w:adjustRightInd/>
        <w:snapToGrid/>
        <w:spacing w:line="580" w:lineRule="exact"/>
        <w:ind w:firstLine="640" w:firstLineChars="200"/>
        <w:jc w:val="both"/>
        <w:textAlignment w:val="auto"/>
        <w:rPr>
          <w:rFonts w:hint="default"/>
          <w:lang w:val="en-US" w:eastAsia="zh-CN"/>
        </w:rPr>
      </w:pPr>
      <w:r>
        <w:rPr>
          <w:rFonts w:hint="eastAsia" w:cs="仿宋_GB2312"/>
          <w:b w:val="0"/>
          <w:bCs w:val="0"/>
          <w:color w:val="000000" w:themeColor="text1"/>
          <w:lang w:val="en-US" w:eastAsia="zh-CN"/>
          <w14:textFill>
            <w14:solidFill>
              <w14:schemeClr w14:val="tx1"/>
            </w14:solidFill>
          </w14:textFill>
        </w:rPr>
        <w:t>3.本计划由区科技局、区财政局联合发文，由区科技局负责解释，自发文之日起实施，试行五年。</w:t>
      </w:r>
    </w:p>
    <w:sectPr>
      <w:footerReference r:id="rId3" w:type="default"/>
      <w:pgSz w:w="11906" w:h="16838"/>
      <w:pgMar w:top="1440" w:right="1463" w:bottom="1440" w:left="1463"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DCCF8E10-9D96-4F47-A74A-22DC275A99DF}"/>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embedRegular r:id="rId2" w:fontKey="{F0C5735E-25CA-4581-A0D7-22F4B5910544}"/>
  </w:font>
  <w:font w:name="方正楷体简体">
    <w:panose1 w:val="02000000000000000000"/>
    <w:charset w:val="86"/>
    <w:family w:val="auto"/>
    <w:pitch w:val="default"/>
    <w:sig w:usb0="A00002BF" w:usb1="184F6CFA" w:usb2="00000012" w:usb3="00000000" w:csb0="00040001" w:csb1="00000000"/>
    <w:embedRegular r:id="rId3" w:fontKey="{60C455B5-F5CF-4B71-A396-D1B1B08B7E63}"/>
  </w:font>
  <w:font w:name="方正小标宋简体">
    <w:panose1 w:val="03000509000000000000"/>
    <w:charset w:val="86"/>
    <w:family w:val="auto"/>
    <w:pitch w:val="default"/>
    <w:sig w:usb0="00000001" w:usb1="080E0000" w:usb2="00000000" w:usb3="00000000" w:csb0="00040000" w:csb1="00000000"/>
    <w:embedRegular r:id="rId4" w:fontKey="{F7D1A4D4-F80B-485B-9B43-DC53A74A12B6}"/>
  </w:font>
  <w:font w:name="楷体_GB2312">
    <w:panose1 w:val="02010609030101010101"/>
    <w:charset w:val="86"/>
    <w:family w:val="auto"/>
    <w:pitch w:val="default"/>
    <w:sig w:usb0="00000001" w:usb1="080E0000" w:usb2="00000000" w:usb3="00000000" w:csb0="00040000" w:csb1="00000000"/>
    <w:embedRegular r:id="rId5" w:fontKey="{553738EE-1E49-4C8A-85F1-3EE9143D0E9D}"/>
  </w:font>
  <w:font w:name="仿宋">
    <w:panose1 w:val="02010609060101010101"/>
    <w:charset w:val="86"/>
    <w:family w:val="auto"/>
    <w:pitch w:val="default"/>
    <w:sig w:usb0="800002BF" w:usb1="38CF7CFA" w:usb2="00000016" w:usb3="00000000" w:csb0="00040001" w:csb1="00000000"/>
    <w:embedRegular r:id="rId6" w:fontKey="{9E19C13D-DE44-4E00-B658-6626CC3C44DC}"/>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185A18">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91A321">
                          <w:pPr>
                            <w:pStyle w:val="2"/>
                            <w:rPr>
                              <w:sz w:val="28"/>
                              <w:szCs w:val="44"/>
                            </w:rPr>
                          </w:pPr>
                          <w:r>
                            <w:rPr>
                              <w:sz w:val="28"/>
                              <w:szCs w:val="44"/>
                            </w:rPr>
                            <w:t xml:space="preserve">— </w:t>
                          </w:r>
                          <w:r>
                            <w:rPr>
                              <w:sz w:val="28"/>
                              <w:szCs w:val="44"/>
                            </w:rPr>
                            <w:fldChar w:fldCharType="begin"/>
                          </w:r>
                          <w:r>
                            <w:rPr>
                              <w:sz w:val="28"/>
                              <w:szCs w:val="44"/>
                            </w:rPr>
                            <w:instrText xml:space="preserve"> PAGE  \* MERGEFORMAT </w:instrText>
                          </w:r>
                          <w:r>
                            <w:rPr>
                              <w:sz w:val="28"/>
                              <w:szCs w:val="44"/>
                            </w:rPr>
                            <w:fldChar w:fldCharType="separate"/>
                          </w:r>
                          <w:r>
                            <w:rPr>
                              <w:sz w:val="28"/>
                              <w:szCs w:val="44"/>
                            </w:rPr>
                            <w:t>1</w:t>
                          </w:r>
                          <w:r>
                            <w:rPr>
                              <w:sz w:val="28"/>
                              <w:szCs w:val="44"/>
                            </w:rPr>
                            <w:fldChar w:fldCharType="end"/>
                          </w:r>
                          <w:r>
                            <w:rPr>
                              <w:sz w:val="28"/>
                              <w:szCs w:val="44"/>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C91A321">
                    <w:pPr>
                      <w:pStyle w:val="2"/>
                      <w:rPr>
                        <w:sz w:val="28"/>
                        <w:szCs w:val="44"/>
                      </w:rPr>
                    </w:pPr>
                    <w:r>
                      <w:rPr>
                        <w:sz w:val="28"/>
                        <w:szCs w:val="44"/>
                      </w:rPr>
                      <w:t xml:space="preserve">— </w:t>
                    </w:r>
                    <w:r>
                      <w:rPr>
                        <w:sz w:val="28"/>
                        <w:szCs w:val="44"/>
                      </w:rPr>
                      <w:fldChar w:fldCharType="begin"/>
                    </w:r>
                    <w:r>
                      <w:rPr>
                        <w:sz w:val="28"/>
                        <w:szCs w:val="44"/>
                      </w:rPr>
                      <w:instrText xml:space="preserve"> PAGE  \* MERGEFORMAT </w:instrText>
                    </w:r>
                    <w:r>
                      <w:rPr>
                        <w:sz w:val="28"/>
                        <w:szCs w:val="44"/>
                      </w:rPr>
                      <w:fldChar w:fldCharType="separate"/>
                    </w:r>
                    <w:r>
                      <w:rPr>
                        <w:sz w:val="28"/>
                        <w:szCs w:val="44"/>
                      </w:rPr>
                      <w:t>1</w:t>
                    </w:r>
                    <w:r>
                      <w:rPr>
                        <w:sz w:val="28"/>
                        <w:szCs w:val="44"/>
                      </w:rPr>
                      <w:fldChar w:fldCharType="end"/>
                    </w:r>
                    <w:r>
                      <w:rPr>
                        <w:sz w:val="28"/>
                        <w:szCs w:val="44"/>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A751CAB"/>
    <w:rsid w:val="09677630"/>
    <w:rsid w:val="0CD01559"/>
    <w:rsid w:val="0E567261"/>
    <w:rsid w:val="0F0528B4"/>
    <w:rsid w:val="1F1E3327"/>
    <w:rsid w:val="21226569"/>
    <w:rsid w:val="237C3AB6"/>
    <w:rsid w:val="23DA79FE"/>
    <w:rsid w:val="28D54FA0"/>
    <w:rsid w:val="29B53FFD"/>
    <w:rsid w:val="2A751CAB"/>
    <w:rsid w:val="2C426650"/>
    <w:rsid w:val="2D2764D7"/>
    <w:rsid w:val="37FA5D00"/>
    <w:rsid w:val="396839EC"/>
    <w:rsid w:val="3DE85332"/>
    <w:rsid w:val="3F561F90"/>
    <w:rsid w:val="459A6BEE"/>
    <w:rsid w:val="47FF107D"/>
    <w:rsid w:val="4E716610"/>
    <w:rsid w:val="55EC7C86"/>
    <w:rsid w:val="57F506C3"/>
    <w:rsid w:val="5BCA1CC1"/>
    <w:rsid w:val="5C601F36"/>
    <w:rsid w:val="5E4A026A"/>
    <w:rsid w:val="5F637BC8"/>
    <w:rsid w:val="5F951BED"/>
    <w:rsid w:val="5FD9448D"/>
    <w:rsid w:val="6E3A561C"/>
    <w:rsid w:val="6F9D09CE"/>
    <w:rsid w:val="72AC1F16"/>
    <w:rsid w:val="74CC23C8"/>
    <w:rsid w:val="74D70440"/>
    <w:rsid w:val="75843DDB"/>
    <w:rsid w:val="7CAF3790"/>
    <w:rsid w:val="7CFF5963"/>
    <w:rsid w:val="7E3570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仿宋_GB2312" w:hAnsi="仿宋_GB2312" w:eastAsia="仿宋_GB2312" w:cstheme="minorBidi"/>
      <w:kern w:val="2"/>
      <w:sz w:val="32"/>
      <w:szCs w:val="24"/>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2865</Words>
  <Characters>2949</Characters>
  <Lines>0</Lines>
  <Paragraphs>0</Paragraphs>
  <TotalTime>6</TotalTime>
  <ScaleCrop>false</ScaleCrop>
  <LinksUpToDate>false</LinksUpToDate>
  <CharactersWithSpaces>2951</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2024-12-24T00:55:00Z</dcterms:created>
  <dc:creator>HAPPY</dc:creator>
  <cp:lastModifiedBy>HAPPY</cp:lastModifiedBy>
  <cp:lastPrinted>2025-05-27T00:51:02Z</cp:lastPrinted>
  <dcterms:modified xsi:type="dcterms:W3CDTF">2025-05-27T00:56:27Z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52F89F557A624AB396817680B3153481_13</vt:lpwstr>
  </property>
  <property fmtid="{D5CDD505-2E9C-101B-9397-08002B2CF9AE}" pid="4" name="KSOTemplateDocerSaveRecord">
    <vt:lpwstr>eyJoZGlkIjoiMjk1M2Y4ODMzNGUzMTY1ODRhNWIyZjU4ZTE4N2JlYTIiLCJ1c2VySWQiOiIyNDk4NDIxNTgifQ==</vt:lpwstr>
  </property>
</Properties>
</file>