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B17D14A">
      <w:pPr>
        <w:spacing w:line="960" w:lineRule="auto"/>
        <w:jc w:val="center"/>
        <w:rPr>
          <w:rFonts w:ascii="黑体" w:hAnsi="黑体" w:eastAsia="黑体"/>
          <w:b/>
          <w:bCs/>
          <w:sz w:val="52"/>
          <w:szCs w:val="52"/>
        </w:rPr>
      </w:pPr>
    </w:p>
    <w:p w14:paraId="0630C3AD">
      <w:pPr>
        <w:jc w:val="center"/>
        <w:rPr>
          <w:rFonts w:ascii="黑体" w:hAnsi="黑体" w:eastAsia="黑体"/>
          <w:b/>
          <w:bCs/>
          <w:sz w:val="52"/>
          <w:szCs w:val="52"/>
        </w:rPr>
      </w:pPr>
    </w:p>
    <w:p w14:paraId="195B6605">
      <w:pPr>
        <w:jc w:val="center"/>
        <w:rPr>
          <w:rFonts w:ascii="方正小标宋简体" w:hAnsi="黑体" w:eastAsia="方正小标宋简体"/>
          <w:b/>
          <w:bCs/>
          <w:sz w:val="52"/>
          <w:szCs w:val="52"/>
        </w:rPr>
      </w:pPr>
      <w:r>
        <w:rPr>
          <w:rFonts w:hint="eastAsia" w:ascii="方正小标宋简体" w:hAnsi="黑体" w:eastAsia="方正小标宋简体" w:cs="方正小标宋简体"/>
          <w:b/>
          <w:bCs/>
          <w:sz w:val="52"/>
          <w:szCs w:val="52"/>
        </w:rPr>
        <w:t>池州市贵池区国民经济和社会发展</w:t>
      </w:r>
    </w:p>
    <w:p w14:paraId="7EC11911">
      <w:pPr>
        <w:jc w:val="center"/>
        <w:rPr>
          <w:rFonts w:ascii="方正小标宋简体" w:hAnsi="黑体" w:eastAsia="方正小标宋简体"/>
          <w:b/>
          <w:bCs/>
          <w:sz w:val="52"/>
          <w:szCs w:val="52"/>
        </w:rPr>
      </w:pPr>
      <w:r>
        <w:rPr>
          <w:rFonts w:hint="eastAsia" w:ascii="方正小标宋简体" w:hAnsi="黑体" w:eastAsia="方正小标宋简体" w:cs="方正小标宋简体"/>
          <w:b/>
          <w:bCs/>
          <w:sz w:val="52"/>
          <w:szCs w:val="52"/>
        </w:rPr>
        <w:t>第十三个五年规划纲要</w:t>
      </w:r>
    </w:p>
    <w:p w14:paraId="422A6B76">
      <w:pPr>
        <w:spacing w:line="360" w:lineRule="auto"/>
        <w:jc w:val="center"/>
        <w:rPr>
          <w:rFonts w:ascii="方正楷体简体" w:hAnsi="宋体" w:eastAsia="方正楷体简体"/>
          <w:kern w:val="0"/>
          <w:sz w:val="30"/>
          <w:szCs w:val="30"/>
        </w:rPr>
      </w:pPr>
    </w:p>
    <w:p w14:paraId="28B4D4C8">
      <w:pPr>
        <w:spacing w:line="360" w:lineRule="auto"/>
        <w:jc w:val="center"/>
        <w:rPr>
          <w:rFonts w:ascii="仿宋_GB2312" w:hAnsi="宋体" w:eastAsia="仿宋_GB2312"/>
          <w:kern w:val="0"/>
          <w:sz w:val="30"/>
          <w:szCs w:val="30"/>
        </w:rPr>
      </w:pPr>
    </w:p>
    <w:p w14:paraId="5AC6FE7F">
      <w:pPr>
        <w:spacing w:line="360" w:lineRule="auto"/>
        <w:jc w:val="center"/>
        <w:rPr>
          <w:rFonts w:ascii="仿宋_GB2312" w:hAnsi="宋体" w:eastAsia="仿宋_GB2312"/>
          <w:kern w:val="0"/>
          <w:sz w:val="30"/>
          <w:szCs w:val="30"/>
        </w:rPr>
      </w:pPr>
    </w:p>
    <w:p w14:paraId="78D439DD">
      <w:pPr>
        <w:spacing w:line="360" w:lineRule="auto"/>
        <w:jc w:val="center"/>
        <w:rPr>
          <w:rFonts w:ascii="仿宋_GB2312" w:hAnsi="宋体" w:eastAsia="仿宋_GB2312"/>
          <w:kern w:val="0"/>
          <w:sz w:val="30"/>
          <w:szCs w:val="30"/>
        </w:rPr>
      </w:pPr>
    </w:p>
    <w:p w14:paraId="53B62C88">
      <w:pPr>
        <w:spacing w:line="360" w:lineRule="auto"/>
        <w:jc w:val="center"/>
        <w:rPr>
          <w:rFonts w:ascii="仿宋_GB2312" w:hAnsi="宋体" w:eastAsia="仿宋_GB2312"/>
          <w:kern w:val="0"/>
          <w:sz w:val="30"/>
          <w:szCs w:val="30"/>
        </w:rPr>
      </w:pPr>
    </w:p>
    <w:p w14:paraId="497DD72E">
      <w:pPr>
        <w:spacing w:line="360" w:lineRule="auto"/>
        <w:jc w:val="center"/>
        <w:rPr>
          <w:rFonts w:ascii="仿宋_GB2312" w:hAnsi="宋体" w:eastAsia="仿宋_GB2312"/>
          <w:kern w:val="0"/>
          <w:sz w:val="30"/>
          <w:szCs w:val="30"/>
        </w:rPr>
      </w:pPr>
    </w:p>
    <w:p w14:paraId="102D1661">
      <w:pPr>
        <w:spacing w:line="360" w:lineRule="auto"/>
        <w:jc w:val="center"/>
        <w:rPr>
          <w:rFonts w:ascii="仿宋_GB2312" w:hAnsi="宋体" w:eastAsia="仿宋_GB2312"/>
          <w:kern w:val="0"/>
          <w:sz w:val="30"/>
          <w:szCs w:val="30"/>
        </w:rPr>
      </w:pPr>
    </w:p>
    <w:p w14:paraId="5BA77400">
      <w:pPr>
        <w:spacing w:line="360" w:lineRule="auto"/>
        <w:jc w:val="center"/>
        <w:rPr>
          <w:rFonts w:ascii="仿宋_GB2312" w:hAnsi="宋体" w:eastAsia="仿宋_GB2312"/>
          <w:kern w:val="0"/>
          <w:sz w:val="30"/>
          <w:szCs w:val="30"/>
        </w:rPr>
      </w:pPr>
    </w:p>
    <w:p w14:paraId="5FC8CCD7">
      <w:pPr>
        <w:spacing w:line="360" w:lineRule="auto"/>
        <w:jc w:val="center"/>
        <w:rPr>
          <w:rFonts w:ascii="仿宋_GB2312" w:hAnsi="宋体" w:eastAsia="仿宋_GB2312"/>
          <w:kern w:val="0"/>
          <w:sz w:val="30"/>
          <w:szCs w:val="30"/>
        </w:rPr>
      </w:pPr>
    </w:p>
    <w:p w14:paraId="5EAA355C">
      <w:pPr>
        <w:spacing w:line="360" w:lineRule="auto"/>
        <w:jc w:val="center"/>
        <w:rPr>
          <w:rFonts w:ascii="仿宋_GB2312" w:hAnsi="宋体" w:eastAsia="仿宋_GB2312"/>
          <w:kern w:val="0"/>
          <w:sz w:val="30"/>
          <w:szCs w:val="30"/>
        </w:rPr>
      </w:pPr>
    </w:p>
    <w:p w14:paraId="029DE071">
      <w:pPr>
        <w:spacing w:line="480" w:lineRule="auto"/>
        <w:jc w:val="center"/>
        <w:rPr>
          <w:rFonts w:ascii="方正楷体简体" w:hAnsi="黑体" w:eastAsia="方正楷体简体"/>
          <w:sz w:val="36"/>
          <w:szCs w:val="36"/>
        </w:rPr>
      </w:pPr>
    </w:p>
    <w:p w14:paraId="55C6A4C6">
      <w:pPr>
        <w:spacing w:line="480" w:lineRule="auto"/>
        <w:jc w:val="center"/>
        <w:rPr>
          <w:rFonts w:ascii="方正楷体简体" w:hAnsi="黑体" w:eastAsia="方正楷体简体"/>
          <w:sz w:val="36"/>
          <w:szCs w:val="36"/>
        </w:rPr>
      </w:pPr>
    </w:p>
    <w:p w14:paraId="036D4102">
      <w:pPr>
        <w:spacing w:line="480" w:lineRule="auto"/>
        <w:jc w:val="center"/>
        <w:rPr>
          <w:rFonts w:ascii="方正楷体简体" w:hAnsi="黑体" w:eastAsia="方正楷体简体"/>
          <w:sz w:val="36"/>
          <w:szCs w:val="36"/>
        </w:rPr>
      </w:pPr>
      <w:r>
        <w:rPr>
          <w:rFonts w:hint="eastAsia" w:ascii="方正楷体简体" w:hAnsi="黑体" w:eastAsia="方正楷体简体" w:cs="方正楷体简体"/>
          <w:sz w:val="36"/>
          <w:szCs w:val="36"/>
        </w:rPr>
        <w:t>二О一五年十二月</w:t>
      </w:r>
    </w:p>
    <w:p w14:paraId="4E26CD3C">
      <w:pPr>
        <w:spacing w:beforeLines="200" w:afterLines="100" w:line="480" w:lineRule="auto"/>
        <w:jc w:val="center"/>
        <w:rPr>
          <w:rFonts w:ascii="黑体" w:hAnsi="黑体" w:eastAsia="黑体"/>
          <w:b/>
          <w:bCs/>
          <w:sz w:val="44"/>
          <w:szCs w:val="44"/>
        </w:rPr>
      </w:pPr>
      <w:r>
        <w:rPr>
          <w:rFonts w:ascii="黑体" w:hAnsi="黑体" w:eastAsia="黑体"/>
          <w:b/>
          <w:bCs/>
          <w:sz w:val="36"/>
          <w:szCs w:val="36"/>
        </w:rPr>
        <w:br w:type="page"/>
      </w:r>
      <w:r>
        <w:rPr>
          <w:rFonts w:hint="eastAsia" w:ascii="黑体" w:hAnsi="黑体" w:eastAsia="黑体" w:cs="黑体"/>
          <w:b/>
          <w:bCs/>
          <w:sz w:val="44"/>
          <w:szCs w:val="44"/>
        </w:rPr>
        <w:t>目</w:t>
      </w:r>
      <w:r>
        <w:rPr>
          <w:rFonts w:ascii="黑体" w:hAnsi="黑体" w:eastAsia="黑体" w:cs="黑体"/>
          <w:b/>
          <w:bCs/>
          <w:sz w:val="44"/>
          <w:szCs w:val="44"/>
        </w:rPr>
        <w:t xml:space="preserve">     </w:t>
      </w:r>
      <w:r>
        <w:rPr>
          <w:rFonts w:hint="eastAsia" w:ascii="黑体" w:hAnsi="黑体" w:eastAsia="黑体" w:cs="黑体"/>
          <w:b/>
          <w:bCs/>
          <w:sz w:val="44"/>
          <w:szCs w:val="44"/>
        </w:rPr>
        <w:t>录</w:t>
      </w:r>
    </w:p>
    <w:p w14:paraId="3E5B8090">
      <w:pPr>
        <w:pStyle w:val="17"/>
        <w:tabs>
          <w:tab w:val="right" w:leader="dot" w:pos="8834"/>
        </w:tabs>
        <w:rPr>
          <w:rFonts w:eastAsia="宋体" w:cs="Times New Roman"/>
          <w:caps w:val="0"/>
          <w:sz w:val="21"/>
          <w:szCs w:val="21"/>
        </w:rPr>
      </w:pPr>
      <w:r>
        <w:rPr>
          <w:rFonts w:eastAsia="仿宋_GB2312"/>
          <w:b/>
          <w:bCs/>
          <w:caps w:val="0"/>
          <w:sz w:val="28"/>
          <w:szCs w:val="28"/>
        </w:rPr>
        <w:fldChar w:fldCharType="begin"/>
      </w:r>
      <w:r>
        <w:rPr>
          <w:rFonts w:eastAsia="仿宋_GB2312"/>
          <w:b/>
          <w:bCs/>
          <w:caps w:val="0"/>
          <w:sz w:val="28"/>
          <w:szCs w:val="28"/>
        </w:rPr>
        <w:instrText xml:space="preserve"> TOC \o "1-3" \h \z \u </w:instrText>
      </w:r>
      <w:r>
        <w:rPr>
          <w:rFonts w:eastAsia="仿宋_GB2312"/>
          <w:b/>
          <w:bCs/>
          <w:caps w:val="0"/>
          <w:sz w:val="28"/>
          <w:szCs w:val="28"/>
        </w:rPr>
        <w:fldChar w:fldCharType="separate"/>
      </w:r>
      <w:r>
        <w:fldChar w:fldCharType="begin"/>
      </w:r>
      <w:r>
        <w:instrText xml:space="preserve"> HYPERLINK \l "_Toc449037202" </w:instrText>
      </w:r>
      <w:r>
        <w:fldChar w:fldCharType="separate"/>
      </w:r>
      <w:r>
        <w:rPr>
          <w:rStyle w:val="30"/>
          <w:rFonts w:hint="eastAsia" w:ascii="方正小标宋简体" w:cs="方正小标宋简体"/>
        </w:rPr>
        <w:t>第一篇</w:t>
      </w:r>
      <w:r>
        <w:rPr>
          <w:rStyle w:val="30"/>
          <w:rFonts w:ascii="方正小标宋简体" w:cs="方正小标宋简体"/>
        </w:rPr>
        <w:t xml:space="preserve">  </w:t>
      </w:r>
      <w:r>
        <w:rPr>
          <w:rStyle w:val="30"/>
          <w:rFonts w:hint="eastAsia" w:ascii="方正小标宋简体" w:cs="方正小标宋简体"/>
        </w:rPr>
        <w:t>全面建成小康社会决胜阶段的形势和指导思想</w:t>
      </w:r>
      <w:r>
        <w:rPr>
          <w:rFonts w:cs="Times New Roman"/>
        </w:rPr>
        <w:tab/>
      </w:r>
      <w:r>
        <w:fldChar w:fldCharType="begin"/>
      </w:r>
      <w:r>
        <w:instrText xml:space="preserve"> PAGEREF _Toc449037202 \h </w:instrText>
      </w:r>
      <w:r>
        <w:fldChar w:fldCharType="separate"/>
      </w:r>
      <w:r>
        <w:t>- 5 -</w:t>
      </w:r>
      <w:r>
        <w:fldChar w:fldCharType="end"/>
      </w:r>
      <w:r>
        <w:fldChar w:fldCharType="end"/>
      </w:r>
    </w:p>
    <w:p w14:paraId="682E6494">
      <w:pPr>
        <w:pStyle w:val="20"/>
        <w:tabs>
          <w:tab w:val="right" w:leader="dot" w:pos="8834"/>
        </w:tabs>
        <w:ind w:firstLine="31680"/>
        <w:rPr>
          <w:rFonts w:cs="Times New Roman"/>
          <w:smallCaps w:val="0"/>
        </w:rPr>
      </w:pPr>
      <w:r>
        <w:fldChar w:fldCharType="begin"/>
      </w:r>
      <w:r>
        <w:instrText xml:space="preserve"> HYPERLINK \l "_Toc449037203" </w:instrText>
      </w:r>
      <w:r>
        <w:fldChar w:fldCharType="separate"/>
      </w:r>
      <w:r>
        <w:rPr>
          <w:rStyle w:val="30"/>
          <w:rFonts w:hint="eastAsia" w:ascii="方正黑体简体" w:eastAsia="方正黑体简体" w:cs="方正黑体简体"/>
        </w:rPr>
        <w:t>第一章</w:t>
      </w:r>
      <w:r>
        <w:rPr>
          <w:rStyle w:val="30"/>
          <w:rFonts w:ascii="方正黑体简体" w:eastAsia="方正黑体简体" w:cs="方正黑体简体"/>
        </w:rPr>
        <w:t xml:space="preserve"> </w:t>
      </w:r>
      <w:r>
        <w:rPr>
          <w:rStyle w:val="30"/>
          <w:rFonts w:hint="eastAsia" w:ascii="方正黑体简体" w:eastAsia="方正黑体简体" w:cs="方正黑体简体"/>
        </w:rPr>
        <w:t>发展基础和形势</w:t>
      </w:r>
      <w:r>
        <w:rPr>
          <w:rFonts w:cs="Times New Roman"/>
        </w:rPr>
        <w:tab/>
      </w:r>
      <w:r>
        <w:fldChar w:fldCharType="begin"/>
      </w:r>
      <w:r>
        <w:instrText xml:space="preserve"> PAGEREF _Toc449037203 \h </w:instrText>
      </w:r>
      <w:r>
        <w:fldChar w:fldCharType="separate"/>
      </w:r>
      <w:r>
        <w:t>- 5 -</w:t>
      </w:r>
      <w:r>
        <w:fldChar w:fldCharType="end"/>
      </w:r>
      <w:r>
        <w:fldChar w:fldCharType="end"/>
      </w:r>
    </w:p>
    <w:p w14:paraId="6C8ECC51">
      <w:pPr>
        <w:pStyle w:val="10"/>
        <w:tabs>
          <w:tab w:val="right" w:leader="dot" w:pos="8834"/>
        </w:tabs>
        <w:ind w:firstLine="31680"/>
        <w:rPr>
          <w:rFonts w:cs="Times New Roman"/>
        </w:rPr>
      </w:pPr>
      <w:r>
        <w:fldChar w:fldCharType="begin"/>
      </w:r>
      <w:r>
        <w:instrText xml:space="preserve"> HYPERLINK \l "_Toc449037204" </w:instrText>
      </w:r>
      <w:r>
        <w:fldChar w:fldCharType="separate"/>
      </w:r>
      <w:r>
        <w:rPr>
          <w:rStyle w:val="30"/>
          <w:rFonts w:hint="eastAsia" w:ascii="方正仿宋简体" w:eastAsia="方正仿宋简体" w:cs="方正仿宋简体"/>
        </w:rPr>
        <w:t>第一节</w:t>
      </w:r>
      <w:r>
        <w:rPr>
          <w:rStyle w:val="30"/>
          <w:rFonts w:ascii="方正仿宋简体" w:eastAsia="方正仿宋简体" w:cs="方正仿宋简体"/>
        </w:rPr>
        <w:t xml:space="preserve"> </w:t>
      </w:r>
      <w:r>
        <w:rPr>
          <w:rStyle w:val="30"/>
          <w:rFonts w:hint="eastAsia" w:ascii="方正仿宋简体" w:eastAsia="方正仿宋简体" w:cs="方正仿宋简体"/>
        </w:rPr>
        <w:t>“十二五”发展成就</w:t>
      </w:r>
      <w:r>
        <w:rPr>
          <w:rFonts w:cs="Times New Roman"/>
        </w:rPr>
        <w:tab/>
      </w:r>
      <w:r>
        <w:fldChar w:fldCharType="begin"/>
      </w:r>
      <w:r>
        <w:instrText xml:space="preserve"> PAGEREF _Toc449037204 \h </w:instrText>
      </w:r>
      <w:r>
        <w:fldChar w:fldCharType="separate"/>
      </w:r>
      <w:r>
        <w:t>- 5 -</w:t>
      </w:r>
      <w:r>
        <w:fldChar w:fldCharType="end"/>
      </w:r>
      <w:r>
        <w:fldChar w:fldCharType="end"/>
      </w:r>
    </w:p>
    <w:p w14:paraId="192DF881">
      <w:pPr>
        <w:pStyle w:val="10"/>
        <w:tabs>
          <w:tab w:val="right" w:leader="dot" w:pos="8834"/>
        </w:tabs>
        <w:ind w:firstLine="31680"/>
        <w:rPr>
          <w:rFonts w:cs="Times New Roman"/>
        </w:rPr>
      </w:pPr>
      <w:r>
        <w:fldChar w:fldCharType="begin"/>
      </w:r>
      <w:r>
        <w:instrText xml:space="preserve"> HYPERLINK \l "_Toc449037205"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“十三五”发展面临形势</w:t>
      </w:r>
      <w:r>
        <w:rPr>
          <w:rFonts w:cs="Times New Roman"/>
        </w:rPr>
        <w:tab/>
      </w:r>
      <w:r>
        <w:fldChar w:fldCharType="begin"/>
      </w:r>
      <w:r>
        <w:instrText xml:space="preserve"> PAGEREF _Toc449037205 \h </w:instrText>
      </w:r>
      <w:r>
        <w:fldChar w:fldCharType="separate"/>
      </w:r>
      <w:r>
        <w:t>- 8 -</w:t>
      </w:r>
      <w:r>
        <w:fldChar w:fldCharType="end"/>
      </w:r>
      <w:r>
        <w:fldChar w:fldCharType="end"/>
      </w:r>
    </w:p>
    <w:p w14:paraId="49E83596">
      <w:pPr>
        <w:pStyle w:val="20"/>
        <w:tabs>
          <w:tab w:val="right" w:leader="dot" w:pos="8834"/>
        </w:tabs>
        <w:ind w:firstLine="31680"/>
        <w:rPr>
          <w:rFonts w:cs="Times New Roman"/>
          <w:smallCaps w:val="0"/>
        </w:rPr>
      </w:pPr>
      <w:r>
        <w:fldChar w:fldCharType="begin"/>
      </w:r>
      <w:r>
        <w:instrText xml:space="preserve"> HYPERLINK \l "_Toc449037206" </w:instrText>
      </w:r>
      <w:r>
        <w:fldChar w:fldCharType="separate"/>
      </w:r>
      <w:r>
        <w:rPr>
          <w:rStyle w:val="30"/>
          <w:rFonts w:hint="eastAsia" w:ascii="方正黑体简体" w:hAnsi="黑体" w:eastAsia="方正黑体简体" w:cs="方正黑体简体"/>
        </w:rPr>
        <w:t>第二章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发展思路和目标</w:t>
      </w:r>
      <w:r>
        <w:rPr>
          <w:rFonts w:cs="Times New Roman"/>
        </w:rPr>
        <w:tab/>
      </w:r>
      <w:r>
        <w:fldChar w:fldCharType="begin"/>
      </w:r>
      <w:r>
        <w:instrText xml:space="preserve"> PAGEREF _Toc449037206 \h </w:instrText>
      </w:r>
      <w:r>
        <w:fldChar w:fldCharType="separate"/>
      </w:r>
      <w:r>
        <w:t>- 10 -</w:t>
      </w:r>
      <w:r>
        <w:fldChar w:fldCharType="end"/>
      </w:r>
      <w:r>
        <w:fldChar w:fldCharType="end"/>
      </w:r>
    </w:p>
    <w:p w14:paraId="400FD22E">
      <w:pPr>
        <w:pStyle w:val="10"/>
        <w:tabs>
          <w:tab w:val="right" w:leader="dot" w:pos="8834"/>
        </w:tabs>
        <w:ind w:firstLine="31680"/>
        <w:rPr>
          <w:rFonts w:cs="Times New Roman"/>
        </w:rPr>
      </w:pPr>
      <w:r>
        <w:fldChar w:fldCharType="begin"/>
      </w:r>
      <w:r>
        <w:instrText xml:space="preserve"> HYPERLINK \l "_Toc449037207"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指导思想</w:t>
      </w:r>
      <w:r>
        <w:rPr>
          <w:rFonts w:cs="Times New Roman"/>
        </w:rPr>
        <w:tab/>
      </w:r>
      <w:r>
        <w:fldChar w:fldCharType="begin"/>
      </w:r>
      <w:r>
        <w:instrText xml:space="preserve"> PAGEREF _Toc449037207 \h </w:instrText>
      </w:r>
      <w:r>
        <w:fldChar w:fldCharType="separate"/>
      </w:r>
      <w:r>
        <w:t>- 10 -</w:t>
      </w:r>
      <w:r>
        <w:fldChar w:fldCharType="end"/>
      </w:r>
      <w:r>
        <w:fldChar w:fldCharType="end"/>
      </w:r>
    </w:p>
    <w:p w14:paraId="03D0C4C2">
      <w:pPr>
        <w:pStyle w:val="10"/>
        <w:tabs>
          <w:tab w:val="right" w:leader="dot" w:pos="8834"/>
        </w:tabs>
        <w:ind w:firstLine="31680"/>
        <w:rPr>
          <w:rFonts w:cs="Times New Roman"/>
        </w:rPr>
      </w:pPr>
      <w:r>
        <w:fldChar w:fldCharType="begin"/>
      </w:r>
      <w:r>
        <w:instrText xml:space="preserve"> HYPERLINK \l "_Toc449037208"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发展定位</w:t>
      </w:r>
      <w:r>
        <w:rPr>
          <w:rFonts w:cs="Times New Roman"/>
        </w:rPr>
        <w:tab/>
      </w:r>
      <w:r>
        <w:fldChar w:fldCharType="begin"/>
      </w:r>
      <w:r>
        <w:instrText xml:space="preserve"> PAGEREF _Toc449037208 \h </w:instrText>
      </w:r>
      <w:r>
        <w:fldChar w:fldCharType="separate"/>
      </w:r>
      <w:r>
        <w:t>- 12 -</w:t>
      </w:r>
      <w:r>
        <w:fldChar w:fldCharType="end"/>
      </w:r>
      <w:r>
        <w:fldChar w:fldCharType="end"/>
      </w:r>
    </w:p>
    <w:p w14:paraId="5420AFD6">
      <w:pPr>
        <w:pStyle w:val="10"/>
        <w:tabs>
          <w:tab w:val="right" w:leader="dot" w:pos="8834"/>
        </w:tabs>
        <w:ind w:firstLine="31680"/>
        <w:rPr>
          <w:rFonts w:cs="Times New Roman"/>
        </w:rPr>
      </w:pPr>
      <w:r>
        <w:fldChar w:fldCharType="begin"/>
      </w:r>
      <w:r>
        <w:instrText xml:space="preserve"> HYPERLINK \l "_Toc449037209"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发展目标</w:t>
      </w:r>
      <w:r>
        <w:rPr>
          <w:rFonts w:cs="Times New Roman"/>
        </w:rPr>
        <w:tab/>
      </w:r>
      <w:r>
        <w:fldChar w:fldCharType="begin"/>
      </w:r>
      <w:r>
        <w:instrText xml:space="preserve"> PAGEREF _Toc449037209 \h </w:instrText>
      </w:r>
      <w:r>
        <w:fldChar w:fldCharType="separate"/>
      </w:r>
      <w:r>
        <w:t>- 14 -</w:t>
      </w:r>
      <w:r>
        <w:fldChar w:fldCharType="end"/>
      </w:r>
      <w:r>
        <w:fldChar w:fldCharType="end"/>
      </w:r>
    </w:p>
    <w:p w14:paraId="3D33C9BA">
      <w:pPr>
        <w:pStyle w:val="20"/>
        <w:tabs>
          <w:tab w:val="right" w:leader="dot" w:pos="8834"/>
        </w:tabs>
        <w:ind w:firstLine="31680"/>
        <w:rPr>
          <w:rFonts w:cs="Times New Roman"/>
          <w:smallCaps w:val="0"/>
        </w:rPr>
      </w:pPr>
      <w:r>
        <w:fldChar w:fldCharType="begin"/>
      </w:r>
      <w:r>
        <w:instrText xml:space="preserve"> HYPERLINK \l "_Toc449037210" </w:instrText>
      </w:r>
      <w:r>
        <w:fldChar w:fldCharType="separate"/>
      </w:r>
      <w:r>
        <w:rPr>
          <w:rStyle w:val="30"/>
          <w:rFonts w:hint="eastAsia" w:ascii="方正黑体简体" w:hAnsi="黑体" w:eastAsia="方正黑体简体" w:cs="方正黑体简体"/>
        </w:rPr>
        <w:t>第三章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发展空间和布局</w:t>
      </w:r>
      <w:r>
        <w:rPr>
          <w:rFonts w:cs="Times New Roman"/>
        </w:rPr>
        <w:tab/>
      </w:r>
      <w:r>
        <w:fldChar w:fldCharType="begin"/>
      </w:r>
      <w:r>
        <w:instrText xml:space="preserve"> PAGEREF _Toc449037210 \h </w:instrText>
      </w:r>
      <w:r>
        <w:fldChar w:fldCharType="separate"/>
      </w:r>
      <w:r>
        <w:t>- 17 -</w:t>
      </w:r>
      <w:r>
        <w:fldChar w:fldCharType="end"/>
      </w:r>
      <w:r>
        <w:fldChar w:fldCharType="end"/>
      </w:r>
    </w:p>
    <w:p w14:paraId="06EEED65">
      <w:pPr>
        <w:pStyle w:val="10"/>
        <w:tabs>
          <w:tab w:val="right" w:leader="dot" w:pos="8834"/>
        </w:tabs>
        <w:ind w:firstLine="31680"/>
        <w:rPr>
          <w:rFonts w:cs="Times New Roman"/>
        </w:rPr>
      </w:pPr>
      <w:r>
        <w:fldChar w:fldCharType="begin"/>
      </w:r>
      <w:r>
        <w:instrText xml:space="preserve"> HYPERLINK \l "_Toc449037211"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确立城镇农业生态三类空间</w:t>
      </w:r>
      <w:r>
        <w:rPr>
          <w:rFonts w:cs="Times New Roman"/>
        </w:rPr>
        <w:tab/>
      </w:r>
      <w:r>
        <w:fldChar w:fldCharType="begin"/>
      </w:r>
      <w:r>
        <w:instrText xml:space="preserve"> PAGEREF _Toc449037211 \h </w:instrText>
      </w:r>
      <w:r>
        <w:fldChar w:fldCharType="separate"/>
      </w:r>
      <w:r>
        <w:t>- 17 -</w:t>
      </w:r>
      <w:r>
        <w:fldChar w:fldCharType="end"/>
      </w:r>
      <w:r>
        <w:fldChar w:fldCharType="end"/>
      </w:r>
    </w:p>
    <w:p w14:paraId="7EF24555">
      <w:pPr>
        <w:pStyle w:val="10"/>
        <w:tabs>
          <w:tab w:val="right" w:leader="dot" w:pos="8834"/>
        </w:tabs>
        <w:ind w:firstLine="31680"/>
        <w:rPr>
          <w:rFonts w:cs="Times New Roman"/>
        </w:rPr>
      </w:pPr>
      <w:r>
        <w:fldChar w:fldCharType="begin"/>
      </w:r>
      <w:r>
        <w:instrText xml:space="preserve"> HYPERLINK \l "_Toc449037212"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构筑“一线两核三区四带”产业布局</w:t>
      </w:r>
      <w:r>
        <w:rPr>
          <w:rFonts w:cs="Times New Roman"/>
        </w:rPr>
        <w:tab/>
      </w:r>
      <w:r>
        <w:fldChar w:fldCharType="begin"/>
      </w:r>
      <w:r>
        <w:instrText xml:space="preserve"> PAGEREF _Toc449037212 \h </w:instrText>
      </w:r>
      <w:r>
        <w:fldChar w:fldCharType="separate"/>
      </w:r>
      <w:r>
        <w:t>- 19 -</w:t>
      </w:r>
      <w:r>
        <w:fldChar w:fldCharType="end"/>
      </w:r>
      <w:r>
        <w:fldChar w:fldCharType="end"/>
      </w:r>
    </w:p>
    <w:p w14:paraId="124E8A90">
      <w:pPr>
        <w:pStyle w:val="10"/>
        <w:tabs>
          <w:tab w:val="right" w:leader="dot" w:pos="8834"/>
        </w:tabs>
        <w:ind w:firstLine="31680"/>
        <w:rPr>
          <w:rFonts w:cs="Times New Roman"/>
        </w:rPr>
      </w:pPr>
      <w:r>
        <w:fldChar w:fldCharType="begin"/>
      </w:r>
      <w:r>
        <w:instrText xml:space="preserve"> HYPERLINK \l "_Toc449037213"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推进“多规合一”</w:t>
      </w:r>
      <w:r>
        <w:rPr>
          <w:rFonts w:cs="Times New Roman"/>
        </w:rPr>
        <w:tab/>
      </w:r>
      <w:r>
        <w:fldChar w:fldCharType="begin"/>
      </w:r>
      <w:r>
        <w:instrText xml:space="preserve"> PAGEREF _Toc449037213 \h </w:instrText>
      </w:r>
      <w:r>
        <w:fldChar w:fldCharType="separate"/>
      </w:r>
      <w:r>
        <w:t>- 23 -</w:t>
      </w:r>
      <w:r>
        <w:fldChar w:fldCharType="end"/>
      </w:r>
      <w:r>
        <w:fldChar w:fldCharType="end"/>
      </w:r>
    </w:p>
    <w:p w14:paraId="300A6D4B">
      <w:pPr>
        <w:pStyle w:val="17"/>
        <w:tabs>
          <w:tab w:val="right" w:leader="dot" w:pos="8834"/>
        </w:tabs>
        <w:rPr>
          <w:rFonts w:eastAsia="宋体" w:cs="Times New Roman"/>
          <w:caps w:val="0"/>
          <w:sz w:val="21"/>
          <w:szCs w:val="21"/>
        </w:rPr>
      </w:pPr>
      <w:r>
        <w:fldChar w:fldCharType="begin"/>
      </w:r>
      <w:r>
        <w:instrText xml:space="preserve"> HYPERLINK \l "_Toc449037214" </w:instrText>
      </w:r>
      <w:r>
        <w:fldChar w:fldCharType="separate"/>
      </w:r>
      <w:r>
        <w:rPr>
          <w:rStyle w:val="30"/>
          <w:rFonts w:hint="eastAsia" w:ascii="方正小标宋简体" w:hAnsi="黑体" w:cs="方正小标宋简体"/>
        </w:rPr>
        <w:t>第二篇</w:t>
      </w:r>
      <w:r>
        <w:rPr>
          <w:rStyle w:val="30"/>
          <w:rFonts w:ascii="方正小标宋简体" w:hAnsi="黑体" w:cs="方正小标宋简体"/>
        </w:rPr>
        <w:t xml:space="preserve">  </w:t>
      </w:r>
      <w:r>
        <w:rPr>
          <w:rStyle w:val="30"/>
          <w:rFonts w:hint="eastAsia" w:ascii="方正小标宋简体" w:hAnsi="黑体" w:cs="方正小标宋简体"/>
        </w:rPr>
        <w:t>强化创新发展</w:t>
      </w:r>
      <w:r>
        <w:rPr>
          <w:rStyle w:val="30"/>
          <w:rFonts w:ascii="方正小标宋简体" w:hAnsi="黑体" w:cs="方正小标宋简体"/>
        </w:rPr>
        <w:t xml:space="preserve"> </w:t>
      </w:r>
      <w:r>
        <w:rPr>
          <w:rStyle w:val="30"/>
          <w:rFonts w:hint="eastAsia" w:ascii="方正小标宋简体" w:hAnsi="黑体" w:cs="方正小标宋简体"/>
        </w:rPr>
        <w:t>推动质量效益新提升</w:t>
      </w:r>
      <w:r>
        <w:rPr>
          <w:rFonts w:cs="Times New Roman"/>
        </w:rPr>
        <w:tab/>
      </w:r>
      <w:r>
        <w:fldChar w:fldCharType="begin"/>
      </w:r>
      <w:r>
        <w:instrText xml:space="preserve"> PAGEREF _Toc449037214 \h </w:instrText>
      </w:r>
      <w:r>
        <w:fldChar w:fldCharType="separate"/>
      </w:r>
      <w:r>
        <w:t>- 25 -</w:t>
      </w:r>
      <w:r>
        <w:fldChar w:fldCharType="end"/>
      </w:r>
      <w:r>
        <w:fldChar w:fldCharType="end"/>
      </w:r>
    </w:p>
    <w:p w14:paraId="506E76A8">
      <w:pPr>
        <w:pStyle w:val="20"/>
        <w:tabs>
          <w:tab w:val="right" w:leader="dot" w:pos="8834"/>
        </w:tabs>
        <w:ind w:firstLine="31680"/>
        <w:rPr>
          <w:rFonts w:cs="Times New Roman"/>
          <w:smallCaps w:val="0"/>
        </w:rPr>
      </w:pPr>
      <w:r>
        <w:fldChar w:fldCharType="begin"/>
      </w:r>
      <w:r>
        <w:instrText xml:space="preserve"> HYPERLINK \l "_Toc449037215" </w:instrText>
      </w:r>
      <w:r>
        <w:fldChar w:fldCharType="separate"/>
      </w:r>
      <w:r>
        <w:rPr>
          <w:rStyle w:val="30"/>
          <w:rFonts w:hint="eastAsia" w:ascii="方正黑体简体" w:hAnsi="黑体" w:eastAsia="方正黑体简体" w:cs="方正黑体简体"/>
        </w:rPr>
        <w:t>第四章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加快调结构转方式促升级，推动工业转型发展</w:t>
      </w:r>
      <w:r>
        <w:rPr>
          <w:rFonts w:cs="Times New Roman"/>
        </w:rPr>
        <w:tab/>
      </w:r>
      <w:r>
        <w:fldChar w:fldCharType="begin"/>
      </w:r>
      <w:r>
        <w:instrText xml:space="preserve"> PAGEREF _Toc449037215 \h </w:instrText>
      </w:r>
      <w:r>
        <w:fldChar w:fldCharType="separate"/>
      </w:r>
      <w:r>
        <w:t>- 25 -</w:t>
      </w:r>
      <w:r>
        <w:fldChar w:fldCharType="end"/>
      </w:r>
      <w:r>
        <w:fldChar w:fldCharType="end"/>
      </w:r>
    </w:p>
    <w:p w14:paraId="5B47A0EF">
      <w:pPr>
        <w:pStyle w:val="10"/>
        <w:tabs>
          <w:tab w:val="right" w:leader="dot" w:pos="8834"/>
        </w:tabs>
        <w:ind w:firstLine="31680"/>
        <w:rPr>
          <w:rFonts w:cs="Times New Roman"/>
        </w:rPr>
      </w:pPr>
      <w:r>
        <w:fldChar w:fldCharType="begin"/>
      </w:r>
      <w:r>
        <w:instrText xml:space="preserve"> HYPERLINK \l "_Toc449037216"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改造提升传统优势产业</w:t>
      </w:r>
      <w:r>
        <w:rPr>
          <w:rFonts w:cs="Times New Roman"/>
        </w:rPr>
        <w:tab/>
      </w:r>
      <w:r>
        <w:fldChar w:fldCharType="begin"/>
      </w:r>
      <w:r>
        <w:instrText xml:space="preserve"> PAGEREF _Toc449037216 \h </w:instrText>
      </w:r>
      <w:r>
        <w:fldChar w:fldCharType="separate"/>
      </w:r>
      <w:r>
        <w:t>- 25 -</w:t>
      </w:r>
      <w:r>
        <w:fldChar w:fldCharType="end"/>
      </w:r>
      <w:r>
        <w:fldChar w:fldCharType="end"/>
      </w:r>
    </w:p>
    <w:p w14:paraId="7BCE41FB">
      <w:pPr>
        <w:pStyle w:val="10"/>
        <w:tabs>
          <w:tab w:val="right" w:leader="dot" w:pos="8834"/>
        </w:tabs>
        <w:ind w:firstLine="31680"/>
        <w:rPr>
          <w:rFonts w:cs="Times New Roman"/>
        </w:rPr>
      </w:pPr>
      <w:r>
        <w:fldChar w:fldCharType="begin"/>
      </w:r>
      <w:r>
        <w:instrText xml:space="preserve"> HYPERLINK \l "_Toc449037217"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培育发展战略性新兴产业</w:t>
      </w:r>
      <w:r>
        <w:rPr>
          <w:rFonts w:cs="Times New Roman"/>
        </w:rPr>
        <w:tab/>
      </w:r>
      <w:r>
        <w:fldChar w:fldCharType="begin"/>
      </w:r>
      <w:r>
        <w:instrText xml:space="preserve"> PAGEREF _Toc449037217 \h </w:instrText>
      </w:r>
      <w:r>
        <w:fldChar w:fldCharType="separate"/>
      </w:r>
      <w:r>
        <w:t>- 27 -</w:t>
      </w:r>
      <w:r>
        <w:fldChar w:fldCharType="end"/>
      </w:r>
      <w:r>
        <w:fldChar w:fldCharType="end"/>
      </w:r>
    </w:p>
    <w:p w14:paraId="4BBBFAB0">
      <w:pPr>
        <w:pStyle w:val="10"/>
        <w:tabs>
          <w:tab w:val="right" w:leader="dot" w:pos="8834"/>
        </w:tabs>
        <w:ind w:firstLine="31680"/>
        <w:rPr>
          <w:rFonts w:cs="Times New Roman"/>
        </w:rPr>
      </w:pPr>
      <w:r>
        <w:fldChar w:fldCharType="begin"/>
      </w:r>
      <w:r>
        <w:instrText xml:space="preserve"> HYPERLINK \l "_Toc449037218"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加快推进工业集聚发展</w:t>
      </w:r>
      <w:r>
        <w:rPr>
          <w:rFonts w:cs="Times New Roman"/>
        </w:rPr>
        <w:tab/>
      </w:r>
      <w:r>
        <w:fldChar w:fldCharType="begin"/>
      </w:r>
      <w:r>
        <w:instrText xml:space="preserve"> PAGEREF _Toc449037218 \h </w:instrText>
      </w:r>
      <w:r>
        <w:fldChar w:fldCharType="separate"/>
      </w:r>
      <w:r>
        <w:t>- 29 -</w:t>
      </w:r>
      <w:r>
        <w:fldChar w:fldCharType="end"/>
      </w:r>
      <w:r>
        <w:fldChar w:fldCharType="end"/>
      </w:r>
    </w:p>
    <w:p w14:paraId="40C8D2BB">
      <w:pPr>
        <w:pStyle w:val="10"/>
        <w:tabs>
          <w:tab w:val="right" w:leader="dot" w:pos="8834"/>
        </w:tabs>
        <w:ind w:firstLine="31680"/>
        <w:rPr>
          <w:rFonts w:cs="Times New Roman"/>
        </w:rPr>
      </w:pPr>
      <w:r>
        <w:fldChar w:fldCharType="begin"/>
      </w:r>
      <w:r>
        <w:instrText xml:space="preserve"> HYPERLINK \l "_Toc449037219" </w:instrText>
      </w:r>
      <w:r>
        <w:fldChar w:fldCharType="separate"/>
      </w:r>
      <w:r>
        <w:rPr>
          <w:rStyle w:val="30"/>
          <w:rFonts w:hint="eastAsia" w:ascii="方正仿宋简体" w:hAnsi="黑体" w:eastAsia="方正仿宋简体" w:cs="方正仿宋简体"/>
        </w:rPr>
        <w:t>第四节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创新工业经济发展路径</w:t>
      </w:r>
      <w:r>
        <w:rPr>
          <w:rFonts w:cs="Times New Roman"/>
        </w:rPr>
        <w:tab/>
      </w:r>
      <w:r>
        <w:fldChar w:fldCharType="begin"/>
      </w:r>
      <w:r>
        <w:instrText xml:space="preserve"> PAGEREF _Toc449037219 \h </w:instrText>
      </w:r>
      <w:r>
        <w:fldChar w:fldCharType="separate"/>
      </w:r>
      <w:r>
        <w:t>- 30 -</w:t>
      </w:r>
      <w:r>
        <w:fldChar w:fldCharType="end"/>
      </w:r>
      <w:r>
        <w:fldChar w:fldCharType="end"/>
      </w:r>
    </w:p>
    <w:p w14:paraId="6856F469">
      <w:pPr>
        <w:pStyle w:val="20"/>
        <w:tabs>
          <w:tab w:val="right" w:leader="dot" w:pos="8834"/>
        </w:tabs>
        <w:ind w:firstLine="31680"/>
        <w:rPr>
          <w:rFonts w:cs="Times New Roman"/>
          <w:smallCaps w:val="0"/>
        </w:rPr>
      </w:pPr>
      <w:r>
        <w:fldChar w:fldCharType="begin"/>
      </w:r>
      <w:r>
        <w:instrText xml:space="preserve"> HYPERLINK \l "_Toc449037220" </w:instrText>
      </w:r>
      <w:r>
        <w:fldChar w:fldCharType="separate"/>
      </w:r>
      <w:r>
        <w:rPr>
          <w:rStyle w:val="30"/>
          <w:rFonts w:hint="eastAsia" w:ascii="方正黑体简体" w:hAnsi="黑体" w:eastAsia="方正黑体简体" w:cs="方正黑体简体"/>
        </w:rPr>
        <w:t>第五章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放大地域特色优势，</w:t>
      </w:r>
      <w:r>
        <w:rPr>
          <w:rStyle w:val="30"/>
          <w:rFonts w:hint="eastAsia" w:ascii="方正黑体简体" w:hAnsi="黑体" w:eastAsia="方正黑体简体" w:cs="方正黑体简体"/>
          <w:spacing w:val="-4"/>
        </w:rPr>
        <w:t>推动旅游业全域化发展</w:t>
      </w:r>
      <w:r>
        <w:rPr>
          <w:rFonts w:cs="Times New Roman"/>
        </w:rPr>
        <w:tab/>
      </w:r>
      <w:r>
        <w:fldChar w:fldCharType="begin"/>
      </w:r>
      <w:r>
        <w:instrText xml:space="preserve"> PAGEREF _Toc449037220 \h </w:instrText>
      </w:r>
      <w:r>
        <w:fldChar w:fldCharType="separate"/>
      </w:r>
      <w:r>
        <w:t>- 33 -</w:t>
      </w:r>
      <w:r>
        <w:fldChar w:fldCharType="end"/>
      </w:r>
      <w:r>
        <w:fldChar w:fldCharType="end"/>
      </w:r>
    </w:p>
    <w:p w14:paraId="0152AF18">
      <w:pPr>
        <w:pStyle w:val="10"/>
        <w:tabs>
          <w:tab w:val="right" w:leader="dot" w:pos="8834"/>
        </w:tabs>
        <w:ind w:firstLine="31680"/>
        <w:rPr>
          <w:rFonts w:cs="Times New Roman"/>
        </w:rPr>
      </w:pPr>
      <w:r>
        <w:fldChar w:fldCharType="begin"/>
      </w:r>
      <w:r>
        <w:instrText xml:space="preserve"> HYPERLINK \l "_Toc449037221"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建设精品旅游景区</w:t>
      </w:r>
      <w:r>
        <w:rPr>
          <w:rFonts w:cs="Times New Roman"/>
        </w:rPr>
        <w:tab/>
      </w:r>
      <w:r>
        <w:fldChar w:fldCharType="begin"/>
      </w:r>
      <w:r>
        <w:instrText xml:space="preserve"> PAGEREF _Toc449037221 \h </w:instrText>
      </w:r>
      <w:r>
        <w:fldChar w:fldCharType="separate"/>
      </w:r>
      <w:r>
        <w:t>- 33 -</w:t>
      </w:r>
      <w:r>
        <w:fldChar w:fldCharType="end"/>
      </w:r>
      <w:r>
        <w:fldChar w:fldCharType="end"/>
      </w:r>
    </w:p>
    <w:p w14:paraId="12922A10">
      <w:pPr>
        <w:pStyle w:val="10"/>
        <w:tabs>
          <w:tab w:val="right" w:leader="dot" w:pos="8834"/>
        </w:tabs>
        <w:ind w:firstLine="31680"/>
        <w:rPr>
          <w:rFonts w:cs="Times New Roman"/>
        </w:rPr>
      </w:pPr>
      <w:r>
        <w:fldChar w:fldCharType="begin"/>
      </w:r>
      <w:r>
        <w:instrText xml:space="preserve"> HYPERLINK \l "_Toc449037222"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开发系列特色旅游产品</w:t>
      </w:r>
      <w:r>
        <w:rPr>
          <w:rFonts w:cs="Times New Roman"/>
        </w:rPr>
        <w:tab/>
      </w:r>
      <w:r>
        <w:fldChar w:fldCharType="begin"/>
      </w:r>
      <w:r>
        <w:instrText xml:space="preserve"> PAGEREF _Toc449037222 \h </w:instrText>
      </w:r>
      <w:r>
        <w:fldChar w:fldCharType="separate"/>
      </w:r>
      <w:r>
        <w:t>- 35 -</w:t>
      </w:r>
      <w:r>
        <w:fldChar w:fldCharType="end"/>
      </w:r>
      <w:r>
        <w:fldChar w:fldCharType="end"/>
      </w:r>
    </w:p>
    <w:p w14:paraId="0A35FC9B">
      <w:pPr>
        <w:pStyle w:val="10"/>
        <w:tabs>
          <w:tab w:val="right" w:leader="dot" w:pos="8834"/>
        </w:tabs>
        <w:ind w:firstLine="31680"/>
        <w:rPr>
          <w:rFonts w:cs="Times New Roman"/>
        </w:rPr>
      </w:pPr>
      <w:r>
        <w:fldChar w:fldCharType="begin"/>
      </w:r>
      <w:r>
        <w:instrText xml:space="preserve"> HYPERLINK \l "_Toc449037223"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实施文化旅游业提升工程</w:t>
      </w:r>
      <w:r>
        <w:rPr>
          <w:rFonts w:cs="Times New Roman"/>
        </w:rPr>
        <w:tab/>
      </w:r>
      <w:r>
        <w:fldChar w:fldCharType="begin"/>
      </w:r>
      <w:r>
        <w:instrText xml:space="preserve"> PAGEREF _Toc449037223 \h </w:instrText>
      </w:r>
      <w:r>
        <w:fldChar w:fldCharType="separate"/>
      </w:r>
      <w:r>
        <w:t>- 36 -</w:t>
      </w:r>
      <w:r>
        <w:fldChar w:fldCharType="end"/>
      </w:r>
      <w:r>
        <w:fldChar w:fldCharType="end"/>
      </w:r>
    </w:p>
    <w:p w14:paraId="7041EEAF">
      <w:pPr>
        <w:pStyle w:val="10"/>
        <w:tabs>
          <w:tab w:val="right" w:leader="dot" w:pos="8834"/>
        </w:tabs>
        <w:ind w:firstLine="31680"/>
        <w:rPr>
          <w:rFonts w:cs="Times New Roman"/>
        </w:rPr>
      </w:pPr>
      <w:r>
        <w:fldChar w:fldCharType="begin"/>
      </w:r>
      <w:r>
        <w:instrText xml:space="preserve"> HYPERLINK \l "_Toc449037224" </w:instrText>
      </w:r>
      <w:r>
        <w:fldChar w:fldCharType="separate"/>
      </w:r>
      <w:r>
        <w:rPr>
          <w:rStyle w:val="30"/>
          <w:rFonts w:hint="eastAsia" w:ascii="方正仿宋简体" w:hAnsi="黑体" w:eastAsia="方正仿宋简体" w:cs="方正仿宋简体"/>
        </w:rPr>
        <w:t>第四节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加强旅游公共服务体系建设</w:t>
      </w:r>
      <w:r>
        <w:rPr>
          <w:rFonts w:cs="Times New Roman"/>
        </w:rPr>
        <w:tab/>
      </w:r>
      <w:r>
        <w:fldChar w:fldCharType="begin"/>
      </w:r>
      <w:r>
        <w:instrText xml:space="preserve"> PAGEREF _Toc449037224 \h </w:instrText>
      </w:r>
      <w:r>
        <w:fldChar w:fldCharType="separate"/>
      </w:r>
      <w:r>
        <w:t>- 39 -</w:t>
      </w:r>
      <w:r>
        <w:fldChar w:fldCharType="end"/>
      </w:r>
      <w:r>
        <w:fldChar w:fldCharType="end"/>
      </w:r>
    </w:p>
    <w:p w14:paraId="4B7BE998">
      <w:pPr>
        <w:pStyle w:val="20"/>
        <w:tabs>
          <w:tab w:val="right" w:leader="dot" w:pos="8834"/>
        </w:tabs>
        <w:ind w:firstLine="31680"/>
        <w:rPr>
          <w:rFonts w:cs="Times New Roman"/>
          <w:smallCaps w:val="0"/>
        </w:rPr>
      </w:pPr>
      <w:r>
        <w:fldChar w:fldCharType="begin"/>
      </w:r>
      <w:r>
        <w:instrText xml:space="preserve"> HYPERLINK \l "_Toc449037225" </w:instrText>
      </w:r>
      <w:r>
        <w:fldChar w:fldCharType="separate"/>
      </w:r>
      <w:r>
        <w:rPr>
          <w:rStyle w:val="30"/>
          <w:rFonts w:hint="eastAsia" w:ascii="方正黑体简体" w:hAnsi="黑体" w:eastAsia="方正黑体简体" w:cs="方正黑体简体"/>
        </w:rPr>
        <w:t>第六章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培育提升新业态，加快发展现代服务业</w:t>
      </w:r>
      <w:r>
        <w:rPr>
          <w:rFonts w:cs="Times New Roman"/>
        </w:rPr>
        <w:tab/>
      </w:r>
      <w:r>
        <w:fldChar w:fldCharType="begin"/>
      </w:r>
      <w:r>
        <w:instrText xml:space="preserve"> PAGEREF _Toc449037225 \h </w:instrText>
      </w:r>
      <w:r>
        <w:fldChar w:fldCharType="separate"/>
      </w:r>
      <w:r>
        <w:t>- 41 -</w:t>
      </w:r>
      <w:r>
        <w:fldChar w:fldCharType="end"/>
      </w:r>
      <w:r>
        <w:fldChar w:fldCharType="end"/>
      </w:r>
    </w:p>
    <w:p w14:paraId="40D49DE0">
      <w:pPr>
        <w:pStyle w:val="10"/>
        <w:tabs>
          <w:tab w:val="right" w:leader="dot" w:pos="8834"/>
        </w:tabs>
        <w:ind w:firstLine="31680"/>
        <w:rPr>
          <w:rFonts w:cs="Times New Roman"/>
        </w:rPr>
      </w:pPr>
      <w:r>
        <w:fldChar w:fldCharType="begin"/>
      </w:r>
      <w:r>
        <w:instrText xml:space="preserve"> HYPERLINK \l "_Toc449037226"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推动生产性服务业向专业化</w:t>
      </w:r>
      <w:r>
        <w:rPr>
          <w:rFonts w:cs="Times New Roman"/>
        </w:rPr>
        <w:tab/>
      </w:r>
      <w:r>
        <w:fldChar w:fldCharType="begin"/>
      </w:r>
      <w:r>
        <w:instrText xml:space="preserve"> PAGEREF _Toc449037226 \h </w:instrText>
      </w:r>
      <w:r>
        <w:fldChar w:fldCharType="separate"/>
      </w:r>
      <w:r>
        <w:t>- 41 -</w:t>
      </w:r>
      <w:r>
        <w:fldChar w:fldCharType="end"/>
      </w:r>
      <w:r>
        <w:fldChar w:fldCharType="end"/>
      </w:r>
    </w:p>
    <w:p w14:paraId="3862372C">
      <w:pPr>
        <w:pStyle w:val="10"/>
        <w:tabs>
          <w:tab w:val="right" w:leader="dot" w:pos="8834"/>
        </w:tabs>
        <w:ind w:firstLine="31680"/>
        <w:rPr>
          <w:rFonts w:cs="Times New Roman"/>
        </w:rPr>
      </w:pPr>
      <w:r>
        <w:fldChar w:fldCharType="begin"/>
      </w:r>
      <w:r>
        <w:instrText xml:space="preserve"> HYPERLINK \l "_Toc449037227"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推动生活性服务业品质化</w:t>
      </w:r>
      <w:r>
        <w:rPr>
          <w:rFonts w:cs="Times New Roman"/>
        </w:rPr>
        <w:tab/>
      </w:r>
      <w:r>
        <w:fldChar w:fldCharType="begin"/>
      </w:r>
      <w:r>
        <w:instrText xml:space="preserve"> PAGEREF _Toc449037227 \h </w:instrText>
      </w:r>
      <w:r>
        <w:fldChar w:fldCharType="separate"/>
      </w:r>
      <w:r>
        <w:t>- 44 -</w:t>
      </w:r>
      <w:r>
        <w:fldChar w:fldCharType="end"/>
      </w:r>
      <w:r>
        <w:fldChar w:fldCharType="end"/>
      </w:r>
    </w:p>
    <w:p w14:paraId="78EBBCEB">
      <w:pPr>
        <w:pStyle w:val="10"/>
        <w:tabs>
          <w:tab w:val="right" w:leader="dot" w:pos="8834"/>
        </w:tabs>
        <w:ind w:firstLine="31680"/>
        <w:rPr>
          <w:rFonts w:cs="Times New Roman"/>
        </w:rPr>
      </w:pPr>
      <w:r>
        <w:fldChar w:fldCharType="begin"/>
      </w:r>
      <w:r>
        <w:instrText xml:space="preserve"> HYPERLINK \l "_Toc449037228"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推动商贸物流业精细化</w:t>
      </w:r>
      <w:r>
        <w:rPr>
          <w:rFonts w:cs="Times New Roman"/>
        </w:rPr>
        <w:tab/>
      </w:r>
      <w:r>
        <w:fldChar w:fldCharType="begin"/>
      </w:r>
      <w:r>
        <w:instrText xml:space="preserve"> PAGEREF _Toc449037228 \h </w:instrText>
      </w:r>
      <w:r>
        <w:fldChar w:fldCharType="separate"/>
      </w:r>
      <w:r>
        <w:t>- 45 -</w:t>
      </w:r>
      <w:r>
        <w:fldChar w:fldCharType="end"/>
      </w:r>
      <w:r>
        <w:fldChar w:fldCharType="end"/>
      </w:r>
    </w:p>
    <w:p w14:paraId="20BCF263">
      <w:pPr>
        <w:pStyle w:val="20"/>
        <w:tabs>
          <w:tab w:val="right" w:leader="dot" w:pos="8834"/>
        </w:tabs>
        <w:ind w:firstLine="31680"/>
        <w:rPr>
          <w:rFonts w:cs="Times New Roman"/>
          <w:smallCaps w:val="0"/>
        </w:rPr>
      </w:pPr>
      <w:r>
        <w:fldChar w:fldCharType="begin"/>
      </w:r>
      <w:r>
        <w:instrText xml:space="preserve"> HYPERLINK \l "_Toc449037229" </w:instrText>
      </w:r>
      <w:r>
        <w:fldChar w:fldCharType="separate"/>
      </w:r>
      <w:r>
        <w:rPr>
          <w:rStyle w:val="30"/>
          <w:rFonts w:hint="eastAsia" w:ascii="方正黑体简体" w:hAnsi="黑体" w:eastAsia="方正黑体简体" w:cs="方正黑体简体"/>
        </w:rPr>
        <w:t>第七章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大力发展现代农业，提高农业产业化水平</w:t>
      </w:r>
      <w:r>
        <w:rPr>
          <w:rFonts w:cs="Times New Roman"/>
        </w:rPr>
        <w:tab/>
      </w:r>
      <w:r>
        <w:fldChar w:fldCharType="begin"/>
      </w:r>
      <w:r>
        <w:instrText xml:space="preserve"> PAGEREF _Toc449037229 \h </w:instrText>
      </w:r>
      <w:r>
        <w:fldChar w:fldCharType="separate"/>
      </w:r>
      <w:r>
        <w:t>- 46 -</w:t>
      </w:r>
      <w:r>
        <w:fldChar w:fldCharType="end"/>
      </w:r>
      <w:r>
        <w:fldChar w:fldCharType="end"/>
      </w:r>
    </w:p>
    <w:p w14:paraId="2363C07A">
      <w:pPr>
        <w:pStyle w:val="10"/>
        <w:tabs>
          <w:tab w:val="right" w:leader="dot" w:pos="8834"/>
        </w:tabs>
        <w:ind w:firstLine="31680"/>
        <w:rPr>
          <w:rFonts w:cs="Times New Roman"/>
        </w:rPr>
      </w:pPr>
      <w:r>
        <w:fldChar w:fldCharType="begin"/>
      </w:r>
      <w:r>
        <w:instrText xml:space="preserve"> HYPERLINK \l "_Toc449037230"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构建新型农业经营体系</w:t>
      </w:r>
      <w:r>
        <w:rPr>
          <w:rFonts w:cs="Times New Roman"/>
        </w:rPr>
        <w:tab/>
      </w:r>
      <w:r>
        <w:fldChar w:fldCharType="begin"/>
      </w:r>
      <w:r>
        <w:instrText xml:space="preserve"> PAGEREF _Toc449037230 \h </w:instrText>
      </w:r>
      <w:r>
        <w:fldChar w:fldCharType="separate"/>
      </w:r>
      <w:r>
        <w:t>- 47 -</w:t>
      </w:r>
      <w:r>
        <w:fldChar w:fldCharType="end"/>
      </w:r>
      <w:r>
        <w:fldChar w:fldCharType="end"/>
      </w:r>
    </w:p>
    <w:p w14:paraId="28A6F5D9">
      <w:pPr>
        <w:pStyle w:val="10"/>
        <w:tabs>
          <w:tab w:val="right" w:leader="dot" w:pos="8834"/>
        </w:tabs>
        <w:ind w:firstLine="31680"/>
        <w:rPr>
          <w:rFonts w:cs="Times New Roman"/>
        </w:rPr>
      </w:pPr>
      <w:r>
        <w:fldChar w:fldCharType="begin"/>
      </w:r>
      <w:r>
        <w:instrText xml:space="preserve"> HYPERLINK \l "_Toc449037231"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构建现代农业生产体系</w:t>
      </w:r>
      <w:r>
        <w:rPr>
          <w:rFonts w:cs="Times New Roman"/>
        </w:rPr>
        <w:tab/>
      </w:r>
      <w:r>
        <w:fldChar w:fldCharType="begin"/>
      </w:r>
      <w:r>
        <w:instrText xml:space="preserve"> PAGEREF _Toc449037231 \h </w:instrText>
      </w:r>
      <w:r>
        <w:fldChar w:fldCharType="separate"/>
      </w:r>
      <w:r>
        <w:t>- 48 -</w:t>
      </w:r>
      <w:r>
        <w:fldChar w:fldCharType="end"/>
      </w:r>
      <w:r>
        <w:fldChar w:fldCharType="end"/>
      </w:r>
    </w:p>
    <w:p w14:paraId="0BFDF72B">
      <w:pPr>
        <w:pStyle w:val="10"/>
        <w:tabs>
          <w:tab w:val="right" w:leader="dot" w:pos="8834"/>
        </w:tabs>
        <w:ind w:firstLine="31680"/>
        <w:rPr>
          <w:rFonts w:cs="Times New Roman"/>
        </w:rPr>
      </w:pPr>
      <w:r>
        <w:fldChar w:fldCharType="begin"/>
      </w:r>
      <w:r>
        <w:instrText xml:space="preserve"> HYPERLINK \l "_Toc449037232"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构建现代农业产业体系</w:t>
      </w:r>
      <w:r>
        <w:rPr>
          <w:rFonts w:cs="Times New Roman"/>
        </w:rPr>
        <w:tab/>
      </w:r>
      <w:r>
        <w:fldChar w:fldCharType="begin"/>
      </w:r>
      <w:r>
        <w:instrText xml:space="preserve"> PAGEREF _Toc449037232 \h </w:instrText>
      </w:r>
      <w:r>
        <w:fldChar w:fldCharType="separate"/>
      </w:r>
      <w:r>
        <w:t>- 49 -</w:t>
      </w:r>
      <w:r>
        <w:fldChar w:fldCharType="end"/>
      </w:r>
      <w:r>
        <w:fldChar w:fldCharType="end"/>
      </w:r>
    </w:p>
    <w:p w14:paraId="19FBCC0E">
      <w:pPr>
        <w:pStyle w:val="10"/>
        <w:tabs>
          <w:tab w:val="right" w:leader="dot" w:pos="8834"/>
        </w:tabs>
        <w:ind w:firstLine="31680"/>
        <w:rPr>
          <w:rFonts w:cs="Times New Roman"/>
        </w:rPr>
      </w:pPr>
      <w:r>
        <w:fldChar w:fldCharType="begin"/>
      </w:r>
      <w:r>
        <w:instrText xml:space="preserve"> HYPERLINK \l "_Toc449037233" </w:instrText>
      </w:r>
      <w:r>
        <w:fldChar w:fldCharType="separate"/>
      </w:r>
      <w:r>
        <w:rPr>
          <w:rStyle w:val="30"/>
          <w:rFonts w:hint="eastAsia" w:ascii="方正仿宋简体" w:hAnsi="黑体" w:eastAsia="方正仿宋简体" w:cs="方正仿宋简体"/>
        </w:rPr>
        <w:t>第四节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推进农村综合配套改革</w:t>
      </w:r>
      <w:r>
        <w:rPr>
          <w:rFonts w:cs="Times New Roman"/>
        </w:rPr>
        <w:tab/>
      </w:r>
      <w:r>
        <w:fldChar w:fldCharType="begin"/>
      </w:r>
      <w:r>
        <w:instrText xml:space="preserve"> PAGEREF _Toc449037233 \h </w:instrText>
      </w:r>
      <w:r>
        <w:fldChar w:fldCharType="separate"/>
      </w:r>
      <w:r>
        <w:t>- 50 -</w:t>
      </w:r>
      <w:r>
        <w:fldChar w:fldCharType="end"/>
      </w:r>
      <w:r>
        <w:fldChar w:fldCharType="end"/>
      </w:r>
    </w:p>
    <w:p w14:paraId="093085DF">
      <w:pPr>
        <w:pStyle w:val="20"/>
        <w:tabs>
          <w:tab w:val="right" w:leader="dot" w:pos="8834"/>
        </w:tabs>
        <w:ind w:firstLine="31680"/>
        <w:rPr>
          <w:rFonts w:cs="Times New Roman"/>
          <w:smallCaps w:val="0"/>
        </w:rPr>
      </w:pPr>
      <w:r>
        <w:fldChar w:fldCharType="begin"/>
      </w:r>
      <w:r>
        <w:instrText xml:space="preserve"> HYPERLINK \l "_Toc449037234" </w:instrText>
      </w:r>
      <w:r>
        <w:fldChar w:fldCharType="separate"/>
      </w:r>
      <w:r>
        <w:rPr>
          <w:rStyle w:val="30"/>
          <w:rFonts w:hint="eastAsia" w:ascii="方正黑体简体" w:hAnsi="黑体" w:eastAsia="方正黑体简体" w:cs="方正黑体简体"/>
        </w:rPr>
        <w:t>第八章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实施创新驱动发展战略，全面推动“双创”</w:t>
      </w:r>
      <w:r>
        <w:rPr>
          <w:rFonts w:cs="Times New Roman"/>
        </w:rPr>
        <w:tab/>
      </w:r>
      <w:r>
        <w:fldChar w:fldCharType="begin"/>
      </w:r>
      <w:r>
        <w:instrText xml:space="preserve"> PAGEREF _Toc449037234 \h </w:instrText>
      </w:r>
      <w:r>
        <w:fldChar w:fldCharType="separate"/>
      </w:r>
      <w:r>
        <w:t>- 52 -</w:t>
      </w:r>
      <w:r>
        <w:fldChar w:fldCharType="end"/>
      </w:r>
      <w:r>
        <w:fldChar w:fldCharType="end"/>
      </w:r>
    </w:p>
    <w:p w14:paraId="64830A44">
      <w:pPr>
        <w:pStyle w:val="10"/>
        <w:tabs>
          <w:tab w:val="right" w:leader="dot" w:pos="8834"/>
        </w:tabs>
        <w:ind w:firstLine="31680"/>
        <w:rPr>
          <w:rFonts w:cs="Times New Roman"/>
        </w:rPr>
      </w:pPr>
      <w:r>
        <w:fldChar w:fldCharType="begin"/>
      </w:r>
      <w:r>
        <w:instrText xml:space="preserve"> HYPERLINK \l "_Toc449037235"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提升自主创新能力</w:t>
      </w:r>
      <w:r>
        <w:rPr>
          <w:rFonts w:cs="Times New Roman"/>
        </w:rPr>
        <w:tab/>
      </w:r>
      <w:r>
        <w:fldChar w:fldCharType="begin"/>
      </w:r>
      <w:r>
        <w:instrText xml:space="preserve"> PAGEREF _Toc449037235 \h </w:instrText>
      </w:r>
      <w:r>
        <w:fldChar w:fldCharType="separate"/>
      </w:r>
      <w:r>
        <w:t>- 52 -</w:t>
      </w:r>
      <w:r>
        <w:fldChar w:fldCharType="end"/>
      </w:r>
      <w:r>
        <w:fldChar w:fldCharType="end"/>
      </w:r>
    </w:p>
    <w:p w14:paraId="10A87941">
      <w:pPr>
        <w:pStyle w:val="10"/>
        <w:tabs>
          <w:tab w:val="right" w:leader="dot" w:pos="8834"/>
        </w:tabs>
        <w:ind w:firstLine="31680"/>
        <w:rPr>
          <w:rFonts w:cs="Times New Roman"/>
        </w:rPr>
      </w:pPr>
      <w:r>
        <w:fldChar w:fldCharType="begin"/>
      </w:r>
      <w:r>
        <w:instrText xml:space="preserve"> HYPERLINK \l "_Toc449037236"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推进创新平台建设</w:t>
      </w:r>
      <w:r>
        <w:rPr>
          <w:rFonts w:cs="Times New Roman"/>
        </w:rPr>
        <w:tab/>
      </w:r>
      <w:r>
        <w:fldChar w:fldCharType="begin"/>
      </w:r>
      <w:r>
        <w:instrText xml:space="preserve"> PAGEREF _Toc449037236 \h </w:instrText>
      </w:r>
      <w:r>
        <w:fldChar w:fldCharType="separate"/>
      </w:r>
      <w:r>
        <w:t>- 53 -</w:t>
      </w:r>
      <w:r>
        <w:fldChar w:fldCharType="end"/>
      </w:r>
      <w:r>
        <w:fldChar w:fldCharType="end"/>
      </w:r>
    </w:p>
    <w:p w14:paraId="599B0674">
      <w:pPr>
        <w:pStyle w:val="10"/>
        <w:tabs>
          <w:tab w:val="right" w:leader="dot" w:pos="8834"/>
        </w:tabs>
        <w:ind w:firstLine="31680"/>
        <w:rPr>
          <w:rFonts w:cs="Times New Roman"/>
        </w:rPr>
      </w:pPr>
      <w:r>
        <w:fldChar w:fldCharType="begin"/>
      </w:r>
      <w:r>
        <w:instrText xml:space="preserve"> HYPERLINK \l "_Toc449037237"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全面拓展众创空间</w:t>
      </w:r>
      <w:r>
        <w:rPr>
          <w:rFonts w:cs="Times New Roman"/>
        </w:rPr>
        <w:tab/>
      </w:r>
      <w:r>
        <w:fldChar w:fldCharType="begin"/>
      </w:r>
      <w:r>
        <w:instrText xml:space="preserve"> PAGEREF _Toc449037237 \h </w:instrText>
      </w:r>
      <w:r>
        <w:fldChar w:fldCharType="separate"/>
      </w:r>
      <w:r>
        <w:t>- 54 -</w:t>
      </w:r>
      <w:r>
        <w:fldChar w:fldCharType="end"/>
      </w:r>
      <w:r>
        <w:fldChar w:fldCharType="end"/>
      </w:r>
    </w:p>
    <w:p w14:paraId="1B116372">
      <w:pPr>
        <w:pStyle w:val="10"/>
        <w:tabs>
          <w:tab w:val="right" w:leader="dot" w:pos="8834"/>
        </w:tabs>
        <w:ind w:firstLine="31680"/>
        <w:rPr>
          <w:rFonts w:cs="Times New Roman"/>
        </w:rPr>
      </w:pPr>
      <w:r>
        <w:fldChar w:fldCharType="begin"/>
      </w:r>
      <w:r>
        <w:instrText xml:space="preserve"> HYPERLINK \l "_Toc449037238" </w:instrText>
      </w:r>
      <w:r>
        <w:fldChar w:fldCharType="separate"/>
      </w:r>
      <w:r>
        <w:rPr>
          <w:rStyle w:val="30"/>
          <w:rFonts w:hint="eastAsia" w:ascii="方正仿宋简体" w:hAnsi="黑体" w:eastAsia="方正仿宋简体" w:cs="方正仿宋简体"/>
        </w:rPr>
        <w:t>第四节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加强质量品牌建设</w:t>
      </w:r>
      <w:r>
        <w:rPr>
          <w:rFonts w:cs="Times New Roman"/>
        </w:rPr>
        <w:tab/>
      </w:r>
      <w:r>
        <w:fldChar w:fldCharType="begin"/>
      </w:r>
      <w:r>
        <w:instrText xml:space="preserve"> PAGEREF _Toc449037238 \h </w:instrText>
      </w:r>
      <w:r>
        <w:fldChar w:fldCharType="separate"/>
      </w:r>
      <w:r>
        <w:t>- 54 -</w:t>
      </w:r>
      <w:r>
        <w:fldChar w:fldCharType="end"/>
      </w:r>
      <w:r>
        <w:fldChar w:fldCharType="end"/>
      </w:r>
    </w:p>
    <w:p w14:paraId="68E265A3">
      <w:pPr>
        <w:pStyle w:val="20"/>
        <w:tabs>
          <w:tab w:val="right" w:leader="dot" w:pos="8834"/>
        </w:tabs>
        <w:ind w:firstLine="31680"/>
        <w:rPr>
          <w:rFonts w:cs="Times New Roman"/>
          <w:smallCaps w:val="0"/>
        </w:rPr>
      </w:pPr>
      <w:r>
        <w:fldChar w:fldCharType="begin"/>
      </w:r>
      <w:r>
        <w:instrText xml:space="preserve"> HYPERLINK \l "_Toc449037239" </w:instrText>
      </w:r>
      <w:r>
        <w:fldChar w:fldCharType="separate"/>
      </w:r>
      <w:r>
        <w:rPr>
          <w:rStyle w:val="30"/>
          <w:rFonts w:hint="eastAsia" w:ascii="方正黑体简体" w:hAnsi="黑体" w:eastAsia="方正黑体简体" w:cs="方正黑体简体"/>
        </w:rPr>
        <w:t>第九章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实施“互联网</w:t>
      </w:r>
      <w:r>
        <w:rPr>
          <w:rStyle w:val="30"/>
          <w:rFonts w:ascii="方正黑体简体" w:hAnsi="黑体" w:eastAsia="方正黑体简体" w:cs="方正黑体简体"/>
        </w:rPr>
        <w:t>+</w:t>
      </w:r>
      <w:r>
        <w:rPr>
          <w:rStyle w:val="30"/>
          <w:rFonts w:hint="eastAsia" w:ascii="方正黑体简体" w:hAnsi="黑体" w:eastAsia="方正黑体简体" w:cs="方正黑体简体"/>
        </w:rPr>
        <w:t>”行动计划，拓展网络经济空间</w:t>
      </w:r>
      <w:r>
        <w:rPr>
          <w:rFonts w:cs="Times New Roman"/>
        </w:rPr>
        <w:tab/>
      </w:r>
      <w:r>
        <w:fldChar w:fldCharType="begin"/>
      </w:r>
      <w:r>
        <w:instrText xml:space="preserve"> PAGEREF _Toc449037239 \h </w:instrText>
      </w:r>
      <w:r>
        <w:fldChar w:fldCharType="separate"/>
      </w:r>
      <w:r>
        <w:t>- 56 -</w:t>
      </w:r>
      <w:r>
        <w:fldChar w:fldCharType="end"/>
      </w:r>
      <w:r>
        <w:fldChar w:fldCharType="end"/>
      </w:r>
    </w:p>
    <w:p w14:paraId="1567D740">
      <w:pPr>
        <w:pStyle w:val="10"/>
        <w:tabs>
          <w:tab w:val="right" w:leader="dot" w:pos="8834"/>
        </w:tabs>
        <w:ind w:firstLine="31680"/>
        <w:rPr>
          <w:rFonts w:cs="Times New Roman"/>
        </w:rPr>
      </w:pPr>
      <w:r>
        <w:fldChar w:fldCharType="begin"/>
      </w:r>
      <w:r>
        <w:instrText xml:space="preserve"> HYPERLINK \l "_Toc449037240"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运用“互联网</w:t>
      </w:r>
      <w:r>
        <w:rPr>
          <w:rStyle w:val="30"/>
          <w:rFonts w:ascii="方正仿宋简体" w:hAnsi="黑体" w:eastAsia="方正仿宋简体" w:cs="方正仿宋简体"/>
        </w:rPr>
        <w:t>+</w:t>
      </w:r>
      <w:r>
        <w:rPr>
          <w:rStyle w:val="30"/>
          <w:rFonts w:hint="eastAsia" w:ascii="方正仿宋简体" w:hAnsi="黑体" w:eastAsia="方正仿宋简体" w:cs="方正仿宋简体"/>
        </w:rPr>
        <w:t>”三次产业</w:t>
      </w:r>
      <w:r>
        <w:rPr>
          <w:rFonts w:cs="Times New Roman"/>
        </w:rPr>
        <w:tab/>
      </w:r>
      <w:r>
        <w:fldChar w:fldCharType="begin"/>
      </w:r>
      <w:r>
        <w:instrText xml:space="preserve"> PAGEREF _Toc449037240 \h </w:instrText>
      </w:r>
      <w:r>
        <w:fldChar w:fldCharType="separate"/>
      </w:r>
      <w:r>
        <w:t>- 56 -</w:t>
      </w:r>
      <w:r>
        <w:fldChar w:fldCharType="end"/>
      </w:r>
      <w:r>
        <w:fldChar w:fldCharType="end"/>
      </w:r>
    </w:p>
    <w:p w14:paraId="2459E88F">
      <w:pPr>
        <w:pStyle w:val="10"/>
        <w:tabs>
          <w:tab w:val="right" w:leader="dot" w:pos="8834"/>
        </w:tabs>
        <w:ind w:firstLine="31680"/>
        <w:rPr>
          <w:rFonts w:cs="Times New Roman"/>
        </w:rPr>
      </w:pPr>
      <w:r>
        <w:fldChar w:fldCharType="begin"/>
      </w:r>
      <w:r>
        <w:instrText xml:space="preserve"> HYPERLINK \l "_Toc449037241"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运用“互联网</w:t>
      </w:r>
      <w:r>
        <w:rPr>
          <w:rStyle w:val="30"/>
          <w:rFonts w:ascii="方正仿宋简体" w:hAnsi="黑体" w:eastAsia="方正仿宋简体" w:cs="方正仿宋简体"/>
        </w:rPr>
        <w:t>+</w:t>
      </w:r>
      <w:r>
        <w:rPr>
          <w:rStyle w:val="30"/>
          <w:rFonts w:hint="eastAsia" w:ascii="方正仿宋简体" w:hAnsi="黑体" w:eastAsia="方正仿宋简体" w:cs="方正仿宋简体"/>
        </w:rPr>
        <w:t>”公共服务</w:t>
      </w:r>
      <w:r>
        <w:rPr>
          <w:rFonts w:cs="Times New Roman"/>
        </w:rPr>
        <w:tab/>
      </w:r>
      <w:r>
        <w:fldChar w:fldCharType="begin"/>
      </w:r>
      <w:r>
        <w:instrText xml:space="preserve"> PAGEREF _Toc449037241 \h </w:instrText>
      </w:r>
      <w:r>
        <w:fldChar w:fldCharType="separate"/>
      </w:r>
      <w:r>
        <w:t>- 58 -</w:t>
      </w:r>
      <w:r>
        <w:fldChar w:fldCharType="end"/>
      </w:r>
      <w:r>
        <w:fldChar w:fldCharType="end"/>
      </w:r>
    </w:p>
    <w:p w14:paraId="16E515BE">
      <w:pPr>
        <w:pStyle w:val="17"/>
        <w:tabs>
          <w:tab w:val="right" w:leader="dot" w:pos="8834"/>
        </w:tabs>
        <w:rPr>
          <w:rFonts w:eastAsia="宋体" w:cs="Times New Roman"/>
          <w:caps w:val="0"/>
          <w:sz w:val="21"/>
          <w:szCs w:val="21"/>
        </w:rPr>
      </w:pPr>
      <w:r>
        <w:fldChar w:fldCharType="begin"/>
      </w:r>
      <w:r>
        <w:instrText xml:space="preserve"> HYPERLINK \l "_Toc449037242" </w:instrText>
      </w:r>
      <w:r>
        <w:fldChar w:fldCharType="separate"/>
      </w:r>
      <w:r>
        <w:rPr>
          <w:rStyle w:val="30"/>
          <w:rFonts w:hint="eastAsia" w:ascii="方正小标宋简体" w:hAnsi="黑体" w:cs="方正小标宋简体"/>
        </w:rPr>
        <w:t>第三篇</w:t>
      </w:r>
      <w:r>
        <w:rPr>
          <w:rStyle w:val="30"/>
          <w:rFonts w:ascii="方正小标宋简体" w:hAnsi="黑体" w:cs="方正小标宋简体"/>
        </w:rPr>
        <w:t xml:space="preserve">  </w:t>
      </w:r>
      <w:r>
        <w:rPr>
          <w:rStyle w:val="30"/>
          <w:rFonts w:hint="eastAsia" w:ascii="方正小标宋简体" w:hAnsi="黑体" w:cs="方正小标宋简体"/>
        </w:rPr>
        <w:t>强化协调发展</w:t>
      </w:r>
      <w:r>
        <w:rPr>
          <w:rStyle w:val="30"/>
          <w:rFonts w:ascii="方正小标宋简体" w:hAnsi="黑体" w:cs="方正小标宋简体"/>
        </w:rPr>
        <w:t xml:space="preserve">  </w:t>
      </w:r>
      <w:r>
        <w:rPr>
          <w:rStyle w:val="30"/>
          <w:rFonts w:hint="eastAsia" w:ascii="方正小标宋简体" w:hAnsi="黑体" w:cs="方正小标宋简体"/>
        </w:rPr>
        <w:t>构建统筹推进新格局</w:t>
      </w:r>
      <w:r>
        <w:rPr>
          <w:rFonts w:cs="Times New Roman"/>
        </w:rPr>
        <w:tab/>
      </w:r>
      <w:r>
        <w:fldChar w:fldCharType="begin"/>
      </w:r>
      <w:r>
        <w:instrText xml:space="preserve"> PAGEREF _Toc449037242 \h </w:instrText>
      </w:r>
      <w:r>
        <w:fldChar w:fldCharType="separate"/>
      </w:r>
      <w:r>
        <w:t>- 59 -</w:t>
      </w:r>
      <w:r>
        <w:fldChar w:fldCharType="end"/>
      </w:r>
      <w:r>
        <w:fldChar w:fldCharType="end"/>
      </w:r>
    </w:p>
    <w:p w14:paraId="5A783F88">
      <w:pPr>
        <w:pStyle w:val="20"/>
        <w:tabs>
          <w:tab w:val="right" w:leader="dot" w:pos="8834"/>
        </w:tabs>
        <w:ind w:firstLine="31680"/>
        <w:rPr>
          <w:rFonts w:cs="Times New Roman"/>
          <w:smallCaps w:val="0"/>
        </w:rPr>
      </w:pPr>
      <w:r>
        <w:fldChar w:fldCharType="begin"/>
      </w:r>
      <w:r>
        <w:instrText xml:space="preserve"> HYPERLINK \l "_Toc449037243" </w:instrText>
      </w:r>
      <w:r>
        <w:fldChar w:fldCharType="separate"/>
      </w:r>
      <w:r>
        <w:rPr>
          <w:rStyle w:val="30"/>
          <w:rFonts w:hint="eastAsia" w:ascii="方正黑体简体" w:hAnsi="黑体" w:eastAsia="方正黑体简体" w:cs="方正黑体简体"/>
        </w:rPr>
        <w:t>第十章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坚持特色发展，振兴镇域经济</w:t>
      </w:r>
      <w:r>
        <w:rPr>
          <w:rFonts w:cs="Times New Roman"/>
        </w:rPr>
        <w:tab/>
      </w:r>
      <w:r>
        <w:fldChar w:fldCharType="begin"/>
      </w:r>
      <w:r>
        <w:instrText xml:space="preserve"> PAGEREF _Toc449037243 \h </w:instrText>
      </w:r>
      <w:r>
        <w:fldChar w:fldCharType="separate"/>
      </w:r>
      <w:r>
        <w:t>- 59 -</w:t>
      </w:r>
      <w:r>
        <w:fldChar w:fldCharType="end"/>
      </w:r>
      <w:r>
        <w:fldChar w:fldCharType="end"/>
      </w:r>
    </w:p>
    <w:p w14:paraId="516AD4E8">
      <w:pPr>
        <w:pStyle w:val="10"/>
        <w:tabs>
          <w:tab w:val="right" w:leader="dot" w:pos="8834"/>
        </w:tabs>
        <w:ind w:firstLine="31680"/>
        <w:rPr>
          <w:rFonts w:cs="Times New Roman"/>
        </w:rPr>
      </w:pPr>
      <w:r>
        <w:fldChar w:fldCharType="begin"/>
      </w:r>
      <w:r>
        <w:instrText xml:space="preserve"> HYPERLINK \l "_Toc449037244"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优化产业发展空间布局</w:t>
      </w:r>
      <w:r>
        <w:rPr>
          <w:rFonts w:cs="Times New Roman"/>
        </w:rPr>
        <w:tab/>
      </w:r>
      <w:r>
        <w:fldChar w:fldCharType="begin"/>
      </w:r>
      <w:r>
        <w:instrText xml:space="preserve"> PAGEREF _Toc449037244 \h </w:instrText>
      </w:r>
      <w:r>
        <w:fldChar w:fldCharType="separate"/>
      </w:r>
      <w:r>
        <w:t>- 59 -</w:t>
      </w:r>
      <w:r>
        <w:fldChar w:fldCharType="end"/>
      </w:r>
      <w:r>
        <w:fldChar w:fldCharType="end"/>
      </w:r>
    </w:p>
    <w:p w14:paraId="54ADDDDC">
      <w:pPr>
        <w:pStyle w:val="10"/>
        <w:tabs>
          <w:tab w:val="right" w:leader="dot" w:pos="8834"/>
        </w:tabs>
        <w:ind w:firstLine="31680"/>
        <w:rPr>
          <w:rFonts w:cs="Times New Roman"/>
        </w:rPr>
      </w:pPr>
      <w:r>
        <w:fldChar w:fldCharType="begin"/>
      </w:r>
      <w:r>
        <w:instrText xml:space="preserve"> HYPERLINK \l "_Toc449037245"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大力发展特色产业</w:t>
      </w:r>
      <w:r>
        <w:rPr>
          <w:rFonts w:cs="Times New Roman"/>
        </w:rPr>
        <w:tab/>
      </w:r>
      <w:r>
        <w:fldChar w:fldCharType="begin"/>
      </w:r>
      <w:r>
        <w:instrText xml:space="preserve"> PAGEREF _Toc449037245 \h </w:instrText>
      </w:r>
      <w:r>
        <w:fldChar w:fldCharType="separate"/>
      </w:r>
      <w:r>
        <w:t>- 60 -</w:t>
      </w:r>
      <w:r>
        <w:fldChar w:fldCharType="end"/>
      </w:r>
      <w:r>
        <w:fldChar w:fldCharType="end"/>
      </w:r>
    </w:p>
    <w:p w14:paraId="4FF34139">
      <w:pPr>
        <w:pStyle w:val="10"/>
        <w:tabs>
          <w:tab w:val="right" w:leader="dot" w:pos="8834"/>
        </w:tabs>
        <w:ind w:firstLine="31680"/>
        <w:rPr>
          <w:rFonts w:cs="Times New Roman"/>
        </w:rPr>
      </w:pPr>
      <w:r>
        <w:fldChar w:fldCharType="begin"/>
      </w:r>
      <w:r>
        <w:instrText xml:space="preserve"> HYPERLINK \l "_Toc449037246"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持续扩大有效投入</w:t>
      </w:r>
      <w:r>
        <w:rPr>
          <w:rFonts w:cs="Times New Roman"/>
        </w:rPr>
        <w:tab/>
      </w:r>
      <w:r>
        <w:fldChar w:fldCharType="begin"/>
      </w:r>
      <w:r>
        <w:instrText xml:space="preserve"> PAGEREF _Toc449037246 \h </w:instrText>
      </w:r>
      <w:r>
        <w:fldChar w:fldCharType="separate"/>
      </w:r>
      <w:r>
        <w:t>- 62 -</w:t>
      </w:r>
      <w:r>
        <w:fldChar w:fldCharType="end"/>
      </w:r>
      <w:r>
        <w:fldChar w:fldCharType="end"/>
      </w:r>
    </w:p>
    <w:p w14:paraId="44437105">
      <w:pPr>
        <w:pStyle w:val="10"/>
        <w:tabs>
          <w:tab w:val="right" w:leader="dot" w:pos="8834"/>
        </w:tabs>
        <w:ind w:firstLine="31680"/>
        <w:rPr>
          <w:rFonts w:cs="Times New Roman"/>
        </w:rPr>
      </w:pPr>
      <w:r>
        <w:fldChar w:fldCharType="begin"/>
      </w:r>
      <w:r>
        <w:instrText xml:space="preserve"> HYPERLINK \l "_Toc449037247" </w:instrText>
      </w:r>
      <w:r>
        <w:fldChar w:fldCharType="separate"/>
      </w:r>
      <w:r>
        <w:rPr>
          <w:rStyle w:val="30"/>
          <w:rFonts w:hint="eastAsia" w:ascii="方正仿宋简体" w:hAnsi="黑体" w:eastAsia="方正仿宋简体" w:cs="方正仿宋简体"/>
        </w:rPr>
        <w:t>第四节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加强产业平台建设</w:t>
      </w:r>
      <w:r>
        <w:rPr>
          <w:rFonts w:cs="Times New Roman"/>
        </w:rPr>
        <w:tab/>
      </w:r>
      <w:r>
        <w:fldChar w:fldCharType="begin"/>
      </w:r>
      <w:r>
        <w:instrText xml:space="preserve"> PAGEREF _Toc449037247 \h </w:instrText>
      </w:r>
      <w:r>
        <w:fldChar w:fldCharType="separate"/>
      </w:r>
      <w:r>
        <w:t>- 63 -</w:t>
      </w:r>
      <w:r>
        <w:fldChar w:fldCharType="end"/>
      </w:r>
      <w:r>
        <w:fldChar w:fldCharType="end"/>
      </w:r>
    </w:p>
    <w:p w14:paraId="2DE6B124">
      <w:pPr>
        <w:pStyle w:val="10"/>
        <w:tabs>
          <w:tab w:val="right" w:leader="dot" w:pos="8834"/>
        </w:tabs>
        <w:ind w:firstLine="31680"/>
        <w:rPr>
          <w:rFonts w:cs="Times New Roman"/>
        </w:rPr>
      </w:pPr>
      <w:r>
        <w:fldChar w:fldCharType="begin"/>
      </w:r>
      <w:r>
        <w:instrText xml:space="preserve"> HYPERLINK \l "_Toc449037248" </w:instrText>
      </w:r>
      <w:r>
        <w:fldChar w:fldCharType="separate"/>
      </w:r>
      <w:r>
        <w:rPr>
          <w:rStyle w:val="30"/>
          <w:rFonts w:hint="eastAsia" w:ascii="方正仿宋简体" w:hAnsi="黑体" w:eastAsia="方正仿宋简体" w:cs="方正仿宋简体"/>
        </w:rPr>
        <w:t>第五节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营造良好发展环境</w:t>
      </w:r>
      <w:r>
        <w:rPr>
          <w:rFonts w:cs="Times New Roman"/>
        </w:rPr>
        <w:tab/>
      </w:r>
      <w:r>
        <w:fldChar w:fldCharType="begin"/>
      </w:r>
      <w:r>
        <w:instrText xml:space="preserve"> PAGEREF _Toc449037248 \h </w:instrText>
      </w:r>
      <w:r>
        <w:fldChar w:fldCharType="separate"/>
      </w:r>
      <w:r>
        <w:t>- 63 -</w:t>
      </w:r>
      <w:r>
        <w:fldChar w:fldCharType="end"/>
      </w:r>
      <w:r>
        <w:fldChar w:fldCharType="end"/>
      </w:r>
    </w:p>
    <w:p w14:paraId="237F9738">
      <w:pPr>
        <w:pStyle w:val="20"/>
        <w:tabs>
          <w:tab w:val="right" w:leader="dot" w:pos="8834"/>
        </w:tabs>
        <w:ind w:firstLine="31680"/>
        <w:rPr>
          <w:rFonts w:cs="Times New Roman"/>
          <w:smallCaps w:val="0"/>
        </w:rPr>
      </w:pPr>
      <w:r>
        <w:fldChar w:fldCharType="begin"/>
      </w:r>
      <w:r>
        <w:instrText xml:space="preserve"> HYPERLINK \l "_Toc449037249" </w:instrText>
      </w:r>
      <w:r>
        <w:fldChar w:fldCharType="separate"/>
      </w:r>
      <w:r>
        <w:rPr>
          <w:rStyle w:val="30"/>
          <w:rFonts w:hint="eastAsia" w:ascii="方正黑体简体" w:hAnsi="黑体" w:eastAsia="方正黑体简体" w:cs="方正黑体简体"/>
        </w:rPr>
        <w:t>第十一章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推进新型城镇化建设，促进城乡统筹发展</w:t>
      </w:r>
      <w:r>
        <w:rPr>
          <w:rFonts w:cs="Times New Roman"/>
        </w:rPr>
        <w:tab/>
      </w:r>
      <w:r>
        <w:fldChar w:fldCharType="begin"/>
      </w:r>
      <w:r>
        <w:instrText xml:space="preserve"> PAGEREF _Toc449037249 \h </w:instrText>
      </w:r>
      <w:r>
        <w:fldChar w:fldCharType="separate"/>
      </w:r>
      <w:r>
        <w:t>- 65 -</w:t>
      </w:r>
      <w:r>
        <w:fldChar w:fldCharType="end"/>
      </w:r>
      <w:r>
        <w:fldChar w:fldCharType="end"/>
      </w:r>
    </w:p>
    <w:p w14:paraId="0544116C">
      <w:pPr>
        <w:pStyle w:val="10"/>
        <w:tabs>
          <w:tab w:val="right" w:leader="dot" w:pos="8834"/>
        </w:tabs>
        <w:ind w:firstLine="31680"/>
        <w:rPr>
          <w:rFonts w:cs="Times New Roman"/>
        </w:rPr>
      </w:pPr>
      <w:r>
        <w:fldChar w:fldCharType="begin"/>
      </w:r>
      <w:r>
        <w:instrText xml:space="preserve"> HYPERLINK \l "_Toc449037250"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加强东部新区和西部新城建设</w:t>
      </w:r>
      <w:r>
        <w:rPr>
          <w:rFonts w:cs="Times New Roman"/>
        </w:rPr>
        <w:tab/>
      </w:r>
      <w:r>
        <w:fldChar w:fldCharType="begin"/>
      </w:r>
      <w:r>
        <w:instrText xml:space="preserve"> PAGEREF _Toc449037250 \h </w:instrText>
      </w:r>
      <w:r>
        <w:fldChar w:fldCharType="separate"/>
      </w:r>
      <w:r>
        <w:t>- 65 -</w:t>
      </w:r>
      <w:r>
        <w:fldChar w:fldCharType="end"/>
      </w:r>
      <w:r>
        <w:fldChar w:fldCharType="end"/>
      </w:r>
    </w:p>
    <w:p w14:paraId="73208353">
      <w:pPr>
        <w:pStyle w:val="10"/>
        <w:tabs>
          <w:tab w:val="right" w:leader="dot" w:pos="8834"/>
        </w:tabs>
        <w:ind w:firstLine="31680"/>
        <w:rPr>
          <w:rFonts w:cs="Times New Roman"/>
        </w:rPr>
      </w:pPr>
      <w:r>
        <w:fldChar w:fldCharType="begin"/>
      </w:r>
      <w:r>
        <w:instrText xml:space="preserve"> HYPERLINK \l "_Toc449037251"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完善城镇发展体系</w:t>
      </w:r>
      <w:r>
        <w:rPr>
          <w:rFonts w:cs="Times New Roman"/>
        </w:rPr>
        <w:tab/>
      </w:r>
      <w:r>
        <w:fldChar w:fldCharType="begin"/>
      </w:r>
      <w:r>
        <w:instrText xml:space="preserve"> PAGEREF _Toc449037251 \h </w:instrText>
      </w:r>
      <w:r>
        <w:fldChar w:fldCharType="separate"/>
      </w:r>
      <w:r>
        <w:t>- 67 -</w:t>
      </w:r>
      <w:r>
        <w:fldChar w:fldCharType="end"/>
      </w:r>
      <w:r>
        <w:fldChar w:fldCharType="end"/>
      </w:r>
    </w:p>
    <w:p w14:paraId="2CE7CE60">
      <w:pPr>
        <w:pStyle w:val="10"/>
        <w:tabs>
          <w:tab w:val="right" w:leader="dot" w:pos="8834"/>
        </w:tabs>
        <w:ind w:firstLine="31680"/>
        <w:rPr>
          <w:rFonts w:cs="Times New Roman"/>
        </w:rPr>
      </w:pPr>
      <w:r>
        <w:fldChar w:fldCharType="begin"/>
      </w:r>
      <w:r>
        <w:instrText xml:space="preserve"> HYPERLINK \l "_Toc449037252"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推动以人为核心的城镇化</w:t>
      </w:r>
      <w:r>
        <w:rPr>
          <w:rFonts w:cs="Times New Roman"/>
        </w:rPr>
        <w:tab/>
      </w:r>
      <w:r>
        <w:fldChar w:fldCharType="begin"/>
      </w:r>
      <w:r>
        <w:instrText xml:space="preserve"> PAGEREF _Toc449037252 \h </w:instrText>
      </w:r>
      <w:r>
        <w:fldChar w:fldCharType="separate"/>
      </w:r>
      <w:r>
        <w:t>- 69 -</w:t>
      </w:r>
      <w:r>
        <w:fldChar w:fldCharType="end"/>
      </w:r>
      <w:r>
        <w:fldChar w:fldCharType="end"/>
      </w:r>
    </w:p>
    <w:p w14:paraId="293DE27E">
      <w:pPr>
        <w:pStyle w:val="10"/>
        <w:tabs>
          <w:tab w:val="right" w:leader="dot" w:pos="8834"/>
        </w:tabs>
        <w:ind w:firstLine="31680"/>
        <w:rPr>
          <w:rFonts w:cs="Times New Roman"/>
        </w:rPr>
      </w:pPr>
      <w:r>
        <w:fldChar w:fldCharType="begin"/>
      </w:r>
      <w:r>
        <w:instrText xml:space="preserve"> HYPERLINK \l "_Toc449037253" </w:instrText>
      </w:r>
      <w:r>
        <w:fldChar w:fldCharType="separate"/>
      </w:r>
      <w:r>
        <w:rPr>
          <w:rStyle w:val="30"/>
          <w:rFonts w:hint="eastAsia" w:ascii="方正仿宋简体" w:hAnsi="黑体" w:eastAsia="方正仿宋简体" w:cs="方正仿宋简体"/>
        </w:rPr>
        <w:t>第四节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推进美丽乡村建设</w:t>
      </w:r>
      <w:r>
        <w:rPr>
          <w:rFonts w:cs="Times New Roman"/>
        </w:rPr>
        <w:tab/>
      </w:r>
      <w:r>
        <w:fldChar w:fldCharType="begin"/>
      </w:r>
      <w:r>
        <w:instrText xml:space="preserve"> PAGEREF _Toc449037253 \h </w:instrText>
      </w:r>
      <w:r>
        <w:fldChar w:fldCharType="separate"/>
      </w:r>
      <w:r>
        <w:t>- 70 -</w:t>
      </w:r>
      <w:r>
        <w:fldChar w:fldCharType="end"/>
      </w:r>
      <w:r>
        <w:fldChar w:fldCharType="end"/>
      </w:r>
    </w:p>
    <w:p w14:paraId="62240937">
      <w:pPr>
        <w:pStyle w:val="10"/>
        <w:tabs>
          <w:tab w:val="right" w:leader="dot" w:pos="8834"/>
        </w:tabs>
        <w:ind w:firstLine="31680"/>
        <w:rPr>
          <w:rFonts w:cs="Times New Roman"/>
        </w:rPr>
      </w:pPr>
      <w:r>
        <w:fldChar w:fldCharType="begin"/>
      </w:r>
      <w:r>
        <w:instrText xml:space="preserve"> HYPERLINK \l "_Toc449037254" </w:instrText>
      </w:r>
      <w:r>
        <w:fldChar w:fldCharType="separate"/>
      </w:r>
      <w:r>
        <w:rPr>
          <w:rStyle w:val="30"/>
          <w:rFonts w:hint="eastAsia" w:ascii="方正仿宋简体" w:hAnsi="黑体" w:eastAsia="方正仿宋简体" w:cs="方正仿宋简体"/>
        </w:rPr>
        <w:t>第五节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促进区域协调发展</w:t>
      </w:r>
      <w:r>
        <w:rPr>
          <w:rFonts w:cs="Times New Roman"/>
        </w:rPr>
        <w:tab/>
      </w:r>
      <w:r>
        <w:fldChar w:fldCharType="begin"/>
      </w:r>
      <w:r>
        <w:instrText xml:space="preserve"> PAGEREF _Toc449037254 \h </w:instrText>
      </w:r>
      <w:r>
        <w:fldChar w:fldCharType="separate"/>
      </w:r>
      <w:r>
        <w:t>- 72 -</w:t>
      </w:r>
      <w:r>
        <w:fldChar w:fldCharType="end"/>
      </w:r>
      <w:r>
        <w:fldChar w:fldCharType="end"/>
      </w:r>
    </w:p>
    <w:p w14:paraId="61C9C353">
      <w:pPr>
        <w:pStyle w:val="20"/>
        <w:tabs>
          <w:tab w:val="right" w:leader="dot" w:pos="8834"/>
        </w:tabs>
        <w:ind w:firstLine="31680"/>
        <w:rPr>
          <w:rFonts w:cs="Times New Roman"/>
          <w:smallCaps w:val="0"/>
        </w:rPr>
      </w:pPr>
      <w:r>
        <w:fldChar w:fldCharType="begin"/>
      </w:r>
      <w:r>
        <w:instrText xml:space="preserve"> HYPERLINK \l "_Toc449037255" </w:instrText>
      </w:r>
      <w:r>
        <w:fldChar w:fldCharType="separate"/>
      </w:r>
      <w:r>
        <w:rPr>
          <w:rStyle w:val="30"/>
          <w:rFonts w:hint="eastAsia" w:ascii="方正黑体简体" w:hAnsi="黑体" w:eastAsia="方正黑体简体" w:cs="方正黑体简体"/>
        </w:rPr>
        <w:t>第十二章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加强精神文明建设，推进文化繁荣发展</w:t>
      </w:r>
      <w:r>
        <w:rPr>
          <w:rFonts w:cs="Times New Roman"/>
        </w:rPr>
        <w:tab/>
      </w:r>
      <w:r>
        <w:fldChar w:fldCharType="begin"/>
      </w:r>
      <w:r>
        <w:instrText xml:space="preserve"> PAGEREF _Toc449037255 \h </w:instrText>
      </w:r>
      <w:r>
        <w:fldChar w:fldCharType="separate"/>
      </w:r>
      <w:r>
        <w:t>- 72 -</w:t>
      </w:r>
      <w:r>
        <w:fldChar w:fldCharType="end"/>
      </w:r>
      <w:r>
        <w:fldChar w:fldCharType="end"/>
      </w:r>
    </w:p>
    <w:p w14:paraId="4AD8657B">
      <w:pPr>
        <w:pStyle w:val="10"/>
        <w:tabs>
          <w:tab w:val="right" w:leader="dot" w:pos="8834"/>
        </w:tabs>
        <w:ind w:firstLine="31680"/>
        <w:rPr>
          <w:rFonts w:cs="Times New Roman"/>
        </w:rPr>
      </w:pPr>
      <w:r>
        <w:fldChar w:fldCharType="begin"/>
      </w:r>
      <w:r>
        <w:instrText xml:space="preserve"> HYPERLINK \l "_Toc449037256"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提升全社会文明程度</w:t>
      </w:r>
      <w:r>
        <w:rPr>
          <w:rFonts w:cs="Times New Roman"/>
        </w:rPr>
        <w:tab/>
      </w:r>
      <w:r>
        <w:fldChar w:fldCharType="begin"/>
      </w:r>
      <w:r>
        <w:instrText xml:space="preserve"> PAGEREF _Toc449037256 \h </w:instrText>
      </w:r>
      <w:r>
        <w:fldChar w:fldCharType="separate"/>
      </w:r>
      <w:r>
        <w:t>- 73 -</w:t>
      </w:r>
      <w:r>
        <w:fldChar w:fldCharType="end"/>
      </w:r>
      <w:r>
        <w:fldChar w:fldCharType="end"/>
      </w:r>
    </w:p>
    <w:p w14:paraId="0A68B338">
      <w:pPr>
        <w:pStyle w:val="10"/>
        <w:tabs>
          <w:tab w:val="right" w:leader="dot" w:pos="8834"/>
        </w:tabs>
        <w:ind w:firstLine="31680"/>
        <w:rPr>
          <w:rFonts w:cs="Times New Roman"/>
        </w:rPr>
      </w:pPr>
      <w:r>
        <w:fldChar w:fldCharType="begin"/>
      </w:r>
      <w:r>
        <w:instrText xml:space="preserve"> HYPERLINK \l "_Toc449037257"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促进文化事业大繁荣</w:t>
      </w:r>
      <w:r>
        <w:rPr>
          <w:rFonts w:cs="Times New Roman"/>
        </w:rPr>
        <w:tab/>
      </w:r>
      <w:r>
        <w:fldChar w:fldCharType="begin"/>
      </w:r>
      <w:r>
        <w:instrText xml:space="preserve"> PAGEREF _Toc449037257 \h </w:instrText>
      </w:r>
      <w:r>
        <w:fldChar w:fldCharType="separate"/>
      </w:r>
      <w:r>
        <w:t>- 74 -</w:t>
      </w:r>
      <w:r>
        <w:fldChar w:fldCharType="end"/>
      </w:r>
      <w:r>
        <w:fldChar w:fldCharType="end"/>
      </w:r>
    </w:p>
    <w:p w14:paraId="63FBC945">
      <w:pPr>
        <w:pStyle w:val="10"/>
        <w:tabs>
          <w:tab w:val="right" w:leader="dot" w:pos="8834"/>
        </w:tabs>
        <w:ind w:firstLine="31680"/>
        <w:rPr>
          <w:rFonts w:cs="Times New Roman"/>
        </w:rPr>
      </w:pPr>
      <w:r>
        <w:fldChar w:fldCharType="begin"/>
      </w:r>
      <w:r>
        <w:instrText xml:space="preserve"> HYPERLINK \l "_Toc449037258"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增强文化产业竞争力</w:t>
      </w:r>
      <w:r>
        <w:rPr>
          <w:rFonts w:cs="Times New Roman"/>
        </w:rPr>
        <w:tab/>
      </w:r>
      <w:r>
        <w:fldChar w:fldCharType="begin"/>
      </w:r>
      <w:r>
        <w:instrText xml:space="preserve"> PAGEREF _Toc449037258 \h </w:instrText>
      </w:r>
      <w:r>
        <w:fldChar w:fldCharType="separate"/>
      </w:r>
      <w:r>
        <w:t>- 76 -</w:t>
      </w:r>
      <w:r>
        <w:fldChar w:fldCharType="end"/>
      </w:r>
      <w:r>
        <w:fldChar w:fldCharType="end"/>
      </w:r>
    </w:p>
    <w:p w14:paraId="3F5570CE">
      <w:pPr>
        <w:pStyle w:val="20"/>
        <w:tabs>
          <w:tab w:val="right" w:leader="dot" w:pos="8834"/>
        </w:tabs>
        <w:ind w:firstLine="31680"/>
        <w:rPr>
          <w:rFonts w:cs="Times New Roman"/>
          <w:smallCaps w:val="0"/>
        </w:rPr>
      </w:pPr>
      <w:r>
        <w:fldChar w:fldCharType="begin"/>
      </w:r>
      <w:r>
        <w:instrText xml:space="preserve"> HYPERLINK \l "_Toc449037259" </w:instrText>
      </w:r>
      <w:r>
        <w:fldChar w:fldCharType="separate"/>
      </w:r>
      <w:r>
        <w:rPr>
          <w:rStyle w:val="30"/>
          <w:rFonts w:hint="eastAsia" w:ascii="方正黑体简体" w:hAnsi="黑体" w:eastAsia="方正黑体简体" w:cs="方正黑体简体"/>
        </w:rPr>
        <w:t>第十三章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强化基础设施建设，提高综合承载能力</w:t>
      </w:r>
      <w:r>
        <w:rPr>
          <w:rFonts w:cs="Times New Roman"/>
        </w:rPr>
        <w:tab/>
      </w:r>
      <w:r>
        <w:fldChar w:fldCharType="begin"/>
      </w:r>
      <w:r>
        <w:instrText xml:space="preserve"> PAGEREF _Toc449037259 \h </w:instrText>
      </w:r>
      <w:r>
        <w:fldChar w:fldCharType="separate"/>
      </w:r>
      <w:r>
        <w:t>- 79 -</w:t>
      </w:r>
      <w:r>
        <w:fldChar w:fldCharType="end"/>
      </w:r>
      <w:r>
        <w:fldChar w:fldCharType="end"/>
      </w:r>
    </w:p>
    <w:p w14:paraId="4864AD6B">
      <w:pPr>
        <w:pStyle w:val="10"/>
        <w:tabs>
          <w:tab w:val="right" w:leader="dot" w:pos="8834"/>
        </w:tabs>
        <w:ind w:firstLine="31680"/>
        <w:rPr>
          <w:rFonts w:cs="Times New Roman"/>
        </w:rPr>
      </w:pPr>
      <w:r>
        <w:fldChar w:fldCharType="begin"/>
      </w:r>
      <w:r>
        <w:instrText xml:space="preserve"> HYPERLINK \l "_Toc449037260"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构建综合交通运输体系</w:t>
      </w:r>
      <w:r>
        <w:rPr>
          <w:rFonts w:cs="Times New Roman"/>
        </w:rPr>
        <w:tab/>
      </w:r>
      <w:r>
        <w:fldChar w:fldCharType="begin"/>
      </w:r>
      <w:r>
        <w:instrText xml:space="preserve"> PAGEREF _Toc449037260 \h </w:instrText>
      </w:r>
      <w:r>
        <w:fldChar w:fldCharType="separate"/>
      </w:r>
      <w:r>
        <w:t>- 79 -</w:t>
      </w:r>
      <w:r>
        <w:fldChar w:fldCharType="end"/>
      </w:r>
      <w:r>
        <w:fldChar w:fldCharType="end"/>
      </w:r>
    </w:p>
    <w:p w14:paraId="00FB2131">
      <w:pPr>
        <w:pStyle w:val="10"/>
        <w:tabs>
          <w:tab w:val="right" w:leader="dot" w:pos="8834"/>
        </w:tabs>
        <w:ind w:firstLine="31680"/>
        <w:rPr>
          <w:rFonts w:cs="Times New Roman"/>
        </w:rPr>
      </w:pPr>
      <w:r>
        <w:fldChar w:fldCharType="begin"/>
      </w:r>
      <w:r>
        <w:instrText xml:space="preserve"> HYPERLINK \l "_Toc449037261"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加快现代水利建设</w:t>
      </w:r>
      <w:r>
        <w:rPr>
          <w:rFonts w:cs="Times New Roman"/>
        </w:rPr>
        <w:tab/>
      </w:r>
      <w:r>
        <w:fldChar w:fldCharType="begin"/>
      </w:r>
      <w:r>
        <w:instrText xml:space="preserve"> PAGEREF _Toc449037261 \h </w:instrText>
      </w:r>
      <w:r>
        <w:fldChar w:fldCharType="separate"/>
      </w:r>
      <w:r>
        <w:t>- 80 -</w:t>
      </w:r>
      <w:r>
        <w:fldChar w:fldCharType="end"/>
      </w:r>
      <w:r>
        <w:fldChar w:fldCharType="end"/>
      </w:r>
    </w:p>
    <w:p w14:paraId="47877684">
      <w:pPr>
        <w:pStyle w:val="10"/>
        <w:tabs>
          <w:tab w:val="right" w:leader="dot" w:pos="8834"/>
        </w:tabs>
        <w:ind w:firstLine="31680"/>
        <w:rPr>
          <w:rFonts w:cs="Times New Roman"/>
        </w:rPr>
      </w:pPr>
      <w:r>
        <w:fldChar w:fldCharType="begin"/>
      </w:r>
      <w:r>
        <w:instrText xml:space="preserve"> HYPERLINK \l "_Toc449037262"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强化能源保障</w:t>
      </w:r>
      <w:r>
        <w:rPr>
          <w:rFonts w:cs="Times New Roman"/>
        </w:rPr>
        <w:tab/>
      </w:r>
      <w:r>
        <w:fldChar w:fldCharType="begin"/>
      </w:r>
      <w:r>
        <w:instrText xml:space="preserve"> PAGEREF _Toc449037262 \h </w:instrText>
      </w:r>
      <w:r>
        <w:fldChar w:fldCharType="separate"/>
      </w:r>
      <w:r>
        <w:t>- 83 -</w:t>
      </w:r>
      <w:r>
        <w:fldChar w:fldCharType="end"/>
      </w:r>
      <w:r>
        <w:fldChar w:fldCharType="end"/>
      </w:r>
    </w:p>
    <w:p w14:paraId="3D0B8B37">
      <w:pPr>
        <w:pStyle w:val="10"/>
        <w:tabs>
          <w:tab w:val="right" w:leader="dot" w:pos="8834"/>
        </w:tabs>
        <w:ind w:firstLine="31680"/>
        <w:rPr>
          <w:rFonts w:cs="Times New Roman"/>
        </w:rPr>
      </w:pPr>
      <w:r>
        <w:fldChar w:fldCharType="begin"/>
      </w:r>
      <w:r>
        <w:instrText xml:space="preserve"> HYPERLINK \l "_Toc449037263" </w:instrText>
      </w:r>
      <w:r>
        <w:fldChar w:fldCharType="separate"/>
      </w:r>
      <w:r>
        <w:rPr>
          <w:rStyle w:val="30"/>
          <w:rFonts w:hint="eastAsia" w:ascii="方正仿宋简体" w:hAnsi="黑体" w:eastAsia="方正仿宋简体" w:cs="方正仿宋简体"/>
        </w:rPr>
        <w:t>第四节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提升信息基础设施</w:t>
      </w:r>
      <w:r>
        <w:rPr>
          <w:rFonts w:cs="Times New Roman"/>
        </w:rPr>
        <w:tab/>
      </w:r>
      <w:r>
        <w:fldChar w:fldCharType="begin"/>
      </w:r>
      <w:r>
        <w:instrText xml:space="preserve"> PAGEREF _Toc449037263 \h </w:instrText>
      </w:r>
      <w:r>
        <w:fldChar w:fldCharType="separate"/>
      </w:r>
      <w:r>
        <w:t>- 84 -</w:t>
      </w:r>
      <w:r>
        <w:fldChar w:fldCharType="end"/>
      </w:r>
      <w:r>
        <w:fldChar w:fldCharType="end"/>
      </w:r>
    </w:p>
    <w:p w14:paraId="08FF1C48">
      <w:pPr>
        <w:pStyle w:val="17"/>
        <w:tabs>
          <w:tab w:val="right" w:leader="dot" w:pos="8834"/>
        </w:tabs>
        <w:rPr>
          <w:rFonts w:eastAsia="宋体" w:cs="Times New Roman"/>
          <w:caps w:val="0"/>
          <w:sz w:val="21"/>
          <w:szCs w:val="21"/>
        </w:rPr>
      </w:pPr>
      <w:r>
        <w:fldChar w:fldCharType="begin"/>
      </w:r>
      <w:r>
        <w:instrText xml:space="preserve"> HYPERLINK \l "_Toc449037264" </w:instrText>
      </w:r>
      <w:r>
        <w:fldChar w:fldCharType="separate"/>
      </w:r>
      <w:r>
        <w:rPr>
          <w:rStyle w:val="30"/>
          <w:rFonts w:hint="eastAsia" w:ascii="方正小标宋简体" w:hAnsi="黑体" w:cs="方正小标宋简体"/>
        </w:rPr>
        <w:t>第四篇</w:t>
      </w:r>
      <w:r>
        <w:rPr>
          <w:rStyle w:val="30"/>
          <w:rFonts w:ascii="方正小标宋简体" w:hAnsi="黑体" w:cs="方正小标宋简体"/>
        </w:rPr>
        <w:t xml:space="preserve">  </w:t>
      </w:r>
      <w:r>
        <w:rPr>
          <w:rStyle w:val="30"/>
          <w:rFonts w:hint="eastAsia" w:ascii="方正小标宋简体" w:hAnsi="黑体" w:cs="方正小标宋简体"/>
        </w:rPr>
        <w:t>强化绿色发展</w:t>
      </w:r>
      <w:r>
        <w:rPr>
          <w:rStyle w:val="30"/>
          <w:rFonts w:ascii="方正小标宋简体" w:hAnsi="黑体" w:cs="方正小标宋简体"/>
        </w:rPr>
        <w:t xml:space="preserve">  </w:t>
      </w:r>
      <w:r>
        <w:rPr>
          <w:rStyle w:val="30"/>
          <w:rFonts w:hint="eastAsia" w:ascii="方正小标宋简体" w:hAnsi="黑体" w:cs="方正小标宋简体"/>
        </w:rPr>
        <w:t>彰显美丽贵池新魅力</w:t>
      </w:r>
      <w:r>
        <w:rPr>
          <w:rFonts w:cs="Times New Roman"/>
        </w:rPr>
        <w:tab/>
      </w:r>
      <w:r>
        <w:fldChar w:fldCharType="begin"/>
      </w:r>
      <w:r>
        <w:instrText xml:space="preserve"> PAGEREF _Toc449037264 \h </w:instrText>
      </w:r>
      <w:r>
        <w:fldChar w:fldCharType="separate"/>
      </w:r>
      <w:r>
        <w:t>- 86 -</w:t>
      </w:r>
      <w:r>
        <w:fldChar w:fldCharType="end"/>
      </w:r>
      <w:r>
        <w:fldChar w:fldCharType="end"/>
      </w:r>
    </w:p>
    <w:p w14:paraId="0B5A6295">
      <w:pPr>
        <w:pStyle w:val="20"/>
        <w:tabs>
          <w:tab w:val="right" w:leader="dot" w:pos="8834"/>
        </w:tabs>
        <w:ind w:firstLine="31680"/>
        <w:rPr>
          <w:rFonts w:cs="Times New Roman"/>
          <w:smallCaps w:val="0"/>
        </w:rPr>
      </w:pPr>
      <w:r>
        <w:fldChar w:fldCharType="begin"/>
      </w:r>
      <w:r>
        <w:instrText xml:space="preserve"> HYPERLINK \l "_Toc449037265" </w:instrText>
      </w:r>
      <w:r>
        <w:fldChar w:fldCharType="separate"/>
      </w:r>
      <w:r>
        <w:rPr>
          <w:rStyle w:val="30"/>
          <w:rFonts w:hint="eastAsia" w:ascii="方正黑体简体" w:hAnsi="黑体" w:eastAsia="方正黑体简体" w:cs="方正黑体简体"/>
        </w:rPr>
        <w:t>第十四章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坚持分类指导，推动形成三类主体功能区</w:t>
      </w:r>
      <w:r>
        <w:rPr>
          <w:rFonts w:cs="Times New Roman"/>
        </w:rPr>
        <w:tab/>
      </w:r>
      <w:r>
        <w:fldChar w:fldCharType="begin"/>
      </w:r>
      <w:r>
        <w:instrText xml:space="preserve"> PAGEREF _Toc449037265 \h </w:instrText>
      </w:r>
      <w:r>
        <w:fldChar w:fldCharType="separate"/>
      </w:r>
      <w:r>
        <w:t>- 86 -</w:t>
      </w:r>
      <w:r>
        <w:fldChar w:fldCharType="end"/>
      </w:r>
      <w:r>
        <w:fldChar w:fldCharType="end"/>
      </w:r>
    </w:p>
    <w:p w14:paraId="12235204">
      <w:pPr>
        <w:pStyle w:val="10"/>
        <w:tabs>
          <w:tab w:val="right" w:leader="dot" w:pos="8834"/>
        </w:tabs>
        <w:ind w:firstLine="31680"/>
        <w:rPr>
          <w:rFonts w:cs="Times New Roman"/>
        </w:rPr>
      </w:pPr>
      <w:r>
        <w:fldChar w:fldCharType="begin"/>
      </w:r>
      <w:r>
        <w:instrText xml:space="preserve"> HYPERLINK \l "_Toc449037266"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推动重点开发区域集聚集约发展</w:t>
      </w:r>
      <w:r>
        <w:rPr>
          <w:rFonts w:cs="Times New Roman"/>
        </w:rPr>
        <w:tab/>
      </w:r>
      <w:r>
        <w:fldChar w:fldCharType="begin"/>
      </w:r>
      <w:r>
        <w:instrText xml:space="preserve"> PAGEREF _Toc449037266 \h </w:instrText>
      </w:r>
      <w:r>
        <w:fldChar w:fldCharType="separate"/>
      </w:r>
      <w:r>
        <w:t>- 86 -</w:t>
      </w:r>
      <w:r>
        <w:fldChar w:fldCharType="end"/>
      </w:r>
      <w:r>
        <w:fldChar w:fldCharType="end"/>
      </w:r>
    </w:p>
    <w:p w14:paraId="69F0A419">
      <w:pPr>
        <w:pStyle w:val="10"/>
        <w:tabs>
          <w:tab w:val="right" w:leader="dot" w:pos="8834"/>
        </w:tabs>
        <w:ind w:firstLine="31680"/>
        <w:rPr>
          <w:rFonts w:cs="Times New Roman"/>
        </w:rPr>
      </w:pPr>
      <w:r>
        <w:fldChar w:fldCharType="begin"/>
      </w:r>
      <w:r>
        <w:instrText xml:space="preserve"> HYPERLINK \l "_Toc449037267"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引导限制开发区域适度有序发展</w:t>
      </w:r>
      <w:r>
        <w:rPr>
          <w:rFonts w:cs="Times New Roman"/>
        </w:rPr>
        <w:tab/>
      </w:r>
      <w:r>
        <w:fldChar w:fldCharType="begin"/>
      </w:r>
      <w:r>
        <w:instrText xml:space="preserve"> PAGEREF _Toc449037267 \h </w:instrText>
      </w:r>
      <w:r>
        <w:fldChar w:fldCharType="separate"/>
      </w:r>
      <w:r>
        <w:t>- 86 -</w:t>
      </w:r>
      <w:r>
        <w:fldChar w:fldCharType="end"/>
      </w:r>
      <w:r>
        <w:fldChar w:fldCharType="end"/>
      </w:r>
    </w:p>
    <w:p w14:paraId="10784B51">
      <w:pPr>
        <w:pStyle w:val="10"/>
        <w:tabs>
          <w:tab w:val="right" w:leader="dot" w:pos="8834"/>
        </w:tabs>
        <w:ind w:firstLine="31680"/>
        <w:rPr>
          <w:rFonts w:cs="Times New Roman"/>
        </w:rPr>
      </w:pPr>
      <w:r>
        <w:fldChar w:fldCharType="begin"/>
      </w:r>
      <w:r>
        <w:instrText xml:space="preserve"> HYPERLINK \l "_Toc449037268"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加大禁止开发区域保护力度</w:t>
      </w:r>
      <w:r>
        <w:rPr>
          <w:rFonts w:cs="Times New Roman"/>
        </w:rPr>
        <w:tab/>
      </w:r>
      <w:r>
        <w:fldChar w:fldCharType="begin"/>
      </w:r>
      <w:r>
        <w:instrText xml:space="preserve"> PAGEREF _Toc449037268 \h </w:instrText>
      </w:r>
      <w:r>
        <w:fldChar w:fldCharType="separate"/>
      </w:r>
      <w:r>
        <w:t>- 87 -</w:t>
      </w:r>
      <w:r>
        <w:fldChar w:fldCharType="end"/>
      </w:r>
      <w:r>
        <w:fldChar w:fldCharType="end"/>
      </w:r>
    </w:p>
    <w:p w14:paraId="734061B3">
      <w:pPr>
        <w:pStyle w:val="20"/>
        <w:tabs>
          <w:tab w:val="right" w:leader="dot" w:pos="8834"/>
        </w:tabs>
        <w:ind w:firstLine="31680"/>
        <w:rPr>
          <w:rFonts w:cs="Times New Roman"/>
          <w:smallCaps w:val="0"/>
        </w:rPr>
      </w:pPr>
      <w:r>
        <w:fldChar w:fldCharType="begin"/>
      </w:r>
      <w:r>
        <w:instrText xml:space="preserve"> HYPERLINK \l "_Toc449037269" </w:instrText>
      </w:r>
      <w:r>
        <w:fldChar w:fldCharType="separate"/>
      </w:r>
      <w:r>
        <w:rPr>
          <w:rStyle w:val="30"/>
          <w:rFonts w:hint="eastAsia" w:ascii="方正黑体简体" w:hAnsi="黑体" w:eastAsia="方正黑体简体" w:cs="方正黑体简体"/>
        </w:rPr>
        <w:t>第十五章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加强生态文明建设，发展绿色经济</w:t>
      </w:r>
      <w:r>
        <w:rPr>
          <w:rFonts w:cs="Times New Roman"/>
        </w:rPr>
        <w:tab/>
      </w:r>
      <w:r>
        <w:fldChar w:fldCharType="begin"/>
      </w:r>
      <w:r>
        <w:instrText xml:space="preserve"> PAGEREF _Toc449037269 \h </w:instrText>
      </w:r>
      <w:r>
        <w:fldChar w:fldCharType="separate"/>
      </w:r>
      <w:r>
        <w:t>- 87 -</w:t>
      </w:r>
      <w:r>
        <w:fldChar w:fldCharType="end"/>
      </w:r>
      <w:r>
        <w:fldChar w:fldCharType="end"/>
      </w:r>
    </w:p>
    <w:p w14:paraId="3B792878">
      <w:pPr>
        <w:pStyle w:val="10"/>
        <w:tabs>
          <w:tab w:val="right" w:leader="dot" w:pos="8834"/>
        </w:tabs>
        <w:ind w:firstLine="31680"/>
        <w:rPr>
          <w:rFonts w:cs="Times New Roman"/>
        </w:rPr>
      </w:pPr>
      <w:r>
        <w:fldChar w:fldCharType="begin"/>
      </w:r>
      <w:r>
        <w:instrText xml:space="preserve"> HYPERLINK \l "_Toc449037270"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大力发展生态经济</w:t>
      </w:r>
      <w:r>
        <w:rPr>
          <w:rFonts w:cs="Times New Roman"/>
        </w:rPr>
        <w:tab/>
      </w:r>
      <w:r>
        <w:fldChar w:fldCharType="begin"/>
      </w:r>
      <w:r>
        <w:instrText xml:space="preserve"> PAGEREF _Toc449037270 \h </w:instrText>
      </w:r>
      <w:r>
        <w:fldChar w:fldCharType="separate"/>
      </w:r>
      <w:r>
        <w:t>- 88 -</w:t>
      </w:r>
      <w:r>
        <w:fldChar w:fldCharType="end"/>
      </w:r>
      <w:r>
        <w:fldChar w:fldCharType="end"/>
      </w:r>
    </w:p>
    <w:p w14:paraId="6B22DA44">
      <w:pPr>
        <w:pStyle w:val="10"/>
        <w:tabs>
          <w:tab w:val="right" w:leader="dot" w:pos="8834"/>
        </w:tabs>
        <w:ind w:firstLine="31680"/>
        <w:rPr>
          <w:rFonts w:cs="Times New Roman"/>
        </w:rPr>
      </w:pPr>
      <w:r>
        <w:fldChar w:fldCharType="begin"/>
      </w:r>
      <w:r>
        <w:instrText xml:space="preserve"> HYPERLINK \l "_Toc449037271"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推进资源节约集约利用</w:t>
      </w:r>
      <w:r>
        <w:rPr>
          <w:rFonts w:cs="Times New Roman"/>
        </w:rPr>
        <w:tab/>
      </w:r>
      <w:r>
        <w:fldChar w:fldCharType="begin"/>
      </w:r>
      <w:r>
        <w:instrText xml:space="preserve"> PAGEREF _Toc449037271 \h </w:instrText>
      </w:r>
      <w:r>
        <w:fldChar w:fldCharType="separate"/>
      </w:r>
      <w:r>
        <w:t>- 89 -</w:t>
      </w:r>
      <w:r>
        <w:fldChar w:fldCharType="end"/>
      </w:r>
      <w:r>
        <w:fldChar w:fldCharType="end"/>
      </w:r>
    </w:p>
    <w:p w14:paraId="13108A8A">
      <w:pPr>
        <w:pStyle w:val="20"/>
        <w:tabs>
          <w:tab w:val="right" w:leader="dot" w:pos="8834"/>
        </w:tabs>
        <w:ind w:firstLine="31680"/>
        <w:rPr>
          <w:rFonts w:cs="Times New Roman"/>
          <w:smallCaps w:val="0"/>
        </w:rPr>
      </w:pPr>
      <w:r>
        <w:fldChar w:fldCharType="begin"/>
      </w:r>
      <w:r>
        <w:instrText xml:space="preserve"> HYPERLINK \l "_Toc449037272" </w:instrText>
      </w:r>
      <w:r>
        <w:fldChar w:fldCharType="separate"/>
      </w:r>
      <w:r>
        <w:rPr>
          <w:rStyle w:val="30"/>
          <w:rFonts w:hint="eastAsia" w:ascii="方正黑体简体" w:hAnsi="黑体" w:eastAsia="方正黑体简体" w:cs="方正黑体简体"/>
        </w:rPr>
        <w:t>第十六章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加大保护力度，改善生态环境质量</w:t>
      </w:r>
      <w:r>
        <w:rPr>
          <w:rFonts w:cs="Times New Roman"/>
        </w:rPr>
        <w:tab/>
      </w:r>
      <w:r>
        <w:fldChar w:fldCharType="begin"/>
      </w:r>
      <w:r>
        <w:instrText xml:space="preserve"> PAGEREF _Toc449037272 \h </w:instrText>
      </w:r>
      <w:r>
        <w:fldChar w:fldCharType="separate"/>
      </w:r>
      <w:r>
        <w:t>- 90 -</w:t>
      </w:r>
      <w:r>
        <w:fldChar w:fldCharType="end"/>
      </w:r>
      <w:r>
        <w:fldChar w:fldCharType="end"/>
      </w:r>
    </w:p>
    <w:p w14:paraId="75CF06C5">
      <w:pPr>
        <w:pStyle w:val="10"/>
        <w:tabs>
          <w:tab w:val="right" w:leader="dot" w:pos="8834"/>
        </w:tabs>
        <w:ind w:firstLine="31680"/>
        <w:rPr>
          <w:rFonts w:cs="Times New Roman"/>
        </w:rPr>
      </w:pPr>
      <w:r>
        <w:fldChar w:fldCharType="begin"/>
      </w:r>
      <w:r>
        <w:instrText xml:space="preserve"> HYPERLINK \l "_Toc449037273"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全面加强污染防治</w:t>
      </w:r>
      <w:r>
        <w:rPr>
          <w:rFonts w:cs="Times New Roman"/>
        </w:rPr>
        <w:tab/>
      </w:r>
      <w:r>
        <w:fldChar w:fldCharType="begin"/>
      </w:r>
      <w:r>
        <w:instrText xml:space="preserve"> PAGEREF _Toc449037273 \h </w:instrText>
      </w:r>
      <w:r>
        <w:fldChar w:fldCharType="separate"/>
      </w:r>
      <w:r>
        <w:t>- 90 -</w:t>
      </w:r>
      <w:r>
        <w:fldChar w:fldCharType="end"/>
      </w:r>
      <w:r>
        <w:fldChar w:fldCharType="end"/>
      </w:r>
    </w:p>
    <w:p w14:paraId="17B449BE">
      <w:pPr>
        <w:pStyle w:val="10"/>
        <w:tabs>
          <w:tab w:val="right" w:leader="dot" w:pos="8834"/>
        </w:tabs>
        <w:ind w:firstLine="31680"/>
        <w:rPr>
          <w:rFonts w:cs="Times New Roman"/>
        </w:rPr>
      </w:pPr>
      <w:r>
        <w:fldChar w:fldCharType="begin"/>
      </w:r>
      <w:r>
        <w:instrText xml:space="preserve"> HYPERLINK \l "_Toc449037274"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推进生态保护和修复</w:t>
      </w:r>
      <w:r>
        <w:rPr>
          <w:rFonts w:cs="Times New Roman"/>
        </w:rPr>
        <w:tab/>
      </w:r>
      <w:r>
        <w:fldChar w:fldCharType="begin"/>
      </w:r>
      <w:r>
        <w:instrText xml:space="preserve"> PAGEREF _Toc449037274 \h </w:instrText>
      </w:r>
      <w:r>
        <w:fldChar w:fldCharType="separate"/>
      </w:r>
      <w:r>
        <w:t>- 93 -</w:t>
      </w:r>
      <w:r>
        <w:fldChar w:fldCharType="end"/>
      </w:r>
      <w:r>
        <w:fldChar w:fldCharType="end"/>
      </w:r>
    </w:p>
    <w:p w14:paraId="073FAD9E">
      <w:pPr>
        <w:pStyle w:val="17"/>
        <w:tabs>
          <w:tab w:val="right" w:leader="dot" w:pos="8834"/>
        </w:tabs>
        <w:rPr>
          <w:rFonts w:eastAsia="宋体" w:cs="Times New Roman"/>
          <w:caps w:val="0"/>
          <w:sz w:val="21"/>
          <w:szCs w:val="21"/>
        </w:rPr>
      </w:pPr>
      <w:r>
        <w:fldChar w:fldCharType="begin"/>
      </w:r>
      <w:r>
        <w:instrText xml:space="preserve"> HYPERLINK \l "_Toc449037275" </w:instrText>
      </w:r>
      <w:r>
        <w:fldChar w:fldCharType="separate"/>
      </w:r>
      <w:r>
        <w:rPr>
          <w:rStyle w:val="30"/>
          <w:rFonts w:hint="eastAsia" w:ascii="方正小标宋简体" w:hAnsi="黑体" w:cs="方正小标宋简体"/>
        </w:rPr>
        <w:t>第五篇</w:t>
      </w:r>
      <w:r>
        <w:rPr>
          <w:rStyle w:val="30"/>
          <w:rFonts w:ascii="方正小标宋简体" w:hAnsi="黑体" w:cs="方正小标宋简体"/>
        </w:rPr>
        <w:t xml:space="preserve">  </w:t>
      </w:r>
      <w:r>
        <w:rPr>
          <w:rStyle w:val="30"/>
          <w:rFonts w:hint="eastAsia" w:ascii="方正小标宋简体" w:hAnsi="黑体" w:cs="方正小标宋简体"/>
        </w:rPr>
        <w:t>强化开放发展</w:t>
      </w:r>
      <w:r>
        <w:rPr>
          <w:rStyle w:val="30"/>
          <w:rFonts w:ascii="方正小标宋简体" w:hAnsi="黑体" w:cs="方正小标宋简体"/>
        </w:rPr>
        <w:t xml:space="preserve">  </w:t>
      </w:r>
      <w:r>
        <w:rPr>
          <w:rStyle w:val="30"/>
          <w:rFonts w:hint="eastAsia" w:ascii="方正小标宋简体" w:hAnsi="黑体" w:cs="方正小标宋简体"/>
        </w:rPr>
        <w:t>催生全面发展新动能</w:t>
      </w:r>
      <w:r>
        <w:rPr>
          <w:rFonts w:cs="Times New Roman"/>
        </w:rPr>
        <w:tab/>
      </w:r>
      <w:r>
        <w:fldChar w:fldCharType="begin"/>
      </w:r>
      <w:r>
        <w:instrText xml:space="preserve"> PAGEREF _Toc449037275 \h </w:instrText>
      </w:r>
      <w:r>
        <w:fldChar w:fldCharType="separate"/>
      </w:r>
      <w:r>
        <w:t>- 95 -</w:t>
      </w:r>
      <w:r>
        <w:fldChar w:fldCharType="end"/>
      </w:r>
      <w:r>
        <w:fldChar w:fldCharType="end"/>
      </w:r>
    </w:p>
    <w:p w14:paraId="2B1F80C9">
      <w:pPr>
        <w:pStyle w:val="20"/>
        <w:tabs>
          <w:tab w:val="right" w:leader="dot" w:pos="8834"/>
        </w:tabs>
        <w:ind w:firstLine="31680"/>
        <w:rPr>
          <w:rFonts w:cs="Times New Roman"/>
          <w:smallCaps w:val="0"/>
        </w:rPr>
      </w:pPr>
      <w:r>
        <w:fldChar w:fldCharType="begin"/>
      </w:r>
      <w:r>
        <w:instrText xml:space="preserve"> HYPERLINK \l "_Toc449037276" </w:instrText>
      </w:r>
      <w:r>
        <w:fldChar w:fldCharType="separate"/>
      </w:r>
      <w:r>
        <w:rPr>
          <w:rStyle w:val="30"/>
          <w:rFonts w:hint="eastAsia" w:ascii="方正黑体简体" w:hAnsi="黑体" w:eastAsia="方正黑体简体" w:cs="方正黑体简体"/>
        </w:rPr>
        <w:t>第十七章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全方位扩大开放，增强发展活力</w:t>
      </w:r>
      <w:r>
        <w:rPr>
          <w:rFonts w:cs="Times New Roman"/>
        </w:rPr>
        <w:tab/>
      </w:r>
      <w:r>
        <w:fldChar w:fldCharType="begin"/>
      </w:r>
      <w:r>
        <w:instrText xml:space="preserve"> PAGEREF _Toc449037276 \h </w:instrText>
      </w:r>
      <w:r>
        <w:fldChar w:fldCharType="separate"/>
      </w:r>
      <w:r>
        <w:t>- 95 -</w:t>
      </w:r>
      <w:r>
        <w:fldChar w:fldCharType="end"/>
      </w:r>
      <w:r>
        <w:fldChar w:fldCharType="end"/>
      </w:r>
    </w:p>
    <w:p w14:paraId="3D53392B">
      <w:pPr>
        <w:pStyle w:val="10"/>
        <w:tabs>
          <w:tab w:val="right" w:leader="dot" w:pos="8834"/>
        </w:tabs>
        <w:ind w:firstLine="31680"/>
        <w:rPr>
          <w:rFonts w:cs="Times New Roman"/>
        </w:rPr>
      </w:pPr>
      <w:r>
        <w:fldChar w:fldCharType="begin"/>
      </w:r>
      <w:r>
        <w:instrText xml:space="preserve"> HYPERLINK \l "_Toc449037277"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全面融入国家开发总体布局</w:t>
      </w:r>
      <w:r>
        <w:rPr>
          <w:rFonts w:cs="Times New Roman"/>
        </w:rPr>
        <w:tab/>
      </w:r>
      <w:r>
        <w:fldChar w:fldCharType="begin"/>
      </w:r>
      <w:r>
        <w:instrText xml:space="preserve"> PAGEREF _Toc449037277 \h </w:instrText>
      </w:r>
      <w:r>
        <w:fldChar w:fldCharType="separate"/>
      </w:r>
      <w:r>
        <w:t>- 95 -</w:t>
      </w:r>
      <w:r>
        <w:fldChar w:fldCharType="end"/>
      </w:r>
      <w:r>
        <w:fldChar w:fldCharType="end"/>
      </w:r>
    </w:p>
    <w:p w14:paraId="276A9C21">
      <w:pPr>
        <w:pStyle w:val="10"/>
        <w:tabs>
          <w:tab w:val="right" w:leader="dot" w:pos="8834"/>
        </w:tabs>
        <w:ind w:firstLine="31680"/>
        <w:rPr>
          <w:rFonts w:cs="Times New Roman"/>
        </w:rPr>
      </w:pPr>
      <w:r>
        <w:fldChar w:fldCharType="begin"/>
      </w:r>
      <w:r>
        <w:instrText xml:space="preserve"> HYPERLINK \l "_Toc449037278"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提高招商引资质量效益</w:t>
      </w:r>
      <w:r>
        <w:rPr>
          <w:rFonts w:cs="Times New Roman"/>
        </w:rPr>
        <w:tab/>
      </w:r>
      <w:r>
        <w:fldChar w:fldCharType="begin"/>
      </w:r>
      <w:r>
        <w:instrText xml:space="preserve"> PAGEREF _Toc449037278 \h </w:instrText>
      </w:r>
      <w:r>
        <w:fldChar w:fldCharType="separate"/>
      </w:r>
      <w:r>
        <w:t>- 96 -</w:t>
      </w:r>
      <w:r>
        <w:fldChar w:fldCharType="end"/>
      </w:r>
      <w:r>
        <w:fldChar w:fldCharType="end"/>
      </w:r>
    </w:p>
    <w:p w14:paraId="17A18E43">
      <w:pPr>
        <w:pStyle w:val="10"/>
        <w:tabs>
          <w:tab w:val="right" w:leader="dot" w:pos="8834"/>
        </w:tabs>
        <w:ind w:firstLine="31680"/>
        <w:rPr>
          <w:rFonts w:cs="Times New Roman"/>
        </w:rPr>
      </w:pPr>
      <w:r>
        <w:fldChar w:fldCharType="begin"/>
      </w:r>
      <w:r>
        <w:instrText xml:space="preserve"> HYPERLINK \l "_Toc449037279"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培育外贸竞争新优势</w:t>
      </w:r>
      <w:r>
        <w:rPr>
          <w:rFonts w:cs="Times New Roman"/>
        </w:rPr>
        <w:tab/>
      </w:r>
      <w:r>
        <w:fldChar w:fldCharType="begin"/>
      </w:r>
      <w:r>
        <w:instrText xml:space="preserve"> PAGEREF _Toc449037279 \h </w:instrText>
      </w:r>
      <w:r>
        <w:fldChar w:fldCharType="separate"/>
      </w:r>
      <w:r>
        <w:t>- 97 -</w:t>
      </w:r>
      <w:r>
        <w:fldChar w:fldCharType="end"/>
      </w:r>
      <w:r>
        <w:fldChar w:fldCharType="end"/>
      </w:r>
    </w:p>
    <w:p w14:paraId="06121B11">
      <w:pPr>
        <w:pStyle w:val="20"/>
        <w:tabs>
          <w:tab w:val="right" w:leader="dot" w:pos="8834"/>
        </w:tabs>
        <w:ind w:firstLine="31680"/>
        <w:rPr>
          <w:rFonts w:cs="Times New Roman"/>
          <w:smallCaps w:val="0"/>
        </w:rPr>
      </w:pPr>
      <w:r>
        <w:fldChar w:fldCharType="begin"/>
      </w:r>
      <w:r>
        <w:instrText xml:space="preserve"> HYPERLINK \l "_Toc449037280" </w:instrText>
      </w:r>
      <w:r>
        <w:fldChar w:fldCharType="separate"/>
      </w:r>
      <w:r>
        <w:rPr>
          <w:rStyle w:val="30"/>
          <w:rFonts w:hint="eastAsia" w:ascii="方正黑体简体" w:hAnsi="黑体" w:eastAsia="方正黑体简体" w:cs="方正黑体简体"/>
        </w:rPr>
        <w:t>第十八章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加快改革攻坚步伐，构建全面发展新体制</w:t>
      </w:r>
      <w:r>
        <w:rPr>
          <w:rFonts w:cs="Times New Roman"/>
        </w:rPr>
        <w:tab/>
      </w:r>
      <w:r>
        <w:fldChar w:fldCharType="begin"/>
      </w:r>
      <w:r>
        <w:instrText xml:space="preserve"> PAGEREF _Toc449037280 \h </w:instrText>
      </w:r>
      <w:r>
        <w:fldChar w:fldCharType="separate"/>
      </w:r>
      <w:r>
        <w:t>- 98 -</w:t>
      </w:r>
      <w:r>
        <w:fldChar w:fldCharType="end"/>
      </w:r>
      <w:r>
        <w:fldChar w:fldCharType="end"/>
      </w:r>
    </w:p>
    <w:p w14:paraId="6AF140CD">
      <w:pPr>
        <w:pStyle w:val="10"/>
        <w:tabs>
          <w:tab w:val="right" w:leader="dot" w:pos="8834"/>
        </w:tabs>
        <w:ind w:firstLine="31680"/>
        <w:rPr>
          <w:rFonts w:cs="Times New Roman"/>
        </w:rPr>
      </w:pPr>
      <w:r>
        <w:fldChar w:fldCharType="begin"/>
      </w:r>
      <w:r>
        <w:instrText xml:space="preserve"> HYPERLINK \l "_Toc449037281"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加快转变政府职能</w:t>
      </w:r>
      <w:r>
        <w:rPr>
          <w:rFonts w:cs="Times New Roman"/>
        </w:rPr>
        <w:tab/>
      </w:r>
      <w:r>
        <w:fldChar w:fldCharType="begin"/>
      </w:r>
      <w:r>
        <w:instrText xml:space="preserve"> PAGEREF _Toc449037281 \h </w:instrText>
      </w:r>
      <w:r>
        <w:fldChar w:fldCharType="separate"/>
      </w:r>
      <w:r>
        <w:t>- 99 -</w:t>
      </w:r>
      <w:r>
        <w:fldChar w:fldCharType="end"/>
      </w:r>
      <w:r>
        <w:fldChar w:fldCharType="end"/>
      </w:r>
    </w:p>
    <w:p w14:paraId="03C22F1B">
      <w:pPr>
        <w:pStyle w:val="10"/>
        <w:tabs>
          <w:tab w:val="right" w:leader="dot" w:pos="8834"/>
        </w:tabs>
        <w:ind w:firstLine="31680"/>
        <w:rPr>
          <w:rFonts w:cs="Times New Roman"/>
        </w:rPr>
      </w:pPr>
      <w:r>
        <w:fldChar w:fldCharType="begin"/>
      </w:r>
      <w:r>
        <w:instrText xml:space="preserve"> HYPERLINK \l "_Toc449037282"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健全现代市场体系</w:t>
      </w:r>
      <w:r>
        <w:rPr>
          <w:rFonts w:cs="Times New Roman"/>
        </w:rPr>
        <w:tab/>
      </w:r>
      <w:r>
        <w:fldChar w:fldCharType="begin"/>
      </w:r>
      <w:r>
        <w:instrText xml:space="preserve"> PAGEREF _Toc449037282 \h </w:instrText>
      </w:r>
      <w:r>
        <w:fldChar w:fldCharType="separate"/>
      </w:r>
      <w:r>
        <w:t>- 100 -</w:t>
      </w:r>
      <w:r>
        <w:fldChar w:fldCharType="end"/>
      </w:r>
      <w:r>
        <w:fldChar w:fldCharType="end"/>
      </w:r>
    </w:p>
    <w:p w14:paraId="307CDD04">
      <w:pPr>
        <w:pStyle w:val="10"/>
        <w:tabs>
          <w:tab w:val="right" w:leader="dot" w:pos="8834"/>
        </w:tabs>
        <w:ind w:firstLine="31680"/>
        <w:rPr>
          <w:rFonts w:cs="Times New Roman"/>
        </w:rPr>
      </w:pPr>
      <w:r>
        <w:fldChar w:fldCharType="begin"/>
      </w:r>
      <w:r>
        <w:instrText xml:space="preserve"> HYPERLINK \l "_Toc449037283"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促进多种所有制经济共同发展</w:t>
      </w:r>
      <w:r>
        <w:rPr>
          <w:rFonts w:cs="Times New Roman"/>
        </w:rPr>
        <w:tab/>
      </w:r>
      <w:r>
        <w:fldChar w:fldCharType="begin"/>
      </w:r>
      <w:r>
        <w:instrText xml:space="preserve"> PAGEREF _Toc449037283 \h </w:instrText>
      </w:r>
      <w:r>
        <w:fldChar w:fldCharType="separate"/>
      </w:r>
      <w:r>
        <w:t>- 101 -</w:t>
      </w:r>
      <w:r>
        <w:fldChar w:fldCharType="end"/>
      </w:r>
      <w:r>
        <w:fldChar w:fldCharType="end"/>
      </w:r>
    </w:p>
    <w:p w14:paraId="412E6B50">
      <w:pPr>
        <w:pStyle w:val="17"/>
        <w:tabs>
          <w:tab w:val="right" w:leader="dot" w:pos="8834"/>
        </w:tabs>
        <w:rPr>
          <w:rFonts w:eastAsia="宋体" w:cs="Times New Roman"/>
          <w:caps w:val="0"/>
          <w:sz w:val="21"/>
          <w:szCs w:val="21"/>
        </w:rPr>
      </w:pPr>
      <w:r>
        <w:fldChar w:fldCharType="begin"/>
      </w:r>
      <w:r>
        <w:instrText xml:space="preserve"> HYPERLINK \l "_Toc449037284" </w:instrText>
      </w:r>
      <w:r>
        <w:fldChar w:fldCharType="separate"/>
      </w:r>
      <w:r>
        <w:rPr>
          <w:rStyle w:val="30"/>
          <w:rFonts w:hint="eastAsia" w:ascii="方正小标宋简体" w:hAnsi="黑体" w:cs="方正小标宋简体"/>
        </w:rPr>
        <w:t>第六篇</w:t>
      </w:r>
      <w:r>
        <w:rPr>
          <w:rStyle w:val="30"/>
          <w:rFonts w:ascii="方正小标宋简体" w:hAnsi="黑体" w:cs="方正小标宋简体"/>
        </w:rPr>
        <w:t xml:space="preserve">  </w:t>
      </w:r>
      <w:r>
        <w:rPr>
          <w:rStyle w:val="30"/>
          <w:rFonts w:hint="eastAsia" w:ascii="方正小标宋简体" w:hAnsi="黑体" w:cs="方正小标宋简体"/>
        </w:rPr>
        <w:t>强化共享发展</w:t>
      </w:r>
      <w:r>
        <w:rPr>
          <w:rStyle w:val="30"/>
          <w:rFonts w:ascii="方正小标宋简体" w:hAnsi="黑体" w:cs="方正小标宋简体"/>
        </w:rPr>
        <w:t xml:space="preserve">  </w:t>
      </w:r>
      <w:r>
        <w:rPr>
          <w:rStyle w:val="30"/>
          <w:rFonts w:hint="eastAsia" w:ascii="方正小标宋简体" w:hAnsi="黑体" w:cs="方正小标宋简体"/>
        </w:rPr>
        <w:t>实现人民福祉新提升</w:t>
      </w:r>
      <w:r>
        <w:rPr>
          <w:rFonts w:cs="Times New Roman"/>
        </w:rPr>
        <w:tab/>
      </w:r>
      <w:r>
        <w:fldChar w:fldCharType="begin"/>
      </w:r>
      <w:r>
        <w:instrText xml:space="preserve"> PAGEREF _Toc449037284 \h </w:instrText>
      </w:r>
      <w:r>
        <w:fldChar w:fldCharType="separate"/>
      </w:r>
      <w:r>
        <w:t>- 103 -</w:t>
      </w:r>
      <w:r>
        <w:fldChar w:fldCharType="end"/>
      </w:r>
      <w:r>
        <w:fldChar w:fldCharType="end"/>
      </w:r>
    </w:p>
    <w:p w14:paraId="3F791711">
      <w:pPr>
        <w:pStyle w:val="20"/>
        <w:tabs>
          <w:tab w:val="right" w:leader="dot" w:pos="8834"/>
        </w:tabs>
        <w:ind w:firstLine="31680"/>
        <w:rPr>
          <w:rFonts w:cs="Times New Roman"/>
          <w:smallCaps w:val="0"/>
        </w:rPr>
      </w:pPr>
      <w:r>
        <w:fldChar w:fldCharType="begin"/>
      </w:r>
      <w:r>
        <w:instrText xml:space="preserve"> HYPERLINK \l "_Toc449037285" </w:instrText>
      </w:r>
      <w:r>
        <w:fldChar w:fldCharType="separate"/>
      </w:r>
      <w:r>
        <w:rPr>
          <w:rStyle w:val="30"/>
          <w:rFonts w:hint="eastAsia" w:ascii="方正黑体简体" w:hAnsi="黑体" w:eastAsia="方正黑体简体" w:cs="方正黑体简体"/>
        </w:rPr>
        <w:t>第十九章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扩大公共服务供给，共享发展成果</w:t>
      </w:r>
      <w:r>
        <w:rPr>
          <w:rFonts w:cs="Times New Roman"/>
        </w:rPr>
        <w:tab/>
      </w:r>
      <w:r>
        <w:fldChar w:fldCharType="begin"/>
      </w:r>
      <w:r>
        <w:instrText xml:space="preserve"> PAGEREF _Toc449037285 \h </w:instrText>
      </w:r>
      <w:r>
        <w:fldChar w:fldCharType="separate"/>
      </w:r>
      <w:r>
        <w:t>- 103 -</w:t>
      </w:r>
      <w:r>
        <w:fldChar w:fldCharType="end"/>
      </w:r>
      <w:r>
        <w:fldChar w:fldCharType="end"/>
      </w:r>
    </w:p>
    <w:p w14:paraId="01B34197">
      <w:pPr>
        <w:pStyle w:val="10"/>
        <w:tabs>
          <w:tab w:val="right" w:leader="dot" w:pos="8834"/>
        </w:tabs>
        <w:ind w:firstLine="31680"/>
        <w:rPr>
          <w:rFonts w:cs="Times New Roman"/>
        </w:rPr>
      </w:pPr>
      <w:r>
        <w:fldChar w:fldCharType="begin"/>
      </w:r>
      <w:r>
        <w:instrText xml:space="preserve"> HYPERLINK \l "_Toc449037286"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发展教育体育事业</w:t>
      </w:r>
      <w:r>
        <w:rPr>
          <w:rFonts w:cs="Times New Roman"/>
        </w:rPr>
        <w:tab/>
      </w:r>
      <w:r>
        <w:fldChar w:fldCharType="begin"/>
      </w:r>
      <w:r>
        <w:instrText xml:space="preserve"> PAGEREF _Toc449037286 \h </w:instrText>
      </w:r>
      <w:r>
        <w:fldChar w:fldCharType="separate"/>
      </w:r>
      <w:r>
        <w:t>- 103 -</w:t>
      </w:r>
      <w:r>
        <w:fldChar w:fldCharType="end"/>
      </w:r>
      <w:r>
        <w:fldChar w:fldCharType="end"/>
      </w:r>
    </w:p>
    <w:p w14:paraId="53459C44">
      <w:pPr>
        <w:pStyle w:val="10"/>
        <w:tabs>
          <w:tab w:val="right" w:leader="dot" w:pos="8834"/>
        </w:tabs>
        <w:ind w:firstLine="31680"/>
        <w:rPr>
          <w:rFonts w:cs="Times New Roman"/>
        </w:rPr>
      </w:pPr>
      <w:r>
        <w:fldChar w:fldCharType="begin"/>
      </w:r>
      <w:r>
        <w:instrText xml:space="preserve"> HYPERLINK \l "_Toc449037287"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加强健康贵池建设</w:t>
      </w:r>
      <w:r>
        <w:rPr>
          <w:rFonts w:cs="Times New Roman"/>
        </w:rPr>
        <w:tab/>
      </w:r>
      <w:r>
        <w:fldChar w:fldCharType="begin"/>
      </w:r>
      <w:r>
        <w:instrText xml:space="preserve"> PAGEREF _Toc449037287 \h </w:instrText>
      </w:r>
      <w:r>
        <w:fldChar w:fldCharType="separate"/>
      </w:r>
      <w:r>
        <w:t>- 107 -</w:t>
      </w:r>
      <w:r>
        <w:fldChar w:fldCharType="end"/>
      </w:r>
      <w:r>
        <w:fldChar w:fldCharType="end"/>
      </w:r>
    </w:p>
    <w:p w14:paraId="7F8FBB27">
      <w:pPr>
        <w:pStyle w:val="10"/>
        <w:tabs>
          <w:tab w:val="right" w:leader="dot" w:pos="8834"/>
        </w:tabs>
        <w:ind w:firstLine="31680"/>
        <w:rPr>
          <w:rFonts w:cs="Times New Roman"/>
        </w:rPr>
      </w:pPr>
      <w:r>
        <w:fldChar w:fldCharType="begin"/>
      </w:r>
      <w:r>
        <w:instrText xml:space="preserve"> HYPERLINK \l "_Toc449037288"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促进人口均衡发展</w:t>
      </w:r>
      <w:r>
        <w:rPr>
          <w:rFonts w:cs="Times New Roman"/>
        </w:rPr>
        <w:tab/>
      </w:r>
      <w:r>
        <w:fldChar w:fldCharType="begin"/>
      </w:r>
      <w:r>
        <w:instrText xml:space="preserve"> PAGEREF _Toc449037288 \h </w:instrText>
      </w:r>
      <w:r>
        <w:fldChar w:fldCharType="separate"/>
      </w:r>
      <w:r>
        <w:t>- 110 -</w:t>
      </w:r>
      <w:r>
        <w:fldChar w:fldCharType="end"/>
      </w:r>
      <w:r>
        <w:fldChar w:fldCharType="end"/>
      </w:r>
    </w:p>
    <w:p w14:paraId="4CD176A3">
      <w:pPr>
        <w:pStyle w:val="10"/>
        <w:tabs>
          <w:tab w:val="right" w:leader="dot" w:pos="8834"/>
        </w:tabs>
        <w:ind w:firstLine="31680"/>
        <w:rPr>
          <w:rFonts w:cs="Times New Roman"/>
        </w:rPr>
      </w:pPr>
      <w:r>
        <w:fldChar w:fldCharType="begin"/>
      </w:r>
      <w:r>
        <w:instrText xml:space="preserve"> HYPERLINK \l "_Toc449037289" </w:instrText>
      </w:r>
      <w:r>
        <w:fldChar w:fldCharType="separate"/>
      </w:r>
      <w:r>
        <w:rPr>
          <w:rStyle w:val="30"/>
          <w:rFonts w:hint="eastAsia" w:ascii="方正仿宋简体" w:hAnsi="黑体" w:eastAsia="方正仿宋简体" w:cs="方正仿宋简体"/>
        </w:rPr>
        <w:t>第四节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全面推进就业创业</w:t>
      </w:r>
      <w:r>
        <w:rPr>
          <w:rFonts w:cs="Times New Roman"/>
        </w:rPr>
        <w:tab/>
      </w:r>
      <w:r>
        <w:fldChar w:fldCharType="begin"/>
      </w:r>
      <w:r>
        <w:instrText xml:space="preserve"> PAGEREF _Toc449037289 \h </w:instrText>
      </w:r>
      <w:r>
        <w:fldChar w:fldCharType="separate"/>
      </w:r>
      <w:r>
        <w:t>- 110 -</w:t>
      </w:r>
      <w:r>
        <w:fldChar w:fldCharType="end"/>
      </w:r>
      <w:r>
        <w:fldChar w:fldCharType="end"/>
      </w:r>
    </w:p>
    <w:p w14:paraId="6BC6BD73">
      <w:pPr>
        <w:pStyle w:val="10"/>
        <w:tabs>
          <w:tab w:val="right" w:leader="dot" w:pos="8834"/>
        </w:tabs>
        <w:ind w:firstLine="31680"/>
        <w:rPr>
          <w:rFonts w:cs="Times New Roman"/>
        </w:rPr>
      </w:pPr>
      <w:r>
        <w:fldChar w:fldCharType="begin"/>
      </w:r>
      <w:r>
        <w:instrText xml:space="preserve"> HYPERLINK \l "_Toc449037290" </w:instrText>
      </w:r>
      <w:r>
        <w:fldChar w:fldCharType="separate"/>
      </w:r>
      <w:r>
        <w:rPr>
          <w:rStyle w:val="30"/>
          <w:rFonts w:hint="eastAsia" w:ascii="方正仿宋简体" w:hAnsi="黑体" w:eastAsia="方正仿宋简体" w:cs="方正仿宋简体"/>
        </w:rPr>
        <w:t>第五节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提升社会保障水平</w:t>
      </w:r>
      <w:r>
        <w:rPr>
          <w:rFonts w:cs="Times New Roman"/>
        </w:rPr>
        <w:tab/>
      </w:r>
      <w:r>
        <w:fldChar w:fldCharType="begin"/>
      </w:r>
      <w:r>
        <w:instrText xml:space="preserve"> PAGEREF _Toc449037290 \h </w:instrText>
      </w:r>
      <w:r>
        <w:fldChar w:fldCharType="separate"/>
      </w:r>
      <w:r>
        <w:t>- 111 -</w:t>
      </w:r>
      <w:r>
        <w:fldChar w:fldCharType="end"/>
      </w:r>
      <w:r>
        <w:fldChar w:fldCharType="end"/>
      </w:r>
    </w:p>
    <w:p w14:paraId="77711D06">
      <w:pPr>
        <w:pStyle w:val="10"/>
        <w:tabs>
          <w:tab w:val="right" w:leader="dot" w:pos="8834"/>
        </w:tabs>
        <w:ind w:firstLine="31680"/>
        <w:rPr>
          <w:rFonts w:cs="Times New Roman"/>
        </w:rPr>
      </w:pPr>
      <w:r>
        <w:fldChar w:fldCharType="begin"/>
      </w:r>
      <w:r>
        <w:instrText xml:space="preserve"> HYPERLINK \l "_Toc449037291" </w:instrText>
      </w:r>
      <w:r>
        <w:fldChar w:fldCharType="separate"/>
      </w:r>
      <w:r>
        <w:rPr>
          <w:rStyle w:val="30"/>
          <w:rFonts w:hint="eastAsia" w:ascii="方正仿宋简体" w:hAnsi="黑体" w:eastAsia="方正仿宋简体" w:cs="方正仿宋简体"/>
        </w:rPr>
        <w:t>第六节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大力发展养老事业</w:t>
      </w:r>
      <w:r>
        <w:rPr>
          <w:rFonts w:cs="Times New Roman"/>
        </w:rPr>
        <w:tab/>
      </w:r>
      <w:r>
        <w:fldChar w:fldCharType="begin"/>
      </w:r>
      <w:r>
        <w:instrText xml:space="preserve"> PAGEREF _Toc449037291 \h </w:instrText>
      </w:r>
      <w:r>
        <w:fldChar w:fldCharType="separate"/>
      </w:r>
      <w:r>
        <w:t>- 112 -</w:t>
      </w:r>
      <w:r>
        <w:fldChar w:fldCharType="end"/>
      </w:r>
      <w:r>
        <w:fldChar w:fldCharType="end"/>
      </w:r>
    </w:p>
    <w:p w14:paraId="2D4D651D">
      <w:pPr>
        <w:pStyle w:val="10"/>
        <w:tabs>
          <w:tab w:val="right" w:leader="dot" w:pos="8834"/>
        </w:tabs>
        <w:ind w:firstLine="31680"/>
        <w:rPr>
          <w:rFonts w:cs="Times New Roman"/>
        </w:rPr>
      </w:pPr>
      <w:r>
        <w:fldChar w:fldCharType="begin"/>
      </w:r>
      <w:r>
        <w:instrText xml:space="preserve"> HYPERLINK \l "_Toc449037292" </w:instrText>
      </w:r>
      <w:r>
        <w:fldChar w:fldCharType="separate"/>
      </w:r>
      <w:r>
        <w:rPr>
          <w:rStyle w:val="30"/>
          <w:rFonts w:hint="eastAsia" w:ascii="方正仿宋简体" w:hAnsi="黑体" w:eastAsia="方正仿宋简体" w:cs="方正仿宋简体"/>
        </w:rPr>
        <w:t>第七节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提高城乡居民收入</w:t>
      </w:r>
      <w:r>
        <w:rPr>
          <w:rFonts w:cs="Times New Roman"/>
        </w:rPr>
        <w:tab/>
      </w:r>
      <w:r>
        <w:fldChar w:fldCharType="begin"/>
      </w:r>
      <w:r>
        <w:instrText xml:space="preserve"> PAGEREF _Toc449037292 \h </w:instrText>
      </w:r>
      <w:r>
        <w:fldChar w:fldCharType="separate"/>
      </w:r>
      <w:r>
        <w:t>- 114 -</w:t>
      </w:r>
      <w:r>
        <w:fldChar w:fldCharType="end"/>
      </w:r>
      <w:r>
        <w:fldChar w:fldCharType="end"/>
      </w:r>
    </w:p>
    <w:p w14:paraId="3B08335D">
      <w:pPr>
        <w:pStyle w:val="20"/>
        <w:tabs>
          <w:tab w:val="right" w:leader="dot" w:pos="8834"/>
        </w:tabs>
        <w:ind w:firstLine="31680"/>
        <w:rPr>
          <w:rFonts w:cs="Times New Roman"/>
          <w:smallCaps w:val="0"/>
        </w:rPr>
      </w:pPr>
      <w:r>
        <w:fldChar w:fldCharType="begin"/>
      </w:r>
      <w:r>
        <w:instrText xml:space="preserve"> HYPERLINK \l "_Toc449037293" </w:instrText>
      </w:r>
      <w:r>
        <w:fldChar w:fldCharType="separate"/>
      </w:r>
      <w:r>
        <w:rPr>
          <w:rStyle w:val="30"/>
          <w:rFonts w:hint="eastAsia" w:ascii="方正黑体简体" w:hAnsi="黑体" w:eastAsia="方正黑体简体" w:cs="方正黑体简体"/>
        </w:rPr>
        <w:t>第二十章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打赢脱贫攻坚战，同步建成小康社会</w:t>
      </w:r>
      <w:r>
        <w:rPr>
          <w:rFonts w:cs="Times New Roman"/>
        </w:rPr>
        <w:tab/>
      </w:r>
      <w:r>
        <w:fldChar w:fldCharType="begin"/>
      </w:r>
      <w:r>
        <w:instrText xml:space="preserve"> PAGEREF _Toc449037293 \h </w:instrText>
      </w:r>
      <w:r>
        <w:fldChar w:fldCharType="separate"/>
      </w:r>
      <w:r>
        <w:t>- 115 -</w:t>
      </w:r>
      <w:r>
        <w:fldChar w:fldCharType="end"/>
      </w:r>
      <w:r>
        <w:fldChar w:fldCharType="end"/>
      </w:r>
    </w:p>
    <w:p w14:paraId="41420784">
      <w:pPr>
        <w:pStyle w:val="10"/>
        <w:tabs>
          <w:tab w:val="right" w:leader="dot" w:pos="8834"/>
        </w:tabs>
        <w:ind w:firstLine="31680"/>
        <w:rPr>
          <w:rFonts w:cs="Times New Roman"/>
        </w:rPr>
      </w:pPr>
      <w:r>
        <w:fldChar w:fldCharType="begin"/>
      </w:r>
      <w:r>
        <w:instrText xml:space="preserve"> HYPERLINK \l "_Toc449037294"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实施脱贫攻坚工程</w:t>
      </w:r>
      <w:r>
        <w:rPr>
          <w:rFonts w:cs="Times New Roman"/>
        </w:rPr>
        <w:tab/>
      </w:r>
      <w:r>
        <w:fldChar w:fldCharType="begin"/>
      </w:r>
      <w:r>
        <w:instrText xml:space="preserve"> PAGEREF _Toc449037294 \h </w:instrText>
      </w:r>
      <w:r>
        <w:fldChar w:fldCharType="separate"/>
      </w:r>
      <w:r>
        <w:t>- 115 -</w:t>
      </w:r>
      <w:r>
        <w:fldChar w:fldCharType="end"/>
      </w:r>
      <w:r>
        <w:fldChar w:fldCharType="end"/>
      </w:r>
    </w:p>
    <w:p w14:paraId="4E611AA4">
      <w:pPr>
        <w:pStyle w:val="10"/>
        <w:tabs>
          <w:tab w:val="right" w:leader="dot" w:pos="8834"/>
        </w:tabs>
        <w:ind w:firstLine="31680"/>
        <w:rPr>
          <w:rFonts w:cs="Times New Roman"/>
        </w:rPr>
      </w:pPr>
      <w:r>
        <w:fldChar w:fldCharType="begin"/>
      </w:r>
      <w:r>
        <w:instrText xml:space="preserve"> HYPERLINK \l "_Toc449037295"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加强扶贫项目建设</w:t>
      </w:r>
      <w:r>
        <w:rPr>
          <w:rFonts w:cs="Times New Roman"/>
        </w:rPr>
        <w:tab/>
      </w:r>
      <w:r>
        <w:fldChar w:fldCharType="begin"/>
      </w:r>
      <w:r>
        <w:instrText xml:space="preserve"> PAGEREF _Toc449037295 \h </w:instrText>
      </w:r>
      <w:r>
        <w:fldChar w:fldCharType="separate"/>
      </w:r>
      <w:r>
        <w:t>- 116 -</w:t>
      </w:r>
      <w:r>
        <w:fldChar w:fldCharType="end"/>
      </w:r>
      <w:r>
        <w:fldChar w:fldCharType="end"/>
      </w:r>
    </w:p>
    <w:p w14:paraId="6AD91F40">
      <w:pPr>
        <w:pStyle w:val="10"/>
        <w:tabs>
          <w:tab w:val="right" w:leader="dot" w:pos="8834"/>
        </w:tabs>
        <w:ind w:firstLine="31680"/>
        <w:rPr>
          <w:rFonts w:cs="Times New Roman"/>
        </w:rPr>
      </w:pPr>
      <w:r>
        <w:fldChar w:fldCharType="begin"/>
      </w:r>
      <w:r>
        <w:instrText xml:space="preserve"> HYPERLINK \l "_Toc449037296"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创新扶贫开发机制</w:t>
      </w:r>
      <w:r>
        <w:rPr>
          <w:rFonts w:cs="Times New Roman"/>
        </w:rPr>
        <w:tab/>
      </w:r>
      <w:r>
        <w:fldChar w:fldCharType="begin"/>
      </w:r>
      <w:r>
        <w:instrText xml:space="preserve"> PAGEREF _Toc449037296 \h </w:instrText>
      </w:r>
      <w:r>
        <w:fldChar w:fldCharType="separate"/>
      </w:r>
      <w:r>
        <w:t>- 117 -</w:t>
      </w:r>
      <w:r>
        <w:fldChar w:fldCharType="end"/>
      </w:r>
      <w:r>
        <w:fldChar w:fldCharType="end"/>
      </w:r>
    </w:p>
    <w:p w14:paraId="4A660B10">
      <w:pPr>
        <w:pStyle w:val="20"/>
        <w:tabs>
          <w:tab w:val="right" w:leader="dot" w:pos="8834"/>
        </w:tabs>
        <w:ind w:firstLine="31680"/>
        <w:rPr>
          <w:rFonts w:cs="Times New Roman"/>
          <w:smallCaps w:val="0"/>
        </w:rPr>
      </w:pPr>
      <w:r>
        <w:fldChar w:fldCharType="begin"/>
      </w:r>
      <w:r>
        <w:instrText xml:space="preserve"> HYPERLINK \l "_Toc449037297" </w:instrText>
      </w:r>
      <w:r>
        <w:fldChar w:fldCharType="separate"/>
      </w:r>
      <w:r>
        <w:rPr>
          <w:rStyle w:val="30"/>
          <w:rFonts w:hint="eastAsia" w:ascii="方正黑体简体" w:hAnsi="黑体" w:eastAsia="方正黑体简体" w:cs="方正黑体简体"/>
        </w:rPr>
        <w:t>第二十一章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创新体制机制，提高社会治理水平</w:t>
      </w:r>
      <w:r>
        <w:rPr>
          <w:rFonts w:cs="Times New Roman"/>
        </w:rPr>
        <w:tab/>
      </w:r>
      <w:r>
        <w:fldChar w:fldCharType="begin"/>
      </w:r>
      <w:r>
        <w:instrText xml:space="preserve"> PAGEREF _Toc449037297 \h </w:instrText>
      </w:r>
      <w:r>
        <w:fldChar w:fldCharType="separate"/>
      </w:r>
      <w:r>
        <w:t>- 119 -</w:t>
      </w:r>
      <w:r>
        <w:fldChar w:fldCharType="end"/>
      </w:r>
      <w:r>
        <w:fldChar w:fldCharType="end"/>
      </w:r>
    </w:p>
    <w:p w14:paraId="4335E287">
      <w:pPr>
        <w:pStyle w:val="10"/>
        <w:tabs>
          <w:tab w:val="right" w:leader="dot" w:pos="8834"/>
        </w:tabs>
        <w:ind w:firstLine="31680"/>
        <w:rPr>
          <w:rFonts w:cs="Times New Roman"/>
        </w:rPr>
      </w:pPr>
      <w:r>
        <w:fldChar w:fldCharType="begin"/>
      </w:r>
      <w:r>
        <w:instrText xml:space="preserve"> HYPERLINK \l "_Toc449037298" </w:instrText>
      </w:r>
      <w:r>
        <w:fldChar w:fldCharType="separate"/>
      </w:r>
      <w:r>
        <w:rPr>
          <w:rStyle w:val="30"/>
          <w:rFonts w:hint="eastAsia" w:ascii="方正仿宋简体" w:hAnsi="黑体" w:eastAsia="方正仿宋简体" w:cs="方正仿宋简体"/>
        </w:rPr>
        <w:t>第一节　优化社会治理体制机制</w:t>
      </w:r>
      <w:r>
        <w:rPr>
          <w:rFonts w:cs="Times New Roman"/>
        </w:rPr>
        <w:tab/>
      </w:r>
      <w:r>
        <w:fldChar w:fldCharType="begin"/>
      </w:r>
      <w:r>
        <w:instrText xml:space="preserve"> PAGEREF _Toc449037298 \h </w:instrText>
      </w:r>
      <w:r>
        <w:fldChar w:fldCharType="separate"/>
      </w:r>
      <w:r>
        <w:t>- 119 -</w:t>
      </w:r>
      <w:r>
        <w:fldChar w:fldCharType="end"/>
      </w:r>
      <w:r>
        <w:fldChar w:fldCharType="end"/>
      </w:r>
    </w:p>
    <w:p w14:paraId="706BF15F">
      <w:pPr>
        <w:pStyle w:val="10"/>
        <w:tabs>
          <w:tab w:val="right" w:leader="dot" w:pos="8834"/>
        </w:tabs>
        <w:ind w:firstLine="31680"/>
        <w:rPr>
          <w:rFonts w:cs="Times New Roman"/>
        </w:rPr>
      </w:pPr>
      <w:r>
        <w:fldChar w:fldCharType="begin"/>
      </w:r>
      <w:r>
        <w:instrText xml:space="preserve"> HYPERLINK \l "_Toc449037299"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推动社会组织健康发展</w:t>
      </w:r>
      <w:r>
        <w:rPr>
          <w:rFonts w:cs="Times New Roman"/>
        </w:rPr>
        <w:tab/>
      </w:r>
      <w:r>
        <w:fldChar w:fldCharType="begin"/>
      </w:r>
      <w:r>
        <w:instrText xml:space="preserve"> PAGEREF _Toc449037299 \h </w:instrText>
      </w:r>
      <w:r>
        <w:fldChar w:fldCharType="separate"/>
      </w:r>
      <w:r>
        <w:t>- 120 -</w:t>
      </w:r>
      <w:r>
        <w:fldChar w:fldCharType="end"/>
      </w:r>
      <w:r>
        <w:fldChar w:fldCharType="end"/>
      </w:r>
    </w:p>
    <w:p w14:paraId="67739DD2">
      <w:pPr>
        <w:pStyle w:val="10"/>
        <w:tabs>
          <w:tab w:val="right" w:leader="dot" w:pos="8834"/>
        </w:tabs>
        <w:ind w:firstLine="31680"/>
        <w:rPr>
          <w:rFonts w:cs="Times New Roman"/>
        </w:rPr>
      </w:pPr>
      <w:r>
        <w:fldChar w:fldCharType="begin"/>
      </w:r>
      <w:r>
        <w:instrText xml:space="preserve"> HYPERLINK \l "_Toc449037300"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加强信用贵池体系建设</w:t>
      </w:r>
      <w:r>
        <w:rPr>
          <w:rFonts w:cs="Times New Roman"/>
        </w:rPr>
        <w:tab/>
      </w:r>
      <w:r>
        <w:fldChar w:fldCharType="begin"/>
      </w:r>
      <w:r>
        <w:instrText xml:space="preserve"> PAGEREF _Toc449037300 \h </w:instrText>
      </w:r>
      <w:r>
        <w:fldChar w:fldCharType="separate"/>
      </w:r>
      <w:r>
        <w:t>- 121 -</w:t>
      </w:r>
      <w:r>
        <w:fldChar w:fldCharType="end"/>
      </w:r>
      <w:r>
        <w:fldChar w:fldCharType="end"/>
      </w:r>
    </w:p>
    <w:p w14:paraId="4B83B0F6">
      <w:pPr>
        <w:pStyle w:val="10"/>
        <w:tabs>
          <w:tab w:val="right" w:leader="dot" w:pos="8834"/>
        </w:tabs>
        <w:ind w:firstLine="31680"/>
        <w:rPr>
          <w:rFonts w:cs="Times New Roman"/>
        </w:rPr>
      </w:pPr>
      <w:r>
        <w:fldChar w:fldCharType="begin"/>
      </w:r>
      <w:r>
        <w:instrText xml:space="preserve"> HYPERLINK \l "_Toc449037301" </w:instrText>
      </w:r>
      <w:r>
        <w:fldChar w:fldCharType="separate"/>
      </w:r>
      <w:r>
        <w:rPr>
          <w:rStyle w:val="30"/>
          <w:rFonts w:hint="eastAsia" w:ascii="方正仿宋简体" w:hAnsi="黑体" w:eastAsia="方正仿宋简体" w:cs="方正仿宋简体"/>
        </w:rPr>
        <w:t>第四节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强化公共安全基础建设</w:t>
      </w:r>
      <w:r>
        <w:rPr>
          <w:rFonts w:cs="Times New Roman"/>
        </w:rPr>
        <w:tab/>
      </w:r>
      <w:r>
        <w:fldChar w:fldCharType="begin"/>
      </w:r>
      <w:r>
        <w:instrText xml:space="preserve"> PAGEREF _Toc449037301 \h </w:instrText>
      </w:r>
      <w:r>
        <w:fldChar w:fldCharType="separate"/>
      </w:r>
      <w:r>
        <w:t>- 121 -</w:t>
      </w:r>
      <w:r>
        <w:fldChar w:fldCharType="end"/>
      </w:r>
      <w:r>
        <w:fldChar w:fldCharType="end"/>
      </w:r>
    </w:p>
    <w:p w14:paraId="1EDA5A38">
      <w:pPr>
        <w:pStyle w:val="17"/>
        <w:tabs>
          <w:tab w:val="right" w:leader="dot" w:pos="8834"/>
        </w:tabs>
        <w:rPr>
          <w:rFonts w:eastAsia="宋体" w:cs="Times New Roman"/>
          <w:caps w:val="0"/>
          <w:sz w:val="21"/>
          <w:szCs w:val="21"/>
        </w:rPr>
      </w:pPr>
      <w:r>
        <w:fldChar w:fldCharType="begin"/>
      </w:r>
      <w:r>
        <w:instrText xml:space="preserve"> HYPERLINK \l "_Toc449037302" </w:instrText>
      </w:r>
      <w:r>
        <w:fldChar w:fldCharType="separate"/>
      </w:r>
      <w:r>
        <w:rPr>
          <w:rStyle w:val="30"/>
          <w:rFonts w:hint="eastAsia" w:ascii="方正小标宋简体" w:hAnsi="黑体" w:cs="方正小标宋简体"/>
        </w:rPr>
        <w:t>第七篇</w:t>
      </w:r>
      <w:r>
        <w:rPr>
          <w:rStyle w:val="30"/>
          <w:rFonts w:ascii="方正小标宋简体" w:hAnsi="黑体" w:cs="方正小标宋简体"/>
        </w:rPr>
        <w:t xml:space="preserve">  </w:t>
      </w:r>
      <w:r>
        <w:rPr>
          <w:rStyle w:val="30"/>
          <w:rFonts w:hint="eastAsia" w:ascii="方正小标宋简体" w:hAnsi="黑体" w:cs="方正小标宋简体"/>
        </w:rPr>
        <w:t>强化规划实施</w:t>
      </w:r>
      <w:r>
        <w:rPr>
          <w:rStyle w:val="30"/>
          <w:rFonts w:ascii="方正小标宋简体" w:hAnsi="黑体" w:cs="方正小标宋简体"/>
        </w:rPr>
        <w:t xml:space="preserve">  </w:t>
      </w:r>
      <w:r>
        <w:rPr>
          <w:rStyle w:val="30"/>
          <w:rFonts w:hint="eastAsia" w:ascii="方正小标宋简体" w:hAnsi="黑体" w:cs="方正小标宋简体"/>
        </w:rPr>
        <w:t>绘就宏伟发展新蓝图</w:t>
      </w:r>
      <w:r>
        <w:rPr>
          <w:rFonts w:cs="Times New Roman"/>
        </w:rPr>
        <w:tab/>
      </w:r>
      <w:r>
        <w:fldChar w:fldCharType="begin"/>
      </w:r>
      <w:r>
        <w:instrText xml:space="preserve"> PAGEREF _Toc449037302 \h </w:instrText>
      </w:r>
      <w:r>
        <w:fldChar w:fldCharType="separate"/>
      </w:r>
      <w:r>
        <w:t>- 123 -</w:t>
      </w:r>
      <w:r>
        <w:fldChar w:fldCharType="end"/>
      </w:r>
      <w:r>
        <w:fldChar w:fldCharType="end"/>
      </w:r>
    </w:p>
    <w:p w14:paraId="6281FF32">
      <w:pPr>
        <w:pStyle w:val="20"/>
        <w:tabs>
          <w:tab w:val="right" w:leader="dot" w:pos="8834"/>
        </w:tabs>
        <w:ind w:firstLine="31680"/>
        <w:rPr>
          <w:rFonts w:cs="Times New Roman"/>
          <w:smallCaps w:val="0"/>
        </w:rPr>
      </w:pPr>
      <w:r>
        <w:fldChar w:fldCharType="begin"/>
      </w:r>
      <w:r>
        <w:instrText xml:space="preserve"> HYPERLINK \l "_Toc449037303" </w:instrText>
      </w:r>
      <w:r>
        <w:fldChar w:fldCharType="separate"/>
      </w:r>
      <w:r>
        <w:rPr>
          <w:rStyle w:val="30"/>
          <w:rFonts w:hint="eastAsia" w:ascii="方正黑体简体" w:hAnsi="黑体" w:eastAsia="方正黑体简体" w:cs="方正黑体简体"/>
        </w:rPr>
        <w:t>第二十二章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推进民主法治建设，促进社会包容和谐</w:t>
      </w:r>
      <w:r>
        <w:rPr>
          <w:rFonts w:cs="Times New Roman"/>
        </w:rPr>
        <w:tab/>
      </w:r>
      <w:r>
        <w:fldChar w:fldCharType="begin"/>
      </w:r>
      <w:r>
        <w:instrText xml:space="preserve"> PAGEREF _Toc449037303 \h </w:instrText>
      </w:r>
      <w:r>
        <w:fldChar w:fldCharType="separate"/>
      </w:r>
      <w:r>
        <w:t>- 123 -</w:t>
      </w:r>
      <w:r>
        <w:fldChar w:fldCharType="end"/>
      </w:r>
      <w:r>
        <w:fldChar w:fldCharType="end"/>
      </w:r>
    </w:p>
    <w:p w14:paraId="5BAAFE68">
      <w:pPr>
        <w:pStyle w:val="10"/>
        <w:tabs>
          <w:tab w:val="right" w:leader="dot" w:pos="8834"/>
        </w:tabs>
        <w:ind w:firstLine="31680"/>
        <w:rPr>
          <w:rFonts w:cs="Times New Roman"/>
        </w:rPr>
      </w:pPr>
      <w:r>
        <w:fldChar w:fldCharType="begin"/>
      </w:r>
      <w:r>
        <w:instrText xml:space="preserve"> HYPERLINK \l "_Toc449037304"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加强民主政治建设</w:t>
      </w:r>
      <w:r>
        <w:rPr>
          <w:rFonts w:cs="Times New Roman"/>
        </w:rPr>
        <w:tab/>
      </w:r>
      <w:r>
        <w:fldChar w:fldCharType="begin"/>
      </w:r>
      <w:r>
        <w:instrText xml:space="preserve"> PAGEREF _Toc449037304 \h </w:instrText>
      </w:r>
      <w:r>
        <w:fldChar w:fldCharType="separate"/>
      </w:r>
      <w:r>
        <w:t>- 123 -</w:t>
      </w:r>
      <w:r>
        <w:fldChar w:fldCharType="end"/>
      </w:r>
      <w:r>
        <w:fldChar w:fldCharType="end"/>
      </w:r>
    </w:p>
    <w:p w14:paraId="54ED1916">
      <w:pPr>
        <w:pStyle w:val="10"/>
        <w:tabs>
          <w:tab w:val="right" w:leader="dot" w:pos="8834"/>
        </w:tabs>
        <w:ind w:firstLine="31680"/>
        <w:rPr>
          <w:rFonts w:cs="Times New Roman"/>
        </w:rPr>
      </w:pPr>
      <w:r>
        <w:fldChar w:fldCharType="begin"/>
      </w:r>
      <w:r>
        <w:instrText xml:space="preserve"> HYPERLINK \l "_Toc449037305"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全面推进依法治区</w:t>
      </w:r>
      <w:r>
        <w:rPr>
          <w:rFonts w:cs="Times New Roman"/>
        </w:rPr>
        <w:tab/>
      </w:r>
      <w:r>
        <w:fldChar w:fldCharType="begin"/>
      </w:r>
      <w:r>
        <w:instrText xml:space="preserve"> PAGEREF _Toc449037305 \h </w:instrText>
      </w:r>
      <w:r>
        <w:fldChar w:fldCharType="separate"/>
      </w:r>
      <w:r>
        <w:t>- 124 -</w:t>
      </w:r>
      <w:r>
        <w:fldChar w:fldCharType="end"/>
      </w:r>
      <w:r>
        <w:fldChar w:fldCharType="end"/>
      </w:r>
    </w:p>
    <w:p w14:paraId="30F9C359">
      <w:pPr>
        <w:pStyle w:val="10"/>
        <w:tabs>
          <w:tab w:val="right" w:leader="dot" w:pos="8834"/>
        </w:tabs>
        <w:ind w:firstLine="31680"/>
        <w:rPr>
          <w:rFonts w:cs="Times New Roman"/>
        </w:rPr>
      </w:pPr>
      <w:r>
        <w:fldChar w:fldCharType="begin"/>
      </w:r>
      <w:r>
        <w:instrText xml:space="preserve"> HYPERLINK \l "_Toc449037306"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切实推进公正司法</w:t>
      </w:r>
      <w:r>
        <w:rPr>
          <w:rFonts w:cs="Times New Roman"/>
        </w:rPr>
        <w:tab/>
      </w:r>
      <w:r>
        <w:fldChar w:fldCharType="begin"/>
      </w:r>
      <w:r>
        <w:instrText xml:space="preserve"> PAGEREF _Toc449037306 \h </w:instrText>
      </w:r>
      <w:r>
        <w:fldChar w:fldCharType="separate"/>
      </w:r>
      <w:r>
        <w:t>- 125 -</w:t>
      </w:r>
      <w:r>
        <w:fldChar w:fldCharType="end"/>
      </w:r>
      <w:r>
        <w:fldChar w:fldCharType="end"/>
      </w:r>
    </w:p>
    <w:p w14:paraId="0D65173D">
      <w:pPr>
        <w:pStyle w:val="10"/>
        <w:tabs>
          <w:tab w:val="right" w:leader="dot" w:pos="8834"/>
        </w:tabs>
        <w:ind w:firstLine="31680"/>
        <w:rPr>
          <w:rFonts w:cs="Times New Roman"/>
        </w:rPr>
      </w:pPr>
      <w:r>
        <w:fldChar w:fldCharType="begin"/>
      </w:r>
      <w:r>
        <w:instrText xml:space="preserve"> HYPERLINK \l "_Toc449037307" </w:instrText>
      </w:r>
      <w:r>
        <w:fldChar w:fldCharType="separate"/>
      </w:r>
      <w:r>
        <w:rPr>
          <w:rStyle w:val="30"/>
          <w:rFonts w:hint="eastAsia" w:ascii="方正仿宋简体" w:hAnsi="黑体" w:eastAsia="方正仿宋简体" w:cs="方正仿宋简体"/>
        </w:rPr>
        <w:t>第四节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营造良好法治环境</w:t>
      </w:r>
      <w:r>
        <w:rPr>
          <w:rFonts w:cs="Times New Roman"/>
        </w:rPr>
        <w:tab/>
      </w:r>
      <w:r>
        <w:fldChar w:fldCharType="begin"/>
      </w:r>
      <w:r>
        <w:instrText xml:space="preserve"> PAGEREF _Toc449037307 \h </w:instrText>
      </w:r>
      <w:r>
        <w:fldChar w:fldCharType="separate"/>
      </w:r>
      <w:r>
        <w:t>- 125 -</w:t>
      </w:r>
      <w:r>
        <w:fldChar w:fldCharType="end"/>
      </w:r>
      <w:r>
        <w:fldChar w:fldCharType="end"/>
      </w:r>
    </w:p>
    <w:p w14:paraId="745034B8">
      <w:pPr>
        <w:pStyle w:val="20"/>
        <w:tabs>
          <w:tab w:val="right" w:leader="dot" w:pos="8834"/>
        </w:tabs>
        <w:ind w:firstLine="31680"/>
        <w:rPr>
          <w:rFonts w:cs="Times New Roman"/>
          <w:smallCaps w:val="0"/>
        </w:rPr>
      </w:pPr>
      <w:r>
        <w:fldChar w:fldCharType="begin"/>
      </w:r>
      <w:r>
        <w:instrText xml:space="preserve"> HYPERLINK \l "_Toc449037308" </w:instrText>
      </w:r>
      <w:r>
        <w:fldChar w:fldCharType="separate"/>
      </w:r>
      <w:r>
        <w:rPr>
          <w:rStyle w:val="30"/>
          <w:rFonts w:hint="eastAsia" w:ascii="方正黑体简体" w:hAnsi="黑体" w:eastAsia="方正黑体简体" w:cs="方正黑体简体"/>
        </w:rPr>
        <w:t>第二十三章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实施人才强区战略，强化人力资本支撑</w:t>
      </w:r>
      <w:r>
        <w:rPr>
          <w:rFonts w:cs="Times New Roman"/>
        </w:rPr>
        <w:tab/>
      </w:r>
      <w:r>
        <w:fldChar w:fldCharType="begin"/>
      </w:r>
      <w:r>
        <w:instrText xml:space="preserve"> PAGEREF _Toc449037308 \h </w:instrText>
      </w:r>
      <w:r>
        <w:fldChar w:fldCharType="separate"/>
      </w:r>
      <w:r>
        <w:t>- 126 -</w:t>
      </w:r>
      <w:r>
        <w:fldChar w:fldCharType="end"/>
      </w:r>
      <w:r>
        <w:fldChar w:fldCharType="end"/>
      </w:r>
    </w:p>
    <w:p w14:paraId="617C9A28">
      <w:pPr>
        <w:pStyle w:val="10"/>
        <w:tabs>
          <w:tab w:val="right" w:leader="dot" w:pos="8834"/>
        </w:tabs>
        <w:ind w:firstLine="31680"/>
        <w:rPr>
          <w:rFonts w:cs="Times New Roman"/>
        </w:rPr>
      </w:pPr>
      <w:r>
        <w:fldChar w:fldCharType="begin"/>
      </w:r>
      <w:r>
        <w:instrText xml:space="preserve"> HYPERLINK \l "_Toc449037309"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引进培育创新人才</w:t>
      </w:r>
      <w:r>
        <w:rPr>
          <w:rFonts w:cs="Times New Roman"/>
        </w:rPr>
        <w:tab/>
      </w:r>
      <w:r>
        <w:fldChar w:fldCharType="begin"/>
      </w:r>
      <w:r>
        <w:instrText xml:space="preserve"> PAGEREF _Toc449037309 \h </w:instrText>
      </w:r>
      <w:r>
        <w:fldChar w:fldCharType="separate"/>
      </w:r>
      <w:r>
        <w:t>- 126 -</w:t>
      </w:r>
      <w:r>
        <w:fldChar w:fldCharType="end"/>
      </w:r>
      <w:r>
        <w:fldChar w:fldCharType="end"/>
      </w:r>
    </w:p>
    <w:p w14:paraId="4051CB27">
      <w:pPr>
        <w:pStyle w:val="10"/>
        <w:tabs>
          <w:tab w:val="right" w:leader="dot" w:pos="8834"/>
        </w:tabs>
        <w:ind w:firstLine="31680"/>
        <w:rPr>
          <w:rFonts w:cs="Times New Roman"/>
        </w:rPr>
      </w:pPr>
      <w:r>
        <w:fldChar w:fldCharType="begin"/>
      </w:r>
      <w:r>
        <w:instrText xml:space="preserve"> HYPERLINK \l "_Toc449037310"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加强人才队伍建设</w:t>
      </w:r>
      <w:r>
        <w:rPr>
          <w:rFonts w:cs="Times New Roman"/>
        </w:rPr>
        <w:tab/>
      </w:r>
      <w:r>
        <w:fldChar w:fldCharType="begin"/>
      </w:r>
      <w:r>
        <w:instrText xml:space="preserve"> PAGEREF _Toc449037310 \h </w:instrText>
      </w:r>
      <w:r>
        <w:fldChar w:fldCharType="separate"/>
      </w:r>
      <w:r>
        <w:t>- 126 -</w:t>
      </w:r>
      <w:r>
        <w:fldChar w:fldCharType="end"/>
      </w:r>
      <w:r>
        <w:fldChar w:fldCharType="end"/>
      </w:r>
    </w:p>
    <w:p w14:paraId="3537B147">
      <w:pPr>
        <w:pStyle w:val="10"/>
        <w:tabs>
          <w:tab w:val="right" w:leader="dot" w:pos="8834"/>
        </w:tabs>
        <w:ind w:firstLine="31680"/>
        <w:rPr>
          <w:rFonts w:cs="Times New Roman"/>
        </w:rPr>
      </w:pPr>
      <w:r>
        <w:fldChar w:fldCharType="begin"/>
      </w:r>
      <w:r>
        <w:instrText xml:space="preserve"> HYPERLINK \l "_Toc449037311"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完善人才培育机制</w:t>
      </w:r>
      <w:r>
        <w:rPr>
          <w:rFonts w:cs="Times New Roman"/>
        </w:rPr>
        <w:tab/>
      </w:r>
      <w:r>
        <w:fldChar w:fldCharType="begin"/>
      </w:r>
      <w:r>
        <w:instrText xml:space="preserve"> PAGEREF _Toc449037311 \h </w:instrText>
      </w:r>
      <w:r>
        <w:fldChar w:fldCharType="separate"/>
      </w:r>
      <w:r>
        <w:t>- 127 -</w:t>
      </w:r>
      <w:r>
        <w:fldChar w:fldCharType="end"/>
      </w:r>
      <w:r>
        <w:fldChar w:fldCharType="end"/>
      </w:r>
    </w:p>
    <w:p w14:paraId="1F7BBEDE">
      <w:pPr>
        <w:pStyle w:val="20"/>
        <w:tabs>
          <w:tab w:val="right" w:leader="dot" w:pos="8834"/>
        </w:tabs>
        <w:ind w:firstLine="31680"/>
        <w:rPr>
          <w:rFonts w:cs="Times New Roman"/>
          <w:smallCaps w:val="0"/>
        </w:rPr>
      </w:pPr>
      <w:r>
        <w:fldChar w:fldCharType="begin"/>
      </w:r>
      <w:r>
        <w:instrText xml:space="preserve"> HYPERLINK \l "_Toc449037312" </w:instrText>
      </w:r>
      <w:r>
        <w:fldChar w:fldCharType="separate"/>
      </w:r>
      <w:r>
        <w:rPr>
          <w:rStyle w:val="30"/>
          <w:rFonts w:hint="eastAsia" w:ascii="方正黑体简体" w:hAnsi="黑体" w:eastAsia="方正黑体简体" w:cs="方正黑体简体"/>
        </w:rPr>
        <w:t>第二十四章</w:t>
      </w:r>
      <w:r>
        <w:rPr>
          <w:rStyle w:val="30"/>
          <w:rFonts w:ascii="方正黑体简体" w:hAnsi="黑体" w:eastAsia="方正黑体简体" w:cs="方正黑体简体"/>
        </w:rPr>
        <w:t xml:space="preserve">  </w:t>
      </w:r>
      <w:r>
        <w:rPr>
          <w:rStyle w:val="30"/>
          <w:rFonts w:hint="eastAsia" w:ascii="方正黑体简体" w:hAnsi="黑体" w:eastAsia="方正黑体简体" w:cs="方正黑体简体"/>
        </w:rPr>
        <w:t>加强组织协调，全力推进规划实施</w:t>
      </w:r>
      <w:r>
        <w:rPr>
          <w:rFonts w:cs="Times New Roman"/>
        </w:rPr>
        <w:tab/>
      </w:r>
      <w:r>
        <w:fldChar w:fldCharType="begin"/>
      </w:r>
      <w:r>
        <w:instrText xml:space="preserve"> PAGEREF _Toc449037312 \h </w:instrText>
      </w:r>
      <w:r>
        <w:fldChar w:fldCharType="separate"/>
      </w:r>
      <w:r>
        <w:t>- 128 -</w:t>
      </w:r>
      <w:r>
        <w:fldChar w:fldCharType="end"/>
      </w:r>
      <w:r>
        <w:fldChar w:fldCharType="end"/>
      </w:r>
    </w:p>
    <w:p w14:paraId="4C7B53D8">
      <w:pPr>
        <w:pStyle w:val="10"/>
        <w:tabs>
          <w:tab w:val="right" w:leader="dot" w:pos="8834"/>
        </w:tabs>
        <w:ind w:firstLine="31680"/>
        <w:rPr>
          <w:rFonts w:cs="Times New Roman"/>
        </w:rPr>
      </w:pPr>
      <w:r>
        <w:fldChar w:fldCharType="begin"/>
      </w:r>
      <w:r>
        <w:instrText xml:space="preserve"> HYPERLINK \l "_Toc449037313" </w:instrText>
      </w:r>
      <w:r>
        <w:fldChar w:fldCharType="separate"/>
      </w:r>
      <w:r>
        <w:rPr>
          <w:rStyle w:val="30"/>
          <w:rFonts w:hint="eastAsia" w:ascii="方正仿宋简体" w:hAnsi="黑体" w:eastAsia="方正仿宋简体" w:cs="方正仿宋简体"/>
        </w:rPr>
        <w:t>第一节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强化组织领导</w:t>
      </w:r>
      <w:r>
        <w:rPr>
          <w:rFonts w:cs="Times New Roman"/>
        </w:rPr>
        <w:tab/>
      </w:r>
      <w:r>
        <w:fldChar w:fldCharType="begin"/>
      </w:r>
      <w:r>
        <w:instrText xml:space="preserve"> PAGEREF _Toc449037313 \h </w:instrText>
      </w:r>
      <w:r>
        <w:fldChar w:fldCharType="separate"/>
      </w:r>
      <w:r>
        <w:t>- 128 -</w:t>
      </w:r>
      <w:r>
        <w:fldChar w:fldCharType="end"/>
      </w:r>
      <w:r>
        <w:fldChar w:fldCharType="end"/>
      </w:r>
    </w:p>
    <w:p w14:paraId="72586D7F">
      <w:pPr>
        <w:pStyle w:val="10"/>
        <w:tabs>
          <w:tab w:val="right" w:leader="dot" w:pos="8834"/>
        </w:tabs>
        <w:ind w:firstLine="31680"/>
        <w:rPr>
          <w:rFonts w:cs="Times New Roman"/>
        </w:rPr>
      </w:pPr>
      <w:r>
        <w:fldChar w:fldCharType="begin"/>
      </w:r>
      <w:r>
        <w:instrText xml:space="preserve"> HYPERLINK \l "_Toc449037314" </w:instrText>
      </w:r>
      <w:r>
        <w:fldChar w:fldCharType="separate"/>
      </w:r>
      <w:r>
        <w:rPr>
          <w:rStyle w:val="30"/>
          <w:rFonts w:hint="eastAsia" w:ascii="方正仿宋简体" w:hAnsi="黑体" w:eastAsia="方正仿宋简体" w:cs="方正仿宋简体"/>
        </w:rPr>
        <w:t>第二节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强化项目支撑</w:t>
      </w:r>
      <w:r>
        <w:rPr>
          <w:rFonts w:cs="Times New Roman"/>
        </w:rPr>
        <w:tab/>
      </w:r>
      <w:r>
        <w:fldChar w:fldCharType="begin"/>
      </w:r>
      <w:r>
        <w:instrText xml:space="preserve"> PAGEREF _Toc449037314 \h </w:instrText>
      </w:r>
      <w:r>
        <w:fldChar w:fldCharType="separate"/>
      </w:r>
      <w:r>
        <w:t>- 130 -</w:t>
      </w:r>
      <w:r>
        <w:fldChar w:fldCharType="end"/>
      </w:r>
      <w:r>
        <w:fldChar w:fldCharType="end"/>
      </w:r>
    </w:p>
    <w:p w14:paraId="3BC290F4">
      <w:pPr>
        <w:pStyle w:val="10"/>
        <w:tabs>
          <w:tab w:val="right" w:leader="dot" w:pos="8834"/>
        </w:tabs>
        <w:ind w:firstLine="31680"/>
        <w:rPr>
          <w:rFonts w:cs="Times New Roman"/>
        </w:rPr>
      </w:pPr>
      <w:r>
        <w:fldChar w:fldCharType="begin"/>
      </w:r>
      <w:r>
        <w:instrText xml:space="preserve"> HYPERLINK \l "_Toc449037315" </w:instrText>
      </w:r>
      <w:r>
        <w:fldChar w:fldCharType="separate"/>
      </w:r>
      <w:r>
        <w:rPr>
          <w:rStyle w:val="30"/>
          <w:rFonts w:hint="eastAsia" w:ascii="方正仿宋简体" w:hAnsi="黑体" w:eastAsia="方正仿宋简体" w:cs="方正仿宋简体"/>
        </w:rPr>
        <w:t>第三节</w:t>
      </w:r>
      <w:r>
        <w:rPr>
          <w:rStyle w:val="30"/>
          <w:rFonts w:ascii="方正仿宋简体" w:hAnsi="黑体" w:eastAsia="方正仿宋简体" w:cs="方正仿宋简体"/>
        </w:rPr>
        <w:t xml:space="preserve">  </w:t>
      </w:r>
      <w:r>
        <w:rPr>
          <w:rStyle w:val="30"/>
          <w:rFonts w:hint="eastAsia" w:ascii="方正仿宋简体" w:hAnsi="黑体" w:eastAsia="方正仿宋简体" w:cs="方正仿宋简体"/>
        </w:rPr>
        <w:t>强化政策配套</w:t>
      </w:r>
      <w:r>
        <w:rPr>
          <w:rFonts w:cs="Times New Roman"/>
        </w:rPr>
        <w:tab/>
      </w:r>
      <w:r>
        <w:fldChar w:fldCharType="begin"/>
      </w:r>
      <w:r>
        <w:instrText xml:space="preserve"> PAGEREF _Toc449037315 \h </w:instrText>
      </w:r>
      <w:r>
        <w:fldChar w:fldCharType="separate"/>
      </w:r>
      <w:r>
        <w:t>- 130 -</w:t>
      </w:r>
      <w:r>
        <w:fldChar w:fldCharType="end"/>
      </w:r>
      <w:r>
        <w:fldChar w:fldCharType="end"/>
      </w:r>
    </w:p>
    <w:p w14:paraId="38D8B777">
      <w:pPr>
        <w:pStyle w:val="2"/>
        <w:spacing w:before="0" w:after="0" w:line="480" w:lineRule="auto"/>
        <w:jc w:val="center"/>
        <w:rPr>
          <w:rFonts w:ascii="Calibri" w:hAnsi="Calibri" w:eastAsia="仿宋_GB2312"/>
          <w:sz w:val="28"/>
          <w:szCs w:val="28"/>
        </w:rPr>
      </w:pPr>
      <w:r>
        <w:rPr>
          <w:rFonts w:eastAsia="仿宋_GB2312"/>
          <w:b w:val="0"/>
          <w:bCs w:val="0"/>
          <w:caps/>
          <w:sz w:val="28"/>
          <w:szCs w:val="28"/>
        </w:rPr>
        <w:fldChar w:fldCharType="end"/>
      </w:r>
    </w:p>
    <w:p w14:paraId="13BB6A4E"/>
    <w:p w14:paraId="6B13EFB0"/>
    <w:p w14:paraId="4D8699E5"/>
    <w:p w14:paraId="563F2E00"/>
    <w:p w14:paraId="08DE6F3E"/>
    <w:p w14:paraId="386AF46C"/>
    <w:p w14:paraId="433393F2"/>
    <w:p w14:paraId="5F8E0E8B"/>
    <w:p w14:paraId="27D0D13D"/>
    <w:p w14:paraId="645B9441"/>
    <w:p w14:paraId="21D45031"/>
    <w:p w14:paraId="4C7DAD8C"/>
    <w:p w14:paraId="0112C216">
      <w:pPr>
        <w:spacing w:line="620" w:lineRule="exact"/>
        <w:jc w:val="center"/>
        <w:rPr>
          <w:rFonts w:ascii="方正小标宋简体" w:eastAsia="方正小标宋简体"/>
          <w:kern w:val="0"/>
          <w:sz w:val="44"/>
          <w:szCs w:val="44"/>
        </w:rPr>
      </w:pPr>
      <w:r>
        <w:rPr>
          <w:rFonts w:hint="eastAsia" w:ascii="方正小标宋简体" w:eastAsia="方正小标宋简体" w:cs="方正小标宋简体"/>
          <w:kern w:val="0"/>
          <w:sz w:val="44"/>
          <w:szCs w:val="44"/>
        </w:rPr>
        <w:t>池州市贵池区国民经济和社会发展</w:t>
      </w:r>
    </w:p>
    <w:p w14:paraId="41BA0314">
      <w:pPr>
        <w:spacing w:line="620" w:lineRule="exact"/>
        <w:jc w:val="center"/>
        <w:rPr>
          <w:rFonts w:ascii="方正小标宋简体" w:eastAsia="方正小标宋简体"/>
          <w:kern w:val="0"/>
          <w:sz w:val="44"/>
          <w:szCs w:val="44"/>
        </w:rPr>
      </w:pPr>
      <w:r>
        <w:rPr>
          <w:rFonts w:hint="eastAsia" w:ascii="方正小标宋简体" w:eastAsia="方正小标宋简体" w:cs="方正小标宋简体"/>
          <w:kern w:val="0"/>
          <w:sz w:val="44"/>
          <w:szCs w:val="44"/>
        </w:rPr>
        <w:t>第十三个五年规划纲要（草案）</w:t>
      </w:r>
    </w:p>
    <w:p w14:paraId="0CB69D9F">
      <w:pPr>
        <w:spacing w:line="620" w:lineRule="exact"/>
        <w:jc w:val="center"/>
        <w:rPr>
          <w:rFonts w:ascii="方正仿宋简体" w:hAnsi="仿宋" w:eastAsia="方正仿宋简体"/>
          <w:sz w:val="32"/>
          <w:szCs w:val="32"/>
        </w:rPr>
      </w:pPr>
    </w:p>
    <w:p w14:paraId="50D9764A">
      <w:pPr>
        <w:spacing w:line="62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“十三五”时期（</w:t>
      </w:r>
      <w:r>
        <w:rPr>
          <w:rFonts w:ascii="方正仿宋简体" w:hAnsi="仿宋" w:eastAsia="方正仿宋简体" w:cs="方正仿宋简体"/>
          <w:sz w:val="32"/>
          <w:szCs w:val="32"/>
        </w:rPr>
        <w:t>2016-2020</w:t>
      </w:r>
      <w:r>
        <w:rPr>
          <w:rFonts w:hint="eastAsia" w:ascii="方正仿宋简体" w:hAnsi="仿宋" w:eastAsia="方正仿宋简体" w:cs="方正仿宋简体"/>
          <w:sz w:val="32"/>
          <w:szCs w:val="32"/>
        </w:rPr>
        <w:t>年），是我区实现全面建成小康社会决胜期、全面深化改革关键期、调结构转方式促升级攻坚期。《池州市贵池区国民经济和社会发展第十三个五年规划纲要》，是根据《中共池州市贵池区委关于制定池州市贵池区国民经济和社会发展第十三个五年规划的建议》编制，主要阐述“十三五”期间国民经济和社会发展的指导思想、发展目标、主要任务和重大举措，是“十三五”期间发展蓝图和总体安排，是政府履行公共服务、市场监管、社会管理和环境保护职责的重要依据，是加快推进经济发展方式转变、引领全区人民共同奋斗的行动纲领。</w:t>
      </w:r>
    </w:p>
    <w:p w14:paraId="41A12E58">
      <w:pPr>
        <w:spacing w:line="620" w:lineRule="exact"/>
        <w:ind w:firstLine="640" w:firstLineChars="200"/>
        <w:rPr>
          <w:rFonts w:ascii="方正仿宋简体" w:hAnsi="仿宋" w:eastAsia="方正仿宋简体"/>
          <w:sz w:val="32"/>
          <w:szCs w:val="32"/>
        </w:rPr>
      </w:pPr>
    </w:p>
    <w:p w14:paraId="2C6228DF">
      <w:pPr>
        <w:spacing w:line="620" w:lineRule="exact"/>
        <w:ind w:firstLine="640" w:firstLineChars="200"/>
        <w:rPr>
          <w:rFonts w:ascii="方正仿宋简体" w:hAnsi="仿宋" w:eastAsia="方正仿宋简体"/>
          <w:sz w:val="32"/>
          <w:szCs w:val="32"/>
        </w:rPr>
      </w:pPr>
    </w:p>
    <w:p w14:paraId="4F146869">
      <w:pPr>
        <w:spacing w:line="620" w:lineRule="exact"/>
        <w:ind w:firstLine="640" w:firstLineChars="200"/>
        <w:rPr>
          <w:rFonts w:ascii="方正仿宋简体" w:hAnsi="仿宋" w:eastAsia="方正仿宋简体"/>
          <w:sz w:val="32"/>
          <w:szCs w:val="32"/>
        </w:rPr>
      </w:pPr>
    </w:p>
    <w:p w14:paraId="72D43608">
      <w:pPr>
        <w:spacing w:line="620" w:lineRule="exact"/>
        <w:ind w:firstLine="640" w:firstLineChars="200"/>
        <w:rPr>
          <w:rFonts w:ascii="方正仿宋简体" w:hAnsi="仿宋" w:eastAsia="方正仿宋简体"/>
          <w:sz w:val="32"/>
          <w:szCs w:val="32"/>
        </w:rPr>
      </w:pPr>
    </w:p>
    <w:p w14:paraId="47F92796">
      <w:pPr>
        <w:spacing w:line="620" w:lineRule="exact"/>
        <w:ind w:firstLine="640" w:firstLineChars="200"/>
        <w:rPr>
          <w:rFonts w:ascii="方正仿宋简体" w:hAnsi="仿宋" w:eastAsia="方正仿宋简体"/>
          <w:sz w:val="32"/>
          <w:szCs w:val="32"/>
        </w:rPr>
      </w:pPr>
    </w:p>
    <w:p w14:paraId="0060DCEF">
      <w:pPr>
        <w:spacing w:line="620" w:lineRule="exact"/>
        <w:ind w:firstLine="640" w:firstLineChars="200"/>
        <w:rPr>
          <w:rFonts w:ascii="方正仿宋简体" w:hAnsi="仿宋" w:eastAsia="方正仿宋简体"/>
          <w:sz w:val="32"/>
          <w:szCs w:val="32"/>
        </w:rPr>
      </w:pPr>
    </w:p>
    <w:p w14:paraId="026D708F">
      <w:pPr>
        <w:pStyle w:val="2"/>
        <w:spacing w:line="578" w:lineRule="auto"/>
        <w:jc w:val="center"/>
        <w:rPr>
          <w:rFonts w:ascii="方正小标宋简体" w:eastAsia="方正小标宋简体"/>
          <w:b w:val="0"/>
          <w:bCs w:val="0"/>
        </w:rPr>
      </w:pPr>
      <w:bookmarkStart w:id="0" w:name="_Toc449037202"/>
      <w:bookmarkStart w:id="1" w:name="_Toc432670923"/>
      <w:r>
        <w:rPr>
          <w:rFonts w:hint="eastAsia" w:ascii="方正小标宋简体" w:eastAsia="方正小标宋简体" w:cs="方正小标宋简体"/>
          <w:b w:val="0"/>
          <w:bCs w:val="0"/>
        </w:rPr>
        <w:t>第一篇</w:t>
      </w:r>
      <w:r>
        <w:rPr>
          <w:rFonts w:ascii="方正小标宋简体" w:eastAsia="方正小标宋简体" w:cs="方正小标宋简体"/>
          <w:b w:val="0"/>
          <w:bCs w:val="0"/>
        </w:rPr>
        <w:t xml:space="preserve">  </w:t>
      </w:r>
      <w:r>
        <w:rPr>
          <w:rFonts w:hint="eastAsia" w:ascii="方正小标宋简体" w:eastAsia="方正小标宋简体" w:cs="方正小标宋简体"/>
          <w:b w:val="0"/>
          <w:bCs w:val="0"/>
        </w:rPr>
        <w:t>全面建成小康社会决胜阶段的形势和指导思想</w:t>
      </w:r>
      <w:bookmarkEnd w:id="0"/>
    </w:p>
    <w:p w14:paraId="1FF6F87C">
      <w:pPr>
        <w:pStyle w:val="3"/>
        <w:spacing w:after="120" w:line="480" w:lineRule="auto"/>
        <w:ind w:firstLine="640" w:firstLineChars="200"/>
        <w:jc w:val="left"/>
        <w:rPr>
          <w:rFonts w:ascii="方正黑体简体" w:eastAsia="方正黑体简体" w:cs="Times New Roman"/>
          <w:b w:val="0"/>
          <w:bCs w:val="0"/>
        </w:rPr>
      </w:pPr>
      <w:bookmarkStart w:id="2" w:name="_Toc449037203"/>
      <w:r>
        <w:rPr>
          <w:rFonts w:hint="eastAsia" w:ascii="方正黑体简体" w:eastAsia="方正黑体简体" w:cs="方正黑体简体"/>
          <w:b w:val="0"/>
          <w:bCs w:val="0"/>
        </w:rPr>
        <w:t>第一章</w:t>
      </w:r>
      <w:r>
        <w:rPr>
          <w:rFonts w:ascii="方正黑体简体" w:eastAsia="方正黑体简体" w:cs="方正黑体简体"/>
          <w:b w:val="0"/>
          <w:bCs w:val="0"/>
        </w:rPr>
        <w:t xml:space="preserve"> </w:t>
      </w:r>
      <w:r>
        <w:rPr>
          <w:rFonts w:hint="eastAsia" w:ascii="方正黑体简体" w:eastAsia="方正黑体简体" w:cs="方正黑体简体"/>
          <w:b w:val="0"/>
          <w:bCs w:val="0"/>
        </w:rPr>
        <w:t>发展基础和形势</w:t>
      </w:r>
      <w:bookmarkEnd w:id="2"/>
    </w:p>
    <w:p w14:paraId="608DAEC4">
      <w:pPr>
        <w:pStyle w:val="4"/>
        <w:spacing w:after="60" w:line="480" w:lineRule="auto"/>
        <w:ind w:firstLine="643" w:firstLineChars="200"/>
        <w:jc w:val="left"/>
        <w:rPr>
          <w:rFonts w:ascii="方正仿宋简体" w:eastAsia="方正仿宋简体"/>
        </w:rPr>
      </w:pPr>
      <w:bookmarkStart w:id="3" w:name="_Toc432405428"/>
      <w:bookmarkStart w:id="4" w:name="_Toc433099752"/>
      <w:bookmarkStart w:id="5" w:name="_Toc449037204"/>
      <w:bookmarkStart w:id="6" w:name="_Toc435189512"/>
      <w:r>
        <w:rPr>
          <w:rFonts w:hint="eastAsia" w:ascii="方正仿宋简体" w:eastAsia="方正仿宋简体" w:cs="方正仿宋简体"/>
        </w:rPr>
        <w:t>第一节</w:t>
      </w:r>
      <w:r>
        <w:rPr>
          <w:rFonts w:ascii="方正仿宋简体" w:eastAsia="方正仿宋简体" w:cs="方正仿宋简体"/>
        </w:rPr>
        <w:t xml:space="preserve"> </w:t>
      </w:r>
      <w:bookmarkEnd w:id="3"/>
      <w:bookmarkEnd w:id="4"/>
      <w:r>
        <w:rPr>
          <w:rFonts w:hint="eastAsia" w:ascii="方正仿宋简体" w:eastAsia="方正仿宋简体" w:cs="方正仿宋简体"/>
        </w:rPr>
        <w:t>“十二五”发展成就</w:t>
      </w:r>
      <w:bookmarkEnd w:id="5"/>
      <w:bookmarkEnd w:id="6"/>
    </w:p>
    <w:bookmarkEnd w:id="1"/>
    <w:p w14:paraId="4092624C">
      <w:pPr>
        <w:spacing w:line="62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十二五”时期，在市委、市政府的坚强领导下，全区人民坚持以科学发展观为指导，认真贯彻落实党的十八大和十八届三中、四中、五中全会和习近平总书记系列重要讲话精神，积极应对经济下行挑战，统筹做好稳增长、促改革、调结构、惠民生、防风险各项工作，紧紧围绕“稳中求进、进中求快、快中求好”的总体思路，攻坚克难，努力拼搏，全区经济保持平稳较快增长，社会大局和谐稳定，完成了“十二五”规划主要目标任务，“首善之区”建设迈出坚实步伐，为“十三五”发展奠定了良好基础。</w:t>
      </w:r>
    </w:p>
    <w:p w14:paraId="22043C1E">
      <w:pPr>
        <w:spacing w:line="600" w:lineRule="exact"/>
        <w:ind w:firstLine="602" w:firstLineChars="200"/>
        <w:rPr>
          <w:rFonts w:ascii="方正仿宋简体" w:hAnsi="仿宋" w:eastAsia="方正仿宋简体"/>
          <w:sz w:val="32"/>
          <w:szCs w:val="32"/>
        </w:rPr>
      </w:pPr>
      <w:r>
        <w:rPr>
          <w:rFonts w:hint="eastAsia" w:ascii="方正楷体简体" w:hAnsi="仿宋" w:eastAsia="方正楷体简体" w:cs="方正楷体简体"/>
          <w:b/>
          <w:bCs/>
          <w:sz w:val="30"/>
          <w:szCs w:val="30"/>
        </w:rPr>
        <w:t>经济总量跨上新台阶。</w:t>
      </w:r>
      <w:r>
        <w:rPr>
          <w:rFonts w:hint="eastAsia" w:ascii="方正仿宋简体" w:hAnsi="仿宋" w:eastAsia="方正仿宋简体" w:cs="方正仿宋简体"/>
          <w:sz w:val="32"/>
          <w:szCs w:val="32"/>
        </w:rPr>
        <w:t>生产总值达到</w:t>
      </w:r>
      <w:r>
        <w:rPr>
          <w:rFonts w:ascii="方正仿宋简体" w:hAnsi="仿宋" w:eastAsia="方正仿宋简体" w:cs="方正仿宋简体"/>
          <w:sz w:val="32"/>
          <w:szCs w:val="32"/>
        </w:rPr>
        <w:t>235</w:t>
      </w:r>
      <w:r>
        <w:rPr>
          <w:rFonts w:hint="eastAsia" w:ascii="方正仿宋简体" w:hAnsi="仿宋" w:eastAsia="方正仿宋简体" w:cs="方正仿宋简体"/>
          <w:sz w:val="32"/>
          <w:szCs w:val="32"/>
        </w:rPr>
        <w:t>亿元，年均增长</w:t>
      </w:r>
      <w:r>
        <w:rPr>
          <w:rFonts w:ascii="方正仿宋简体" w:hAnsi="仿宋" w:eastAsia="方正仿宋简体" w:cs="方正仿宋简体"/>
          <w:sz w:val="32"/>
          <w:szCs w:val="32"/>
        </w:rPr>
        <w:t>10.6%</w:t>
      </w:r>
      <w:r>
        <w:rPr>
          <w:rFonts w:hint="eastAsia" w:ascii="方正仿宋简体" w:hAnsi="仿宋" w:eastAsia="方正仿宋简体" w:cs="方正仿宋简体"/>
          <w:sz w:val="32"/>
          <w:szCs w:val="32"/>
        </w:rPr>
        <w:t>；财政收入达到</w:t>
      </w:r>
      <w:r>
        <w:rPr>
          <w:rFonts w:ascii="方正仿宋简体" w:hAnsi="仿宋" w:eastAsia="方正仿宋简体" w:cs="方正仿宋简体"/>
          <w:sz w:val="32"/>
          <w:szCs w:val="32"/>
        </w:rPr>
        <w:t>25.5</w:t>
      </w:r>
      <w:r>
        <w:rPr>
          <w:rFonts w:hint="eastAsia" w:ascii="方正仿宋简体" w:hAnsi="仿宋" w:eastAsia="方正仿宋简体" w:cs="方正仿宋简体"/>
          <w:sz w:val="32"/>
          <w:szCs w:val="32"/>
        </w:rPr>
        <w:t>亿元，年均增长</w:t>
      </w:r>
      <w:r>
        <w:rPr>
          <w:rFonts w:ascii="方正仿宋简体" w:hAnsi="仿宋" w:eastAsia="方正仿宋简体" w:cs="方正仿宋简体"/>
          <w:sz w:val="32"/>
          <w:szCs w:val="32"/>
        </w:rPr>
        <w:t>20.6%</w:t>
      </w:r>
      <w:r>
        <w:rPr>
          <w:rFonts w:hint="eastAsia" w:ascii="方正仿宋简体" w:hAnsi="仿宋" w:eastAsia="方正仿宋简体" w:cs="方正仿宋简体"/>
          <w:sz w:val="32"/>
          <w:szCs w:val="32"/>
        </w:rPr>
        <w:t>；全社会固定资产投资五年累计突破</w:t>
      </w:r>
      <w:r>
        <w:rPr>
          <w:rFonts w:ascii="方正仿宋简体" w:hAnsi="仿宋" w:eastAsia="方正仿宋简体" w:cs="方正仿宋简体"/>
          <w:sz w:val="32"/>
          <w:szCs w:val="32"/>
        </w:rPr>
        <w:t>750</w:t>
      </w:r>
      <w:r>
        <w:rPr>
          <w:rFonts w:hint="eastAsia" w:ascii="方正仿宋简体" w:hAnsi="仿宋" w:eastAsia="方正仿宋简体" w:cs="方正仿宋简体"/>
          <w:sz w:val="32"/>
          <w:szCs w:val="32"/>
        </w:rPr>
        <w:t>亿元，年均增长</w:t>
      </w:r>
      <w:r>
        <w:rPr>
          <w:rFonts w:ascii="方正仿宋简体" w:hAnsi="仿宋" w:eastAsia="方正仿宋简体" w:cs="方正仿宋简体"/>
          <w:sz w:val="32"/>
          <w:szCs w:val="32"/>
        </w:rPr>
        <w:t>22.3%</w:t>
      </w:r>
      <w:r>
        <w:rPr>
          <w:rFonts w:hint="eastAsia" w:ascii="方正仿宋简体" w:hAnsi="仿宋" w:eastAsia="方正仿宋简体" w:cs="方正仿宋简体"/>
          <w:sz w:val="32"/>
          <w:szCs w:val="32"/>
        </w:rPr>
        <w:t>；第三产业增加值突破</w:t>
      </w:r>
      <w:r>
        <w:rPr>
          <w:rFonts w:ascii="方正仿宋简体" w:hAnsi="仿宋" w:eastAsia="方正仿宋简体" w:cs="方正仿宋简体"/>
          <w:sz w:val="32"/>
          <w:szCs w:val="32"/>
        </w:rPr>
        <w:t>100</w:t>
      </w:r>
      <w:r>
        <w:rPr>
          <w:rFonts w:hint="eastAsia" w:ascii="方正仿宋简体" w:hAnsi="仿宋" w:eastAsia="方正仿宋简体" w:cs="方正仿宋简体"/>
          <w:sz w:val="32"/>
          <w:szCs w:val="32"/>
        </w:rPr>
        <w:t>亿元，年均增长</w:t>
      </w:r>
      <w:r>
        <w:rPr>
          <w:rFonts w:ascii="方正仿宋简体" w:hAnsi="仿宋" w:eastAsia="方正仿宋简体" w:cs="方正仿宋简体"/>
          <w:sz w:val="32"/>
          <w:szCs w:val="32"/>
        </w:rPr>
        <w:t>9.5%</w:t>
      </w:r>
      <w:r>
        <w:rPr>
          <w:rFonts w:hint="eastAsia" w:ascii="方正仿宋简体" w:hAnsi="仿宋" w:eastAsia="方正仿宋简体" w:cs="方正仿宋简体"/>
          <w:sz w:val="32"/>
          <w:szCs w:val="32"/>
        </w:rPr>
        <w:t>。</w:t>
      </w:r>
      <w:r>
        <w:rPr>
          <w:rFonts w:hint="eastAsia" w:ascii="仿宋_GB2312" w:eastAsia="方正仿宋简体" w:cs="方正仿宋简体"/>
          <w:sz w:val="32"/>
          <w:szCs w:val="32"/>
        </w:rPr>
        <w:t>人均生产总值由</w:t>
      </w:r>
      <w:r>
        <w:rPr>
          <w:rFonts w:ascii="仿宋_GB2312" w:eastAsia="方正仿宋简体" w:cs="仿宋_GB2312"/>
          <w:color w:val="000000"/>
          <w:sz w:val="32"/>
          <w:szCs w:val="32"/>
        </w:rPr>
        <w:t>20711</w:t>
      </w:r>
      <w:r>
        <w:rPr>
          <w:rFonts w:hint="eastAsia" w:ascii="仿宋_GB2312" w:eastAsia="方正仿宋简体" w:cs="方正仿宋简体"/>
          <w:color w:val="000000"/>
          <w:sz w:val="32"/>
          <w:szCs w:val="32"/>
        </w:rPr>
        <w:t>元提高到</w:t>
      </w:r>
      <w:r>
        <w:rPr>
          <w:rFonts w:ascii="仿宋_GB2312" w:eastAsia="方正仿宋简体" w:cs="仿宋_GB2312"/>
          <w:color w:val="000000"/>
          <w:sz w:val="32"/>
          <w:szCs w:val="32"/>
        </w:rPr>
        <w:t>36600</w:t>
      </w:r>
      <w:r>
        <w:rPr>
          <w:rFonts w:hint="eastAsia" w:ascii="仿宋_GB2312" w:eastAsia="方正仿宋简体" w:cs="方正仿宋简体"/>
          <w:color w:val="000000"/>
          <w:sz w:val="32"/>
          <w:szCs w:val="32"/>
        </w:rPr>
        <w:t>元，超过全市的平均水平</w:t>
      </w:r>
      <w:r>
        <w:rPr>
          <w:rFonts w:hint="eastAsia" w:ascii="仿宋_GB2312" w:eastAsia="方正仿宋简体" w:cs="方正仿宋简体"/>
          <w:sz w:val="32"/>
          <w:szCs w:val="32"/>
        </w:rPr>
        <w:t>。</w:t>
      </w:r>
      <w:r>
        <w:rPr>
          <w:rFonts w:hint="eastAsia" w:ascii="方正仿宋简体" w:hAnsi="仿宋" w:eastAsia="方正仿宋简体" w:cs="方正仿宋简体"/>
          <w:sz w:val="32"/>
          <w:szCs w:val="32"/>
        </w:rPr>
        <w:t>外贸进出口总额、规模工业增加值、财政收入、全社会固定资产投资均实现翻番。</w:t>
      </w:r>
    </w:p>
    <w:p w14:paraId="1AAB0969">
      <w:pPr>
        <w:spacing w:line="600" w:lineRule="exact"/>
        <w:ind w:firstLine="602" w:firstLineChars="200"/>
        <w:rPr>
          <w:rFonts w:ascii="方正仿宋简体" w:hAnsi="仿宋" w:eastAsia="方正仿宋简体"/>
          <w:sz w:val="32"/>
          <w:szCs w:val="32"/>
        </w:rPr>
      </w:pPr>
      <w:r>
        <w:rPr>
          <w:rFonts w:hint="eastAsia" w:ascii="方正楷体简体" w:hAnsi="仿宋" w:eastAsia="方正楷体简体" w:cs="方正楷体简体"/>
          <w:b/>
          <w:bCs/>
          <w:sz w:val="30"/>
          <w:szCs w:val="30"/>
        </w:rPr>
        <w:t>结构调整取得新成效。</w:t>
      </w:r>
      <w:r>
        <w:rPr>
          <w:rFonts w:hint="eastAsia" w:ascii="方正仿宋简体" w:hAnsi="仿宋" w:eastAsia="方正仿宋简体" w:cs="方正仿宋简体"/>
          <w:sz w:val="32"/>
          <w:szCs w:val="32"/>
        </w:rPr>
        <w:t>三次产业结构比例由“十一五”末的</w:t>
      </w:r>
      <w:r>
        <w:rPr>
          <w:rFonts w:ascii="方正仿宋简体" w:hAnsi="仿宋" w:eastAsia="方正仿宋简体" w:cs="方正仿宋简体"/>
          <w:sz w:val="32"/>
          <w:szCs w:val="32"/>
        </w:rPr>
        <w:t>13.8</w:t>
      </w:r>
      <w:r>
        <w:rPr>
          <w:rFonts w:hint="eastAsia" w:ascii="方正仿宋简体" w:hAnsi="仿宋" w:eastAsia="方正仿宋简体" w:cs="方正仿宋简体"/>
          <w:sz w:val="32"/>
          <w:szCs w:val="32"/>
        </w:rPr>
        <w:t>：</w:t>
      </w:r>
      <w:r>
        <w:rPr>
          <w:rFonts w:ascii="方正仿宋简体" w:hAnsi="仿宋" w:eastAsia="方正仿宋简体" w:cs="方正仿宋简体"/>
          <w:sz w:val="32"/>
          <w:szCs w:val="32"/>
        </w:rPr>
        <w:t>45.6</w:t>
      </w:r>
      <w:r>
        <w:rPr>
          <w:rFonts w:hint="eastAsia" w:ascii="方正仿宋简体" w:hAnsi="仿宋" w:eastAsia="方正仿宋简体" w:cs="方正仿宋简体"/>
          <w:sz w:val="32"/>
          <w:szCs w:val="32"/>
        </w:rPr>
        <w:t>：</w:t>
      </w:r>
      <w:r>
        <w:rPr>
          <w:rFonts w:ascii="方正仿宋简体" w:hAnsi="仿宋" w:eastAsia="方正仿宋简体" w:cs="方正仿宋简体"/>
          <w:sz w:val="32"/>
          <w:szCs w:val="32"/>
        </w:rPr>
        <w:t>40.6</w:t>
      </w:r>
      <w:r>
        <w:rPr>
          <w:rFonts w:hint="eastAsia" w:ascii="方正仿宋简体" w:hAnsi="仿宋" w:eastAsia="方正仿宋简体" w:cs="方正仿宋简体"/>
          <w:sz w:val="32"/>
          <w:szCs w:val="32"/>
        </w:rPr>
        <w:t>优化为</w:t>
      </w:r>
      <w:r>
        <w:rPr>
          <w:rFonts w:ascii="方正仿宋简体" w:hAnsi="仿宋" w:eastAsia="方正仿宋简体" w:cs="方正仿宋简体"/>
          <w:sz w:val="32"/>
          <w:szCs w:val="32"/>
        </w:rPr>
        <w:t>12.1</w:t>
      </w:r>
      <w:r>
        <w:rPr>
          <w:rFonts w:hint="eastAsia" w:ascii="方正仿宋简体" w:hAnsi="仿宋" w:eastAsia="方正仿宋简体" w:cs="方正仿宋简体"/>
          <w:sz w:val="32"/>
          <w:szCs w:val="32"/>
        </w:rPr>
        <w:t>∶</w:t>
      </w:r>
      <w:r>
        <w:rPr>
          <w:rFonts w:ascii="方正仿宋简体" w:hAnsi="仿宋" w:eastAsia="方正仿宋简体" w:cs="方正仿宋简体"/>
          <w:sz w:val="32"/>
          <w:szCs w:val="32"/>
        </w:rPr>
        <w:t>44.6</w:t>
      </w:r>
      <w:r>
        <w:rPr>
          <w:rFonts w:hint="eastAsia" w:ascii="方正仿宋简体" w:hAnsi="仿宋" w:eastAsia="方正仿宋简体" w:cs="方正仿宋简体"/>
          <w:sz w:val="32"/>
          <w:szCs w:val="32"/>
        </w:rPr>
        <w:t>∶</w:t>
      </w:r>
      <w:r>
        <w:rPr>
          <w:rFonts w:ascii="方正仿宋简体" w:hAnsi="仿宋" w:eastAsia="方正仿宋简体" w:cs="方正仿宋简体"/>
          <w:sz w:val="32"/>
          <w:szCs w:val="32"/>
        </w:rPr>
        <w:t>43.3</w:t>
      </w:r>
      <w:r>
        <w:rPr>
          <w:rFonts w:hint="eastAsia" w:ascii="方正仿宋简体" w:hAnsi="仿宋" w:eastAsia="方正仿宋简体" w:cs="方正仿宋简体"/>
          <w:sz w:val="32"/>
          <w:szCs w:val="32"/>
        </w:rPr>
        <w:t>。工业经济不断壮大，</w:t>
      </w:r>
      <w:r>
        <w:rPr>
          <w:rFonts w:hint="eastAsia" w:ascii="仿宋_GB2312" w:hAnsi="方正楷体简体" w:eastAsia="方正仿宋简体" w:cs="方正仿宋简体"/>
          <w:color w:val="000000"/>
          <w:sz w:val="32"/>
          <w:szCs w:val="32"/>
        </w:rPr>
        <w:t>规模工业企业总数达</w:t>
      </w:r>
      <w:r>
        <w:rPr>
          <w:rFonts w:ascii="仿宋_GB2312" w:hAnsi="方正楷体简体" w:eastAsia="方正仿宋简体" w:cs="仿宋_GB2312"/>
          <w:color w:val="000000"/>
          <w:sz w:val="32"/>
          <w:szCs w:val="32"/>
        </w:rPr>
        <w:t>156</w:t>
      </w:r>
      <w:r>
        <w:rPr>
          <w:rFonts w:hint="eastAsia" w:ascii="仿宋_GB2312" w:hAnsi="方正楷体简体" w:eastAsia="方正仿宋简体" w:cs="方正仿宋简体"/>
          <w:color w:val="000000"/>
          <w:sz w:val="32"/>
          <w:szCs w:val="32"/>
        </w:rPr>
        <w:t>家，其中销售收入过亿元</w:t>
      </w:r>
      <w:r>
        <w:rPr>
          <w:rFonts w:ascii="仿宋_GB2312" w:hAnsi="方正楷体简体" w:eastAsia="方正仿宋简体" w:cs="仿宋_GB2312"/>
          <w:color w:val="000000"/>
          <w:sz w:val="32"/>
          <w:szCs w:val="32"/>
        </w:rPr>
        <w:t>41</w:t>
      </w:r>
      <w:r>
        <w:rPr>
          <w:rFonts w:hint="eastAsia" w:ascii="仿宋_GB2312" w:hAnsi="方正楷体简体" w:eastAsia="方正仿宋简体" w:cs="方正仿宋简体"/>
          <w:color w:val="000000"/>
          <w:sz w:val="32"/>
          <w:szCs w:val="32"/>
        </w:rPr>
        <w:t>家，超</w:t>
      </w:r>
      <w:r>
        <w:rPr>
          <w:rFonts w:ascii="仿宋_GB2312" w:hAnsi="方正楷体简体" w:eastAsia="方正仿宋简体" w:cs="仿宋_GB2312"/>
          <w:color w:val="000000"/>
          <w:sz w:val="32"/>
          <w:szCs w:val="32"/>
        </w:rPr>
        <w:t>10</w:t>
      </w:r>
      <w:r>
        <w:rPr>
          <w:rFonts w:hint="eastAsia" w:ascii="仿宋_GB2312" w:hAnsi="方正楷体简体" w:eastAsia="方正仿宋简体" w:cs="方正仿宋简体"/>
          <w:color w:val="000000"/>
          <w:sz w:val="32"/>
          <w:szCs w:val="32"/>
        </w:rPr>
        <w:t>亿元</w:t>
      </w:r>
      <w:r>
        <w:rPr>
          <w:rFonts w:ascii="仿宋_GB2312" w:hAnsi="方正楷体简体" w:eastAsia="方正仿宋简体" w:cs="仿宋_GB2312"/>
          <w:color w:val="000000"/>
          <w:sz w:val="32"/>
          <w:szCs w:val="32"/>
        </w:rPr>
        <w:t>3</w:t>
      </w:r>
      <w:r>
        <w:rPr>
          <w:rFonts w:hint="eastAsia" w:ascii="仿宋_GB2312" w:hAnsi="方正楷体简体" w:eastAsia="方正仿宋简体" w:cs="方正仿宋简体"/>
          <w:color w:val="000000"/>
          <w:sz w:val="32"/>
          <w:szCs w:val="32"/>
        </w:rPr>
        <w:t>家，工业化率比“十一五”末提升</w:t>
      </w:r>
      <w:r>
        <w:rPr>
          <w:rFonts w:ascii="仿宋_GB2312" w:hAnsi="方正楷体简体" w:eastAsia="方正仿宋简体" w:cs="仿宋_GB2312"/>
          <w:color w:val="000000"/>
          <w:sz w:val="32"/>
          <w:szCs w:val="32"/>
        </w:rPr>
        <w:t>2</w:t>
      </w:r>
      <w:r>
        <w:rPr>
          <w:rFonts w:hint="eastAsia" w:ascii="仿宋_GB2312" w:hAnsi="方正楷体简体" w:eastAsia="方正仿宋简体" w:cs="方正仿宋简体"/>
          <w:color w:val="000000"/>
          <w:sz w:val="32"/>
          <w:szCs w:val="32"/>
        </w:rPr>
        <w:t>个百分点</w:t>
      </w:r>
      <w:r>
        <w:rPr>
          <w:rFonts w:hint="eastAsia" w:ascii="方正仿宋简体" w:hAnsi="仿宋" w:eastAsia="方正仿宋简体" w:cs="方正仿宋简体"/>
          <w:sz w:val="32"/>
          <w:szCs w:val="32"/>
        </w:rPr>
        <w:t>。科技创新引领作用更加凸显，高新技术产业快速成长，</w:t>
      </w:r>
      <w:r>
        <w:rPr>
          <w:rFonts w:hint="eastAsia" w:ascii="仿宋_GB2312" w:hAnsi="方正楷体简体" w:eastAsia="方正仿宋简体" w:cs="方正仿宋简体"/>
          <w:color w:val="000000"/>
          <w:sz w:val="32"/>
          <w:szCs w:val="32"/>
        </w:rPr>
        <w:t>认定高新技术企业</w:t>
      </w:r>
      <w:r>
        <w:rPr>
          <w:rFonts w:ascii="仿宋_GB2312" w:hAnsi="方正楷体简体" w:eastAsia="方正仿宋简体" w:cs="仿宋_GB2312"/>
          <w:color w:val="000000"/>
          <w:sz w:val="32"/>
          <w:szCs w:val="32"/>
        </w:rPr>
        <w:t>19</w:t>
      </w:r>
      <w:r>
        <w:rPr>
          <w:rFonts w:hint="eastAsia" w:ascii="仿宋_GB2312" w:hAnsi="方正楷体简体" w:eastAsia="方正仿宋简体" w:cs="方正仿宋简体"/>
          <w:color w:val="000000"/>
          <w:sz w:val="32"/>
          <w:szCs w:val="32"/>
        </w:rPr>
        <w:t>家、省级高新技术产品</w:t>
      </w:r>
      <w:r>
        <w:rPr>
          <w:rFonts w:ascii="仿宋_GB2312" w:hAnsi="方正楷体简体" w:eastAsia="方正仿宋简体" w:cs="仿宋_GB2312"/>
          <w:color w:val="000000"/>
          <w:sz w:val="32"/>
          <w:szCs w:val="32"/>
        </w:rPr>
        <w:t>120</w:t>
      </w:r>
      <w:r>
        <w:rPr>
          <w:rFonts w:hint="eastAsia" w:ascii="仿宋_GB2312" w:hAnsi="方正楷体简体" w:eastAsia="方正仿宋简体" w:cs="方正仿宋简体"/>
          <w:color w:val="000000"/>
          <w:sz w:val="32"/>
          <w:szCs w:val="32"/>
        </w:rPr>
        <w:t>项，高新技术产业产值达</w:t>
      </w:r>
      <w:r>
        <w:rPr>
          <w:rFonts w:ascii="仿宋_GB2312" w:hAnsi="方正楷体简体" w:eastAsia="方正仿宋简体" w:cs="仿宋_GB2312"/>
          <w:color w:val="000000"/>
          <w:sz w:val="32"/>
          <w:szCs w:val="32"/>
        </w:rPr>
        <w:t>70</w:t>
      </w:r>
      <w:r>
        <w:rPr>
          <w:rFonts w:hint="eastAsia" w:ascii="仿宋_GB2312" w:hAnsi="方正楷体简体" w:eastAsia="方正仿宋简体" w:cs="方正仿宋简体"/>
          <w:color w:val="000000"/>
          <w:sz w:val="32"/>
          <w:szCs w:val="32"/>
        </w:rPr>
        <w:t>亿元</w:t>
      </w:r>
      <w:r>
        <w:rPr>
          <w:rFonts w:hint="eastAsia" w:ascii="方正仿宋简体" w:hAnsi="仿宋" w:eastAsia="方正仿宋简体" w:cs="方正仿宋简体"/>
          <w:sz w:val="32"/>
          <w:szCs w:val="32"/>
        </w:rPr>
        <w:t>。农业规模经营加速，新型经营主体比重明显提高，全区培育省级龙头企业</w:t>
      </w:r>
      <w:r>
        <w:rPr>
          <w:rFonts w:ascii="方正仿宋简体" w:hAnsi="仿宋" w:eastAsia="方正仿宋简体" w:cs="方正仿宋简体"/>
          <w:sz w:val="32"/>
          <w:szCs w:val="32"/>
        </w:rPr>
        <w:t>14</w:t>
      </w:r>
      <w:r>
        <w:rPr>
          <w:rFonts w:hint="eastAsia" w:ascii="方正仿宋简体" w:hAnsi="仿宋" w:eastAsia="方正仿宋简体" w:cs="方正仿宋简体"/>
          <w:sz w:val="32"/>
          <w:szCs w:val="32"/>
        </w:rPr>
        <w:t>家、市级</w:t>
      </w:r>
      <w:r>
        <w:rPr>
          <w:rFonts w:ascii="方正仿宋简体" w:hAnsi="仿宋" w:eastAsia="方正仿宋简体" w:cs="方正仿宋简体"/>
          <w:sz w:val="32"/>
          <w:szCs w:val="32"/>
        </w:rPr>
        <w:t>55</w:t>
      </w:r>
      <w:r>
        <w:rPr>
          <w:rFonts w:hint="eastAsia" w:ascii="方正仿宋简体" w:hAnsi="仿宋" w:eastAsia="方正仿宋简体" w:cs="方正仿宋简体"/>
          <w:sz w:val="32"/>
          <w:szCs w:val="32"/>
        </w:rPr>
        <w:t>家，农民专业合作社</w:t>
      </w:r>
      <w:r>
        <w:rPr>
          <w:rFonts w:ascii="方正仿宋简体" w:hAnsi="仿宋" w:eastAsia="方正仿宋简体" w:cs="方正仿宋简体"/>
          <w:sz w:val="32"/>
          <w:szCs w:val="32"/>
        </w:rPr>
        <w:t>410</w:t>
      </w:r>
      <w:r>
        <w:rPr>
          <w:rFonts w:hint="eastAsia" w:ascii="方正仿宋简体" w:hAnsi="仿宋" w:eastAsia="方正仿宋简体" w:cs="方正仿宋简体"/>
          <w:sz w:val="32"/>
          <w:szCs w:val="32"/>
        </w:rPr>
        <w:t>家，家庭农场</w:t>
      </w:r>
      <w:r>
        <w:rPr>
          <w:rFonts w:ascii="方正仿宋简体" w:hAnsi="仿宋" w:eastAsia="方正仿宋简体" w:cs="方正仿宋简体"/>
          <w:sz w:val="32"/>
          <w:szCs w:val="32"/>
        </w:rPr>
        <w:t>332</w:t>
      </w:r>
      <w:r>
        <w:rPr>
          <w:rFonts w:hint="eastAsia" w:ascii="方正仿宋简体" w:hAnsi="仿宋" w:eastAsia="方正仿宋简体" w:cs="方正仿宋简体"/>
          <w:sz w:val="32"/>
          <w:szCs w:val="32"/>
        </w:rPr>
        <w:t>家；培育新型职业农民</w:t>
      </w:r>
      <w:r>
        <w:rPr>
          <w:rFonts w:ascii="方正仿宋简体" w:hAnsi="仿宋" w:eastAsia="方正仿宋简体" w:cs="方正仿宋简体"/>
          <w:sz w:val="32"/>
          <w:szCs w:val="32"/>
        </w:rPr>
        <w:t>400</w:t>
      </w:r>
      <w:r>
        <w:rPr>
          <w:rFonts w:hint="eastAsia" w:ascii="方正仿宋简体" w:hAnsi="仿宋" w:eastAsia="方正仿宋简体" w:cs="方正仿宋简体"/>
          <w:sz w:val="32"/>
          <w:szCs w:val="32"/>
        </w:rPr>
        <w:t>名；粮食总产量稳定在</w:t>
      </w:r>
      <w:r>
        <w:rPr>
          <w:rFonts w:ascii="方正仿宋简体" w:hAnsi="仿宋" w:eastAsia="方正仿宋简体" w:cs="方正仿宋简体"/>
          <w:sz w:val="32"/>
          <w:szCs w:val="32"/>
        </w:rPr>
        <w:t>30</w:t>
      </w:r>
      <w:r>
        <w:rPr>
          <w:rFonts w:hint="eastAsia" w:ascii="方正仿宋简体" w:hAnsi="仿宋" w:eastAsia="方正仿宋简体" w:cs="方正仿宋简体"/>
          <w:sz w:val="32"/>
          <w:szCs w:val="32"/>
        </w:rPr>
        <w:t>万吨左右。旅游特色经济发展动力明显增强，旅游经济日益成为带动现代服务业升级的强劲引擎，</w:t>
      </w:r>
      <w:r>
        <w:rPr>
          <w:rFonts w:ascii="方正仿宋简体" w:hAnsi="仿宋" w:eastAsia="方正仿宋简体" w:cs="方正仿宋简体"/>
          <w:sz w:val="32"/>
          <w:szCs w:val="32"/>
        </w:rPr>
        <w:t>2015</w:t>
      </w:r>
      <w:r>
        <w:rPr>
          <w:rFonts w:hint="eastAsia" w:ascii="方正仿宋简体" w:hAnsi="仿宋" w:eastAsia="方正仿宋简体" w:cs="方正仿宋简体"/>
          <w:sz w:val="32"/>
          <w:szCs w:val="32"/>
        </w:rPr>
        <w:t>年接待国内外游客、实现旅游总收入分别是“十一五”末的</w:t>
      </w:r>
      <w:r>
        <w:rPr>
          <w:rFonts w:ascii="方正仿宋简体" w:hAnsi="仿宋" w:eastAsia="方正仿宋简体" w:cs="方正仿宋简体"/>
          <w:sz w:val="32"/>
          <w:szCs w:val="32"/>
        </w:rPr>
        <w:t>3.1</w:t>
      </w:r>
      <w:r>
        <w:rPr>
          <w:rFonts w:hint="eastAsia" w:ascii="方正仿宋简体" w:hAnsi="仿宋" w:eastAsia="方正仿宋简体" w:cs="方正仿宋简体"/>
          <w:sz w:val="32"/>
          <w:szCs w:val="32"/>
        </w:rPr>
        <w:t>倍、</w:t>
      </w:r>
      <w:r>
        <w:rPr>
          <w:rFonts w:ascii="方正仿宋简体" w:hAnsi="仿宋" w:eastAsia="方正仿宋简体" w:cs="方正仿宋简体"/>
          <w:sz w:val="32"/>
          <w:szCs w:val="32"/>
        </w:rPr>
        <w:t>3.9</w:t>
      </w:r>
      <w:r>
        <w:rPr>
          <w:rFonts w:hint="eastAsia" w:ascii="方正仿宋简体" w:hAnsi="仿宋" w:eastAsia="方正仿宋简体" w:cs="方正仿宋简体"/>
          <w:sz w:val="32"/>
          <w:szCs w:val="32"/>
        </w:rPr>
        <w:t>倍。电子商务等新型服务业态蓬勃兴起。</w:t>
      </w:r>
    </w:p>
    <w:p w14:paraId="10A8773C">
      <w:pPr>
        <w:spacing w:line="600" w:lineRule="exact"/>
        <w:ind w:firstLine="602" w:firstLineChars="200"/>
        <w:rPr>
          <w:rFonts w:ascii="方正仿宋简体" w:hAnsi="仿宋" w:eastAsia="方正仿宋简体"/>
          <w:sz w:val="32"/>
          <w:szCs w:val="32"/>
        </w:rPr>
      </w:pPr>
      <w:r>
        <w:rPr>
          <w:rFonts w:hint="eastAsia" w:ascii="方正楷体简体" w:hAnsi="仿宋" w:eastAsia="方正楷体简体" w:cs="方正楷体简体"/>
          <w:b/>
          <w:bCs/>
          <w:sz w:val="30"/>
          <w:szCs w:val="30"/>
        </w:rPr>
        <w:t>城乡建设展现新面貌。</w:t>
      </w:r>
      <w:r>
        <w:rPr>
          <w:rFonts w:hint="eastAsia" w:ascii="方正仿宋简体" w:hAnsi="仿宋" w:eastAsia="方正仿宋简体" w:cs="方正仿宋简体"/>
          <w:sz w:val="32"/>
          <w:szCs w:val="32"/>
        </w:rPr>
        <w:t>五年累计完成植树造林</w:t>
      </w:r>
      <w:r>
        <w:rPr>
          <w:rFonts w:ascii="方正仿宋简体" w:hAnsi="仿宋" w:eastAsia="方正仿宋简体" w:cs="方正仿宋简体"/>
          <w:sz w:val="32"/>
          <w:szCs w:val="32"/>
        </w:rPr>
        <w:t>10.5</w:t>
      </w:r>
      <w:r>
        <w:rPr>
          <w:rFonts w:hint="eastAsia" w:ascii="方正仿宋简体" w:hAnsi="仿宋" w:eastAsia="方正仿宋简体" w:cs="方正仿宋简体"/>
          <w:sz w:val="32"/>
          <w:szCs w:val="32"/>
        </w:rPr>
        <w:t>万亩，森林覆盖率达到</w:t>
      </w:r>
      <w:r>
        <w:rPr>
          <w:rFonts w:ascii="方正仿宋简体" w:hAnsi="仿宋" w:eastAsia="方正仿宋简体" w:cs="方正仿宋简体"/>
          <w:sz w:val="32"/>
          <w:szCs w:val="32"/>
        </w:rPr>
        <w:t>48.5%</w:t>
      </w:r>
      <w:r>
        <w:rPr>
          <w:rFonts w:hint="eastAsia" w:ascii="方正仿宋简体" w:hAnsi="仿宋" w:eastAsia="方正仿宋简体" w:cs="方正仿宋简体"/>
          <w:sz w:val="32"/>
          <w:szCs w:val="32"/>
        </w:rPr>
        <w:t>。开展海绵城市建设试点，成功创建国家森林城市、国家园林城市，我区被评为首届安徽省文明城区，墩上、马衙等</w:t>
      </w:r>
      <w:r>
        <w:rPr>
          <w:rFonts w:ascii="方正仿宋简体" w:hAnsi="仿宋" w:eastAsia="方正仿宋简体" w:cs="方正仿宋简体"/>
          <w:sz w:val="32"/>
          <w:szCs w:val="32"/>
        </w:rPr>
        <w:t>7</w:t>
      </w:r>
      <w:r>
        <w:rPr>
          <w:rFonts w:hint="eastAsia" w:ascii="方正仿宋简体" w:hAnsi="仿宋" w:eastAsia="方正仿宋简体" w:cs="方正仿宋简体"/>
          <w:sz w:val="32"/>
          <w:szCs w:val="32"/>
        </w:rPr>
        <w:t>个镇街获批省级森林城镇。殷汇镇、牛头山镇获批国家重点镇，全区城镇化率达</w:t>
      </w:r>
      <w:r>
        <w:rPr>
          <w:rFonts w:ascii="方正仿宋简体" w:hAnsi="仿宋" w:eastAsia="方正仿宋简体" w:cs="方正仿宋简体"/>
          <w:sz w:val="32"/>
          <w:szCs w:val="32"/>
        </w:rPr>
        <w:t>52.5%</w:t>
      </w:r>
      <w:r>
        <w:rPr>
          <w:rFonts w:hint="eastAsia" w:ascii="方正仿宋简体" w:hAnsi="仿宋" w:eastAsia="方正仿宋简体" w:cs="方正仿宋简体"/>
          <w:sz w:val="32"/>
          <w:szCs w:val="32"/>
        </w:rPr>
        <w:t>。</w:t>
      </w:r>
      <w:r>
        <w:rPr>
          <w:rFonts w:hint="eastAsia" w:ascii="仿宋_GB2312" w:eastAsia="方正仿宋简体" w:cs="方正仿宋简体"/>
          <w:sz w:val="32"/>
          <w:szCs w:val="32"/>
        </w:rPr>
        <w:t>加固危桥</w:t>
      </w:r>
      <w:r>
        <w:rPr>
          <w:rFonts w:ascii="仿宋_GB2312" w:eastAsia="方正仿宋简体" w:cs="仿宋_GB2312"/>
          <w:sz w:val="32"/>
          <w:szCs w:val="32"/>
        </w:rPr>
        <w:t>101</w:t>
      </w:r>
      <w:r>
        <w:rPr>
          <w:rFonts w:hint="eastAsia" w:ascii="仿宋_GB2312" w:eastAsia="方正仿宋简体" w:cs="方正仿宋简体"/>
          <w:sz w:val="32"/>
          <w:szCs w:val="32"/>
        </w:rPr>
        <w:t>座，升级县乡公路</w:t>
      </w:r>
      <w:r>
        <w:rPr>
          <w:rFonts w:ascii="仿宋_GB2312" w:eastAsia="方正仿宋简体" w:cs="仿宋_GB2312"/>
          <w:sz w:val="32"/>
          <w:szCs w:val="32"/>
        </w:rPr>
        <w:t>120</w:t>
      </w:r>
      <w:r>
        <w:rPr>
          <w:rFonts w:hint="eastAsia" w:ascii="仿宋_GB2312" w:eastAsia="方正仿宋简体" w:cs="方正仿宋简体"/>
          <w:sz w:val="32"/>
          <w:szCs w:val="32"/>
        </w:rPr>
        <w:t>公里，建成“村村通”连接线及网化工程</w:t>
      </w:r>
      <w:r>
        <w:rPr>
          <w:rFonts w:ascii="仿宋_GB2312" w:eastAsia="方正仿宋简体" w:cs="仿宋_GB2312"/>
          <w:sz w:val="32"/>
          <w:szCs w:val="32"/>
        </w:rPr>
        <w:t>313</w:t>
      </w:r>
      <w:r>
        <w:rPr>
          <w:rFonts w:hint="eastAsia" w:ascii="仿宋_GB2312" w:eastAsia="方正仿宋简体" w:cs="方正仿宋简体"/>
          <w:sz w:val="32"/>
          <w:szCs w:val="32"/>
        </w:rPr>
        <w:t>公里，主城区至茅坦、乌沙、殷汇片城乡公交及池州高新区循环公交全面开通，五年全区交通基础设施建设累计投资超</w:t>
      </w:r>
      <w:r>
        <w:rPr>
          <w:rFonts w:ascii="仿宋_GB2312" w:eastAsia="方正仿宋简体" w:cs="仿宋_GB2312"/>
          <w:sz w:val="32"/>
          <w:szCs w:val="32"/>
        </w:rPr>
        <w:t>7</w:t>
      </w:r>
      <w:r>
        <w:rPr>
          <w:rFonts w:hint="eastAsia" w:ascii="仿宋_GB2312" w:eastAsia="方正仿宋简体" w:cs="方正仿宋简体"/>
          <w:sz w:val="32"/>
          <w:szCs w:val="32"/>
        </w:rPr>
        <w:t>亿元</w:t>
      </w:r>
      <w:r>
        <w:rPr>
          <w:rFonts w:hint="eastAsia" w:ascii="方正仿宋简体" w:hAnsi="仿宋" w:eastAsia="方正仿宋简体" w:cs="方正仿宋简体"/>
          <w:sz w:val="32"/>
          <w:szCs w:val="32"/>
        </w:rPr>
        <w:t>。生态文明建设深入开展，美丽乡村建设取得显著成效。文明创建工作扎实推进。</w:t>
      </w:r>
    </w:p>
    <w:p w14:paraId="6B70B071">
      <w:pPr>
        <w:spacing w:line="600" w:lineRule="exact"/>
        <w:ind w:firstLine="602" w:firstLineChars="200"/>
        <w:rPr>
          <w:rFonts w:ascii="方正仿宋简体" w:hAnsi="仿宋" w:eastAsia="方正仿宋简体"/>
          <w:sz w:val="32"/>
          <w:szCs w:val="32"/>
        </w:rPr>
      </w:pPr>
      <w:r>
        <w:rPr>
          <w:rFonts w:hint="eastAsia" w:ascii="方正楷体简体" w:hAnsi="仿宋" w:eastAsia="方正楷体简体" w:cs="方正楷体简体"/>
          <w:b/>
          <w:bCs/>
          <w:sz w:val="30"/>
          <w:szCs w:val="30"/>
        </w:rPr>
        <w:t>改革开放构筑新格局。</w:t>
      </w:r>
      <w:r>
        <w:rPr>
          <w:rFonts w:hint="eastAsia" w:ascii="方正仿宋简体" w:hAnsi="仿宋" w:eastAsia="方正仿宋简体" w:cs="方正仿宋简体"/>
          <w:sz w:val="32"/>
          <w:szCs w:val="32"/>
        </w:rPr>
        <w:t>皖江示范区建设不断深入，池州高新区成功扩区，获批安徽省创新型园区，前江工业园区产值突破百亿。创新招商方式，提升引资实效，五年</w:t>
      </w:r>
      <w:r>
        <w:rPr>
          <w:rFonts w:hint="eastAsia" w:ascii="仿宋_GB2312" w:hAnsi="方正楷体简体" w:eastAsia="方正仿宋简体" w:cs="方正仿宋简体"/>
          <w:color w:val="000000"/>
          <w:sz w:val="32"/>
          <w:szCs w:val="32"/>
        </w:rPr>
        <w:t>累计引进项目</w:t>
      </w:r>
      <w:r>
        <w:rPr>
          <w:rFonts w:ascii="仿宋_GB2312" w:hAnsi="方正楷体简体" w:eastAsia="方正仿宋简体" w:cs="仿宋_GB2312"/>
          <w:color w:val="000000"/>
          <w:sz w:val="32"/>
          <w:szCs w:val="32"/>
        </w:rPr>
        <w:t>480</w:t>
      </w:r>
      <w:r>
        <w:rPr>
          <w:rFonts w:hint="eastAsia" w:ascii="仿宋_GB2312" w:hAnsi="方正楷体简体" w:eastAsia="方正仿宋简体" w:cs="方正仿宋简体"/>
          <w:color w:val="000000"/>
          <w:sz w:val="32"/>
          <w:szCs w:val="32"/>
        </w:rPr>
        <w:t>个、竣工投产项目</w:t>
      </w:r>
      <w:r>
        <w:rPr>
          <w:rFonts w:ascii="仿宋_GB2312" w:hAnsi="方正楷体简体" w:eastAsia="方正仿宋简体" w:cs="仿宋_GB2312"/>
          <w:color w:val="000000"/>
          <w:sz w:val="32"/>
          <w:szCs w:val="32"/>
        </w:rPr>
        <w:t>324</w:t>
      </w:r>
      <w:r>
        <w:rPr>
          <w:rFonts w:hint="eastAsia" w:ascii="仿宋_GB2312" w:hAnsi="方正楷体简体" w:eastAsia="方正仿宋简体" w:cs="方正仿宋简体"/>
          <w:color w:val="000000"/>
          <w:sz w:val="32"/>
          <w:szCs w:val="32"/>
        </w:rPr>
        <w:t>个、实际到位资金</w:t>
      </w:r>
      <w:r>
        <w:rPr>
          <w:rFonts w:ascii="仿宋_GB2312" w:hAnsi="方正楷体简体" w:eastAsia="方正仿宋简体" w:cs="仿宋_GB2312"/>
          <w:color w:val="000000"/>
          <w:sz w:val="32"/>
          <w:szCs w:val="32"/>
        </w:rPr>
        <w:t>426</w:t>
      </w:r>
      <w:r>
        <w:rPr>
          <w:rFonts w:hint="eastAsia" w:ascii="仿宋_GB2312" w:hAnsi="方正楷体简体" w:eastAsia="方正仿宋简体" w:cs="方正仿宋简体"/>
          <w:color w:val="000000"/>
          <w:sz w:val="32"/>
          <w:szCs w:val="32"/>
        </w:rPr>
        <w:t>亿元。</w:t>
      </w:r>
      <w:r>
        <w:rPr>
          <w:rFonts w:hint="eastAsia" w:ascii="方正仿宋简体" w:hAnsi="仿宋" w:eastAsia="方正仿宋简体" w:cs="方正仿宋简体"/>
          <w:sz w:val="32"/>
          <w:szCs w:val="32"/>
        </w:rPr>
        <w:t>加快推进皖南国际文化旅游示范区建设，杏花村文化旅游区民俗体验区开放运营。各领域改革全面铺开，新一轮政府机构改革基本完成，行政审批制度改革、商事登记制度改革全面深化，公共资源交易、医疗卫生体制、财税体制、农村土地经营权确权登记等领域改革深入推进。</w:t>
      </w:r>
    </w:p>
    <w:p w14:paraId="16843CA8">
      <w:pPr>
        <w:spacing w:line="600" w:lineRule="exact"/>
        <w:ind w:firstLine="602" w:firstLineChars="200"/>
        <w:rPr>
          <w:rFonts w:ascii="方正仿宋简体" w:hAnsi="仿宋" w:eastAsia="方正仿宋简体"/>
          <w:sz w:val="32"/>
          <w:szCs w:val="32"/>
        </w:rPr>
      </w:pPr>
      <w:r>
        <w:rPr>
          <w:rFonts w:hint="eastAsia" w:ascii="方正楷体简体" w:hAnsi="仿宋" w:eastAsia="方正楷体简体" w:cs="方正楷体简体"/>
          <w:b/>
          <w:bCs/>
          <w:sz w:val="30"/>
          <w:szCs w:val="30"/>
        </w:rPr>
        <w:t>民生民计得到新改善。</w:t>
      </w:r>
      <w:r>
        <w:rPr>
          <w:rFonts w:hint="eastAsia" w:ascii="方正仿宋简体" w:hAnsi="仿宋" w:eastAsia="方正仿宋简体" w:cs="方正仿宋简体"/>
          <w:sz w:val="32"/>
          <w:szCs w:val="32"/>
        </w:rPr>
        <w:t>人民生活持续改善，居民收入增长快于经济增长，城镇居民可支配收入和农民人均纯收入年均增长分别是</w:t>
      </w:r>
      <w:r>
        <w:rPr>
          <w:rFonts w:ascii="方正仿宋简体" w:hAnsi="仿宋" w:eastAsia="方正仿宋简体" w:cs="方正仿宋简体"/>
          <w:sz w:val="32"/>
          <w:szCs w:val="32"/>
        </w:rPr>
        <w:t>9.7%</w:t>
      </w:r>
      <w:r>
        <w:rPr>
          <w:rFonts w:hint="eastAsia" w:ascii="方正仿宋简体" w:hAnsi="仿宋" w:eastAsia="方正仿宋简体" w:cs="方正仿宋简体"/>
          <w:sz w:val="32"/>
          <w:szCs w:val="32"/>
        </w:rPr>
        <w:t>、</w:t>
      </w:r>
      <w:r>
        <w:rPr>
          <w:rFonts w:ascii="方正仿宋简体" w:hAnsi="仿宋" w:eastAsia="方正仿宋简体" w:cs="方正仿宋简体"/>
          <w:sz w:val="32"/>
          <w:szCs w:val="32"/>
        </w:rPr>
        <w:t>14.7%</w:t>
      </w:r>
      <w:r>
        <w:rPr>
          <w:rFonts w:hint="eastAsia" w:ascii="方正仿宋简体" w:hAnsi="仿宋" w:eastAsia="方正仿宋简体" w:cs="方正仿宋简体"/>
          <w:sz w:val="32"/>
          <w:szCs w:val="32"/>
        </w:rPr>
        <w:t>。民生工程建设成效显著，五年累计投入资金</w:t>
      </w:r>
      <w:r>
        <w:rPr>
          <w:rFonts w:ascii="方正仿宋简体" w:hAnsi="仿宋" w:eastAsia="方正仿宋简体" w:cs="方正仿宋简体"/>
          <w:sz w:val="32"/>
          <w:szCs w:val="32"/>
        </w:rPr>
        <w:t>42</w:t>
      </w:r>
      <w:r>
        <w:rPr>
          <w:rFonts w:hint="eastAsia" w:ascii="方正仿宋简体" w:hAnsi="仿宋" w:eastAsia="方正仿宋简体" w:cs="方正仿宋简体"/>
          <w:sz w:val="32"/>
          <w:szCs w:val="32"/>
        </w:rPr>
        <w:t>亿元。创业带动就业成效明显，社会保障制度体系基本形成，覆盖范围不断扩大，保障水平稳步提高，生活困难群体帮扶和救助机制不断健全。群众居住条件不断改善，保障性安居工程加快建设，保障房累计新开工</w:t>
      </w:r>
      <w:r>
        <w:rPr>
          <w:rFonts w:ascii="方正仿宋简体" w:hAnsi="仿宋" w:eastAsia="方正仿宋简体" w:cs="方正仿宋简体"/>
          <w:sz w:val="32"/>
          <w:szCs w:val="32"/>
        </w:rPr>
        <w:t>15412</w:t>
      </w:r>
      <w:r>
        <w:rPr>
          <w:rFonts w:hint="eastAsia" w:ascii="方正仿宋简体" w:hAnsi="仿宋" w:eastAsia="方正仿宋简体" w:cs="方正仿宋简体"/>
          <w:sz w:val="32"/>
          <w:szCs w:val="32"/>
        </w:rPr>
        <w:t>套、建成</w:t>
      </w:r>
      <w:r>
        <w:rPr>
          <w:rFonts w:ascii="方正仿宋简体" w:hAnsi="仿宋" w:eastAsia="方正仿宋简体" w:cs="方正仿宋简体"/>
          <w:sz w:val="32"/>
          <w:szCs w:val="32"/>
        </w:rPr>
        <w:t>10352</w:t>
      </w:r>
      <w:r>
        <w:rPr>
          <w:rFonts w:hint="eastAsia" w:ascii="方正仿宋简体" w:hAnsi="仿宋" w:eastAsia="方正仿宋简体" w:cs="方正仿宋简体"/>
          <w:sz w:val="32"/>
          <w:szCs w:val="32"/>
        </w:rPr>
        <w:t>套。科教文卫事业全面发展，教育改革步伐加快，文化惠民工程深入推进。社会治理不断创新，社会大局和谐稳定。</w:t>
      </w:r>
    </w:p>
    <w:p w14:paraId="66820505">
      <w:pPr>
        <w:spacing w:line="240" w:lineRule="exact"/>
        <w:rPr>
          <w:rFonts w:eastAsia="仿宋_GB2312"/>
          <w:color w:val="000000"/>
          <w:sz w:val="32"/>
          <w:szCs w:val="32"/>
        </w:rPr>
      </w:pPr>
    </w:p>
    <w:p w14:paraId="162FDCE0">
      <w:pPr>
        <w:jc w:val="center"/>
        <w:rPr>
          <w:rFonts w:ascii="方正仿宋简体" w:hAnsi="仿宋" w:eastAsia="方正仿宋简体"/>
          <w:b/>
          <w:bCs/>
          <w:sz w:val="28"/>
          <w:szCs w:val="28"/>
        </w:rPr>
      </w:pPr>
      <w:r>
        <w:rPr>
          <w:rFonts w:hint="eastAsia" w:ascii="方正仿宋简体" w:hAnsi="仿宋" w:eastAsia="方正仿宋简体" w:cs="方正仿宋简体"/>
          <w:b/>
          <w:bCs/>
          <w:sz w:val="28"/>
          <w:szCs w:val="28"/>
        </w:rPr>
        <w:t>专栏</w:t>
      </w:r>
      <w:r>
        <w:rPr>
          <w:rFonts w:ascii="方正仿宋简体" w:hAnsi="仿宋" w:eastAsia="方正仿宋简体" w:cs="方正仿宋简体"/>
          <w:b/>
          <w:bCs/>
          <w:sz w:val="28"/>
          <w:szCs w:val="28"/>
        </w:rPr>
        <w:t xml:space="preserve">1 </w:t>
      </w:r>
      <w:r>
        <w:rPr>
          <w:rFonts w:hint="eastAsia" w:ascii="方正仿宋简体" w:hAnsi="仿宋" w:eastAsia="方正仿宋简体" w:cs="方正仿宋简体"/>
          <w:b/>
          <w:bCs/>
          <w:sz w:val="28"/>
          <w:szCs w:val="28"/>
        </w:rPr>
        <w:t>“十二五”规划主要发展目标完成情况</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40"/>
        <w:gridCol w:w="1016"/>
        <w:gridCol w:w="1590"/>
        <w:gridCol w:w="1036"/>
        <w:gridCol w:w="1274"/>
      </w:tblGrid>
      <w:tr w14:paraId="22073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exact"/>
          <w:jc w:val="center"/>
        </w:trPr>
        <w:tc>
          <w:tcPr>
            <w:tcW w:w="3840" w:type="dxa"/>
            <w:vMerge w:val="restart"/>
            <w:vAlign w:val="center"/>
          </w:tcPr>
          <w:p w14:paraId="1BCCA0D6">
            <w:pPr>
              <w:widowControl/>
              <w:jc w:val="center"/>
              <w:rPr>
                <w:rFonts w:ascii="仿宋" w:hAnsi="仿宋" w:eastAsia="仿宋"/>
                <w:b/>
                <w:bCs/>
                <w:kern w:val="0"/>
              </w:rPr>
            </w:pPr>
            <w:r>
              <w:rPr>
                <w:rFonts w:hint="eastAsia" w:ascii="仿宋" w:hAnsi="仿宋" w:eastAsia="仿宋" w:cs="仿宋"/>
                <w:b/>
                <w:bCs/>
                <w:kern w:val="0"/>
              </w:rPr>
              <w:t>指　标</w:t>
            </w:r>
          </w:p>
        </w:tc>
        <w:tc>
          <w:tcPr>
            <w:tcW w:w="2606" w:type="dxa"/>
            <w:gridSpan w:val="2"/>
            <w:vAlign w:val="center"/>
          </w:tcPr>
          <w:p w14:paraId="5E9C899E">
            <w:pPr>
              <w:widowControl/>
              <w:spacing w:line="320" w:lineRule="exact"/>
              <w:jc w:val="center"/>
              <w:rPr>
                <w:rFonts w:ascii="仿宋" w:hAnsi="仿宋" w:eastAsia="仿宋"/>
                <w:b/>
                <w:bCs/>
                <w:kern w:val="0"/>
              </w:rPr>
            </w:pPr>
            <w:r>
              <w:rPr>
                <w:rFonts w:hint="eastAsia" w:ascii="仿宋" w:hAnsi="仿宋" w:eastAsia="仿宋" w:cs="仿宋"/>
                <w:b/>
                <w:bCs/>
                <w:kern w:val="0"/>
              </w:rPr>
              <w:t>“十二五”规划目标</w:t>
            </w:r>
          </w:p>
        </w:tc>
        <w:tc>
          <w:tcPr>
            <w:tcW w:w="1036" w:type="dxa"/>
            <w:vMerge w:val="restart"/>
            <w:vAlign w:val="center"/>
          </w:tcPr>
          <w:p w14:paraId="58A60993">
            <w:pPr>
              <w:widowControl/>
              <w:spacing w:line="320" w:lineRule="exact"/>
              <w:jc w:val="center"/>
              <w:rPr>
                <w:rFonts w:ascii="仿宋" w:hAnsi="仿宋" w:eastAsia="仿宋"/>
                <w:b/>
                <w:bCs/>
                <w:kern w:val="0"/>
              </w:rPr>
            </w:pPr>
            <w:r>
              <w:rPr>
                <w:rFonts w:ascii="仿宋" w:hAnsi="仿宋" w:eastAsia="仿宋" w:cs="仿宋"/>
                <w:b/>
                <w:bCs/>
                <w:kern w:val="0"/>
              </w:rPr>
              <w:t>2015</w:t>
            </w:r>
            <w:r>
              <w:rPr>
                <w:rFonts w:hint="eastAsia" w:ascii="仿宋" w:hAnsi="仿宋" w:eastAsia="仿宋" w:cs="仿宋"/>
                <w:b/>
                <w:bCs/>
                <w:kern w:val="0"/>
              </w:rPr>
              <w:t>年</w:t>
            </w:r>
          </w:p>
          <w:p w14:paraId="755A3551">
            <w:pPr>
              <w:widowControl/>
              <w:spacing w:line="320" w:lineRule="exact"/>
              <w:jc w:val="center"/>
              <w:rPr>
                <w:rFonts w:ascii="仿宋" w:hAnsi="仿宋" w:eastAsia="仿宋"/>
                <w:b/>
                <w:bCs/>
                <w:kern w:val="0"/>
              </w:rPr>
            </w:pPr>
            <w:r>
              <w:rPr>
                <w:rFonts w:hint="eastAsia" w:ascii="仿宋" w:hAnsi="仿宋" w:eastAsia="仿宋" w:cs="仿宋"/>
                <w:b/>
                <w:bCs/>
                <w:kern w:val="0"/>
              </w:rPr>
              <w:t>实绩</w:t>
            </w:r>
          </w:p>
        </w:tc>
        <w:tc>
          <w:tcPr>
            <w:tcW w:w="1274" w:type="dxa"/>
            <w:vMerge w:val="restart"/>
            <w:vAlign w:val="center"/>
          </w:tcPr>
          <w:p w14:paraId="039C798F">
            <w:pPr>
              <w:widowControl/>
              <w:spacing w:line="320" w:lineRule="exact"/>
              <w:jc w:val="center"/>
              <w:rPr>
                <w:rFonts w:ascii="仿宋" w:hAnsi="仿宋" w:eastAsia="仿宋"/>
                <w:b/>
                <w:bCs/>
                <w:kern w:val="0"/>
              </w:rPr>
            </w:pPr>
            <w:r>
              <w:rPr>
                <w:rFonts w:hint="eastAsia" w:ascii="仿宋" w:hAnsi="仿宋" w:eastAsia="仿宋" w:cs="仿宋"/>
                <w:b/>
                <w:bCs/>
                <w:kern w:val="0"/>
              </w:rPr>
              <w:t>“十二五”</w:t>
            </w:r>
          </w:p>
          <w:p w14:paraId="5F79553F">
            <w:pPr>
              <w:widowControl/>
              <w:spacing w:line="320" w:lineRule="exact"/>
              <w:jc w:val="center"/>
              <w:rPr>
                <w:rFonts w:ascii="仿宋" w:hAnsi="仿宋" w:eastAsia="仿宋"/>
                <w:b/>
                <w:bCs/>
                <w:kern w:val="0"/>
              </w:rPr>
            </w:pPr>
            <w:r>
              <w:rPr>
                <w:rFonts w:hint="eastAsia" w:ascii="仿宋" w:hAnsi="仿宋" w:eastAsia="仿宋" w:cs="仿宋"/>
                <w:b/>
                <w:bCs/>
                <w:kern w:val="0"/>
              </w:rPr>
              <w:t>年均增长（</w:t>
            </w:r>
            <w:r>
              <w:rPr>
                <w:rFonts w:ascii="仿宋" w:hAnsi="仿宋" w:eastAsia="仿宋" w:cs="仿宋"/>
                <w:b/>
                <w:bCs/>
                <w:kern w:val="0"/>
              </w:rPr>
              <w:t>%</w:t>
            </w:r>
            <w:r>
              <w:rPr>
                <w:rFonts w:hint="eastAsia" w:ascii="仿宋" w:hAnsi="仿宋" w:eastAsia="仿宋" w:cs="仿宋"/>
                <w:b/>
                <w:bCs/>
                <w:kern w:val="0"/>
              </w:rPr>
              <w:t>）</w:t>
            </w:r>
          </w:p>
        </w:tc>
      </w:tr>
      <w:tr w14:paraId="326B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exact"/>
          <w:jc w:val="center"/>
        </w:trPr>
        <w:tc>
          <w:tcPr>
            <w:tcW w:w="3840" w:type="dxa"/>
            <w:vMerge w:val="continue"/>
            <w:vAlign w:val="center"/>
          </w:tcPr>
          <w:p w14:paraId="1867145D">
            <w:pPr>
              <w:widowControl/>
              <w:jc w:val="center"/>
              <w:rPr>
                <w:rFonts w:ascii="仿宋" w:hAnsi="仿宋" w:eastAsia="仿宋"/>
                <w:kern w:val="0"/>
              </w:rPr>
            </w:pPr>
          </w:p>
        </w:tc>
        <w:tc>
          <w:tcPr>
            <w:tcW w:w="1016" w:type="dxa"/>
            <w:vAlign w:val="center"/>
          </w:tcPr>
          <w:p w14:paraId="170A4762">
            <w:pPr>
              <w:widowControl/>
              <w:spacing w:line="320" w:lineRule="exact"/>
              <w:jc w:val="center"/>
              <w:rPr>
                <w:rFonts w:ascii="仿宋" w:hAnsi="仿宋" w:eastAsia="仿宋"/>
                <w:b/>
                <w:bCs/>
                <w:kern w:val="0"/>
              </w:rPr>
            </w:pPr>
            <w:r>
              <w:rPr>
                <w:rFonts w:ascii="仿宋" w:hAnsi="仿宋" w:eastAsia="仿宋" w:cs="仿宋"/>
                <w:b/>
                <w:bCs/>
                <w:kern w:val="0"/>
              </w:rPr>
              <w:t>2015</w:t>
            </w:r>
            <w:r>
              <w:rPr>
                <w:rFonts w:hint="eastAsia" w:ascii="仿宋" w:hAnsi="仿宋" w:eastAsia="仿宋" w:cs="仿宋"/>
                <w:b/>
                <w:bCs/>
                <w:kern w:val="0"/>
              </w:rPr>
              <w:t>年</w:t>
            </w:r>
          </w:p>
          <w:p w14:paraId="6CCB690D">
            <w:pPr>
              <w:widowControl/>
              <w:spacing w:line="320" w:lineRule="exact"/>
              <w:jc w:val="center"/>
              <w:rPr>
                <w:rFonts w:ascii="仿宋" w:hAnsi="仿宋" w:eastAsia="仿宋"/>
                <w:b/>
                <w:bCs/>
                <w:kern w:val="0"/>
              </w:rPr>
            </w:pPr>
            <w:r>
              <w:rPr>
                <w:rFonts w:hint="eastAsia" w:ascii="仿宋" w:hAnsi="仿宋" w:eastAsia="仿宋" w:cs="仿宋"/>
                <w:b/>
                <w:bCs/>
                <w:kern w:val="0"/>
              </w:rPr>
              <w:t>目标值</w:t>
            </w:r>
          </w:p>
        </w:tc>
        <w:tc>
          <w:tcPr>
            <w:tcW w:w="1590" w:type="dxa"/>
            <w:vAlign w:val="center"/>
          </w:tcPr>
          <w:p w14:paraId="1F779BB7">
            <w:pPr>
              <w:widowControl/>
              <w:spacing w:line="320" w:lineRule="exact"/>
              <w:jc w:val="center"/>
              <w:rPr>
                <w:rFonts w:ascii="仿宋" w:hAnsi="仿宋" w:eastAsia="仿宋"/>
                <w:b/>
                <w:bCs/>
                <w:kern w:val="0"/>
              </w:rPr>
            </w:pPr>
            <w:r>
              <w:rPr>
                <w:rFonts w:hint="eastAsia" w:ascii="仿宋" w:hAnsi="仿宋" w:eastAsia="仿宋" w:cs="仿宋"/>
                <w:b/>
                <w:bCs/>
                <w:kern w:val="0"/>
              </w:rPr>
              <w:t>“十二五”</w:t>
            </w:r>
          </w:p>
          <w:p w14:paraId="3E7AA1DF">
            <w:pPr>
              <w:widowControl/>
              <w:spacing w:line="320" w:lineRule="exact"/>
              <w:jc w:val="center"/>
              <w:rPr>
                <w:rFonts w:ascii="仿宋" w:hAnsi="仿宋" w:eastAsia="仿宋"/>
                <w:b/>
                <w:bCs/>
                <w:kern w:val="0"/>
              </w:rPr>
            </w:pPr>
            <w:r>
              <w:rPr>
                <w:rFonts w:hint="eastAsia" w:ascii="仿宋" w:hAnsi="仿宋" w:eastAsia="仿宋" w:cs="仿宋"/>
                <w:b/>
                <w:bCs/>
                <w:kern w:val="0"/>
              </w:rPr>
              <w:t>年均增速（</w:t>
            </w:r>
            <w:r>
              <w:rPr>
                <w:rFonts w:ascii="仿宋" w:hAnsi="仿宋" w:eastAsia="仿宋" w:cs="仿宋"/>
                <w:b/>
                <w:bCs/>
                <w:kern w:val="0"/>
              </w:rPr>
              <w:t>%</w:t>
            </w:r>
            <w:r>
              <w:rPr>
                <w:rFonts w:hint="eastAsia" w:ascii="仿宋" w:hAnsi="仿宋" w:eastAsia="仿宋" w:cs="仿宋"/>
                <w:b/>
                <w:bCs/>
                <w:kern w:val="0"/>
              </w:rPr>
              <w:t>）</w:t>
            </w:r>
          </w:p>
        </w:tc>
        <w:tc>
          <w:tcPr>
            <w:tcW w:w="1036" w:type="dxa"/>
            <w:vMerge w:val="continue"/>
            <w:vAlign w:val="center"/>
          </w:tcPr>
          <w:p w14:paraId="069A6E74">
            <w:pPr>
              <w:widowControl/>
              <w:jc w:val="center"/>
              <w:rPr>
                <w:rFonts w:ascii="仿宋" w:hAnsi="仿宋" w:eastAsia="仿宋"/>
                <w:kern w:val="0"/>
              </w:rPr>
            </w:pPr>
          </w:p>
        </w:tc>
        <w:tc>
          <w:tcPr>
            <w:tcW w:w="1274" w:type="dxa"/>
            <w:vMerge w:val="continue"/>
            <w:vAlign w:val="center"/>
          </w:tcPr>
          <w:p w14:paraId="3F87750E">
            <w:pPr>
              <w:widowControl/>
              <w:jc w:val="center"/>
              <w:rPr>
                <w:rFonts w:ascii="仿宋" w:hAnsi="仿宋" w:eastAsia="仿宋"/>
                <w:kern w:val="0"/>
              </w:rPr>
            </w:pPr>
          </w:p>
        </w:tc>
      </w:tr>
      <w:tr w14:paraId="02DEE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605341B1">
            <w:pPr>
              <w:widowControl/>
              <w:spacing w:line="320" w:lineRule="exact"/>
              <w:jc w:val="left"/>
              <w:rPr>
                <w:rFonts w:ascii="宋体"/>
                <w:kern w:val="0"/>
              </w:rPr>
            </w:pPr>
            <w:r>
              <w:rPr>
                <w:rFonts w:hint="eastAsia" w:ascii="宋体" w:hAnsi="宋体" w:cs="宋体"/>
                <w:kern w:val="0"/>
              </w:rPr>
              <w:t>地区生产总值（亿元）</w:t>
            </w:r>
          </w:p>
        </w:tc>
        <w:tc>
          <w:tcPr>
            <w:tcW w:w="1016" w:type="dxa"/>
            <w:vAlign w:val="center"/>
          </w:tcPr>
          <w:p w14:paraId="0621277A">
            <w:pPr>
              <w:widowControl/>
              <w:spacing w:line="320" w:lineRule="exact"/>
              <w:jc w:val="center"/>
              <w:rPr>
                <w:rFonts w:ascii="宋体"/>
                <w:kern w:val="0"/>
              </w:rPr>
            </w:pPr>
            <w:r>
              <w:rPr>
                <w:rFonts w:ascii="宋体" w:hAnsi="宋体" w:cs="宋体"/>
                <w:kern w:val="0"/>
              </w:rPr>
              <w:t>253</w:t>
            </w:r>
          </w:p>
        </w:tc>
        <w:tc>
          <w:tcPr>
            <w:tcW w:w="1590" w:type="dxa"/>
            <w:vAlign w:val="center"/>
          </w:tcPr>
          <w:p w14:paraId="34BA4E32">
            <w:pPr>
              <w:widowControl/>
              <w:spacing w:line="320" w:lineRule="exact"/>
              <w:jc w:val="center"/>
              <w:rPr>
                <w:rFonts w:ascii="宋体"/>
                <w:kern w:val="0"/>
              </w:rPr>
            </w:pPr>
            <w:r>
              <w:rPr>
                <w:rFonts w:ascii="宋体" w:hAnsi="宋体" w:cs="宋体"/>
                <w:kern w:val="0"/>
              </w:rPr>
              <w:t>11</w:t>
            </w:r>
          </w:p>
        </w:tc>
        <w:tc>
          <w:tcPr>
            <w:tcW w:w="1036" w:type="dxa"/>
            <w:vAlign w:val="center"/>
          </w:tcPr>
          <w:p w14:paraId="15E3D7FB">
            <w:pPr>
              <w:widowControl/>
              <w:spacing w:line="320" w:lineRule="exact"/>
              <w:jc w:val="center"/>
              <w:rPr>
                <w:rFonts w:ascii="宋体"/>
                <w:kern w:val="0"/>
              </w:rPr>
            </w:pPr>
            <w:r>
              <w:rPr>
                <w:rFonts w:ascii="宋体" w:hAnsi="宋体" w:cs="宋体"/>
                <w:kern w:val="0"/>
              </w:rPr>
              <w:t>233.7</w:t>
            </w:r>
          </w:p>
        </w:tc>
        <w:tc>
          <w:tcPr>
            <w:tcW w:w="1274" w:type="dxa"/>
            <w:vAlign w:val="center"/>
          </w:tcPr>
          <w:p w14:paraId="7A8AC817">
            <w:pPr>
              <w:widowControl/>
              <w:spacing w:line="320" w:lineRule="exact"/>
              <w:jc w:val="center"/>
              <w:rPr>
                <w:rFonts w:ascii="宋体"/>
                <w:kern w:val="0"/>
              </w:rPr>
            </w:pPr>
            <w:r>
              <w:rPr>
                <w:rFonts w:ascii="宋体" w:hAnsi="宋体" w:cs="宋体"/>
                <w:kern w:val="0"/>
              </w:rPr>
              <w:t>10.6</w:t>
            </w:r>
          </w:p>
        </w:tc>
      </w:tr>
      <w:tr w14:paraId="788DE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6D2685E1">
            <w:pPr>
              <w:widowControl/>
              <w:spacing w:line="320" w:lineRule="exact"/>
              <w:ind w:firstLine="210" w:firstLineChars="100"/>
              <w:jc w:val="left"/>
              <w:rPr>
                <w:rFonts w:ascii="宋体"/>
                <w:kern w:val="0"/>
              </w:rPr>
            </w:pPr>
            <w:r>
              <w:rPr>
                <w:rFonts w:hint="eastAsia" w:ascii="宋体" w:hAnsi="宋体" w:cs="宋体"/>
                <w:kern w:val="0"/>
              </w:rPr>
              <w:t>第一产业（亿元）</w:t>
            </w:r>
          </w:p>
        </w:tc>
        <w:tc>
          <w:tcPr>
            <w:tcW w:w="1016" w:type="dxa"/>
            <w:vAlign w:val="center"/>
          </w:tcPr>
          <w:p w14:paraId="274A04FE">
            <w:pPr>
              <w:widowControl/>
              <w:spacing w:line="320" w:lineRule="exact"/>
              <w:jc w:val="center"/>
              <w:rPr>
                <w:rFonts w:ascii="宋体" w:cs="宋体"/>
                <w:kern w:val="0"/>
              </w:rPr>
            </w:pPr>
            <w:r>
              <w:rPr>
                <w:rFonts w:ascii="宋体" w:hAnsi="宋体" w:cs="宋体"/>
                <w:kern w:val="0"/>
              </w:rPr>
              <w:t>3</w:t>
            </w:r>
            <w:r>
              <w:rPr>
                <w:rFonts w:ascii="宋体" w:cs="宋体"/>
                <w:kern w:val="0"/>
              </w:rPr>
              <w:t>0</w:t>
            </w:r>
          </w:p>
        </w:tc>
        <w:tc>
          <w:tcPr>
            <w:tcW w:w="1590" w:type="dxa"/>
            <w:vAlign w:val="center"/>
          </w:tcPr>
          <w:p w14:paraId="3939190C">
            <w:pPr>
              <w:widowControl/>
              <w:spacing w:line="320" w:lineRule="exact"/>
              <w:jc w:val="center"/>
              <w:rPr>
                <w:rFonts w:ascii="宋体"/>
                <w:color w:val="000000"/>
                <w:kern w:val="0"/>
              </w:rPr>
            </w:pPr>
            <w:r>
              <w:rPr>
                <w:rFonts w:ascii="宋体" w:hAnsi="宋体" w:cs="宋体"/>
                <w:color w:val="000000"/>
                <w:kern w:val="0"/>
              </w:rPr>
              <w:t>5</w:t>
            </w:r>
          </w:p>
        </w:tc>
        <w:tc>
          <w:tcPr>
            <w:tcW w:w="1036" w:type="dxa"/>
            <w:vAlign w:val="center"/>
          </w:tcPr>
          <w:p w14:paraId="0C5D61F2">
            <w:pPr>
              <w:widowControl/>
              <w:spacing w:line="320" w:lineRule="exact"/>
              <w:jc w:val="center"/>
              <w:rPr>
                <w:rFonts w:ascii="宋体"/>
                <w:color w:val="000000"/>
                <w:kern w:val="0"/>
              </w:rPr>
            </w:pPr>
            <w:r>
              <w:rPr>
                <w:rFonts w:ascii="宋体" w:hAnsi="宋体" w:cs="宋体"/>
                <w:color w:val="000000"/>
                <w:kern w:val="0"/>
              </w:rPr>
              <w:t>30.2</w:t>
            </w:r>
          </w:p>
        </w:tc>
        <w:tc>
          <w:tcPr>
            <w:tcW w:w="1274" w:type="dxa"/>
            <w:vAlign w:val="center"/>
          </w:tcPr>
          <w:p w14:paraId="0E579F1D">
            <w:pPr>
              <w:widowControl/>
              <w:spacing w:line="320" w:lineRule="exact"/>
              <w:jc w:val="center"/>
              <w:rPr>
                <w:rFonts w:ascii="宋体"/>
                <w:color w:val="000000"/>
                <w:kern w:val="0"/>
              </w:rPr>
            </w:pPr>
            <w:r>
              <w:rPr>
                <w:rFonts w:ascii="宋体" w:hAnsi="宋体" w:cs="宋体"/>
                <w:color w:val="000000"/>
                <w:kern w:val="0"/>
              </w:rPr>
              <w:t>4.6</w:t>
            </w:r>
          </w:p>
        </w:tc>
      </w:tr>
      <w:tr w14:paraId="3CE6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100BFDED">
            <w:pPr>
              <w:widowControl/>
              <w:spacing w:line="320" w:lineRule="exact"/>
              <w:ind w:firstLine="210" w:firstLineChars="100"/>
              <w:jc w:val="left"/>
              <w:rPr>
                <w:rFonts w:ascii="宋体"/>
                <w:kern w:val="0"/>
              </w:rPr>
            </w:pPr>
            <w:r>
              <w:rPr>
                <w:rFonts w:hint="eastAsia" w:ascii="宋体" w:hAnsi="宋体" w:cs="宋体"/>
                <w:kern w:val="0"/>
              </w:rPr>
              <w:t>第二产业（亿元）</w:t>
            </w:r>
          </w:p>
        </w:tc>
        <w:tc>
          <w:tcPr>
            <w:tcW w:w="1016" w:type="dxa"/>
            <w:vAlign w:val="center"/>
          </w:tcPr>
          <w:p w14:paraId="73A907EA">
            <w:pPr>
              <w:widowControl/>
              <w:spacing w:line="320" w:lineRule="exact"/>
              <w:jc w:val="center"/>
              <w:rPr>
                <w:rFonts w:ascii="宋体"/>
                <w:kern w:val="0"/>
              </w:rPr>
            </w:pPr>
            <w:r>
              <w:rPr>
                <w:rFonts w:ascii="宋体" w:hAnsi="宋体" w:cs="宋体"/>
                <w:kern w:val="0"/>
              </w:rPr>
              <w:t>112</w:t>
            </w:r>
          </w:p>
        </w:tc>
        <w:tc>
          <w:tcPr>
            <w:tcW w:w="1590" w:type="dxa"/>
            <w:vAlign w:val="center"/>
          </w:tcPr>
          <w:p w14:paraId="6AC6262F">
            <w:pPr>
              <w:widowControl/>
              <w:spacing w:line="320" w:lineRule="exact"/>
              <w:jc w:val="center"/>
              <w:rPr>
                <w:rFonts w:ascii="宋体"/>
                <w:color w:val="000000"/>
                <w:kern w:val="0"/>
              </w:rPr>
            </w:pPr>
            <w:r>
              <w:rPr>
                <w:rFonts w:ascii="宋体" w:hAnsi="宋体" w:cs="宋体"/>
                <w:color w:val="000000"/>
                <w:kern w:val="0"/>
              </w:rPr>
              <w:t>15</w:t>
            </w:r>
          </w:p>
        </w:tc>
        <w:tc>
          <w:tcPr>
            <w:tcW w:w="1036" w:type="dxa"/>
            <w:vAlign w:val="center"/>
          </w:tcPr>
          <w:p w14:paraId="3ECEF9D0">
            <w:pPr>
              <w:widowControl/>
              <w:spacing w:line="320" w:lineRule="exact"/>
              <w:jc w:val="center"/>
              <w:rPr>
                <w:rFonts w:ascii="宋体"/>
                <w:color w:val="000000"/>
                <w:kern w:val="0"/>
              </w:rPr>
            </w:pPr>
            <w:r>
              <w:rPr>
                <w:rFonts w:ascii="宋体" w:hAnsi="宋体" w:cs="宋体"/>
                <w:color w:val="000000"/>
                <w:kern w:val="0"/>
              </w:rPr>
              <w:t>102</w:t>
            </w:r>
          </w:p>
        </w:tc>
        <w:tc>
          <w:tcPr>
            <w:tcW w:w="1274" w:type="dxa"/>
            <w:vAlign w:val="center"/>
          </w:tcPr>
          <w:p w14:paraId="2E140582">
            <w:pPr>
              <w:widowControl/>
              <w:spacing w:line="320" w:lineRule="exact"/>
              <w:jc w:val="center"/>
              <w:rPr>
                <w:rFonts w:ascii="宋体"/>
                <w:color w:val="000000"/>
                <w:kern w:val="0"/>
              </w:rPr>
            </w:pPr>
            <w:r>
              <w:rPr>
                <w:rFonts w:ascii="宋体" w:hAnsi="宋体" w:cs="宋体"/>
                <w:color w:val="000000"/>
                <w:kern w:val="0"/>
              </w:rPr>
              <w:t>13.5</w:t>
            </w:r>
          </w:p>
        </w:tc>
      </w:tr>
      <w:tr w14:paraId="2753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105F7CD2">
            <w:pPr>
              <w:widowControl/>
              <w:spacing w:line="320" w:lineRule="exact"/>
              <w:ind w:firstLine="420" w:firstLineChars="200"/>
              <w:jc w:val="left"/>
              <w:rPr>
                <w:rFonts w:ascii="宋体"/>
                <w:kern w:val="0"/>
              </w:rPr>
            </w:pPr>
            <w:r>
              <w:rPr>
                <w:rFonts w:hint="eastAsia" w:ascii="宋体" w:hAnsi="宋体" w:cs="宋体"/>
                <w:kern w:val="0"/>
              </w:rPr>
              <w:t>其中：工业增加值（亿元）</w:t>
            </w:r>
          </w:p>
        </w:tc>
        <w:tc>
          <w:tcPr>
            <w:tcW w:w="1016" w:type="dxa"/>
            <w:vAlign w:val="center"/>
          </w:tcPr>
          <w:p w14:paraId="48545BC0">
            <w:pPr>
              <w:widowControl/>
              <w:spacing w:line="320" w:lineRule="exact"/>
              <w:jc w:val="center"/>
              <w:rPr>
                <w:rFonts w:ascii="宋体"/>
                <w:kern w:val="0"/>
              </w:rPr>
            </w:pPr>
            <w:r>
              <w:rPr>
                <w:rFonts w:ascii="宋体" w:hAnsi="宋体" w:cs="宋体"/>
                <w:kern w:val="0"/>
              </w:rPr>
              <w:t>86</w:t>
            </w:r>
          </w:p>
        </w:tc>
        <w:tc>
          <w:tcPr>
            <w:tcW w:w="1590" w:type="dxa"/>
            <w:vAlign w:val="center"/>
          </w:tcPr>
          <w:p w14:paraId="4F24A4B0">
            <w:pPr>
              <w:widowControl/>
              <w:spacing w:line="320" w:lineRule="exact"/>
              <w:jc w:val="center"/>
              <w:rPr>
                <w:rFonts w:ascii="宋体"/>
                <w:color w:val="000000"/>
                <w:kern w:val="0"/>
              </w:rPr>
            </w:pPr>
            <w:r>
              <w:rPr>
                <w:rFonts w:ascii="宋体" w:hAnsi="宋体" w:cs="宋体"/>
                <w:color w:val="000000"/>
                <w:kern w:val="0"/>
              </w:rPr>
              <w:t>16</w:t>
            </w:r>
          </w:p>
        </w:tc>
        <w:tc>
          <w:tcPr>
            <w:tcW w:w="1036" w:type="dxa"/>
            <w:vAlign w:val="center"/>
          </w:tcPr>
          <w:p w14:paraId="753BFC02">
            <w:pPr>
              <w:widowControl/>
              <w:spacing w:line="320" w:lineRule="exact"/>
              <w:jc w:val="center"/>
              <w:rPr>
                <w:rFonts w:ascii="宋体"/>
                <w:color w:val="000000"/>
                <w:kern w:val="0"/>
              </w:rPr>
            </w:pPr>
            <w:r>
              <w:rPr>
                <w:rFonts w:ascii="宋体" w:hAnsi="宋体" w:cs="宋体"/>
                <w:color w:val="000000"/>
                <w:kern w:val="0"/>
              </w:rPr>
              <w:t>78.5</w:t>
            </w:r>
          </w:p>
        </w:tc>
        <w:tc>
          <w:tcPr>
            <w:tcW w:w="1274" w:type="dxa"/>
            <w:vAlign w:val="center"/>
          </w:tcPr>
          <w:p w14:paraId="00B6BE55">
            <w:pPr>
              <w:widowControl/>
              <w:spacing w:line="320" w:lineRule="exact"/>
              <w:jc w:val="center"/>
              <w:rPr>
                <w:rFonts w:ascii="宋体"/>
                <w:color w:val="000000"/>
                <w:kern w:val="0"/>
              </w:rPr>
            </w:pPr>
            <w:r>
              <w:rPr>
                <w:rFonts w:ascii="宋体" w:hAnsi="宋体" w:cs="宋体"/>
                <w:color w:val="000000"/>
                <w:kern w:val="0"/>
              </w:rPr>
              <w:t>14.7</w:t>
            </w:r>
          </w:p>
        </w:tc>
      </w:tr>
      <w:tr w14:paraId="13289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14915ACD">
            <w:pPr>
              <w:widowControl/>
              <w:spacing w:line="320" w:lineRule="exact"/>
              <w:ind w:firstLine="210" w:firstLineChars="100"/>
              <w:jc w:val="left"/>
              <w:rPr>
                <w:rFonts w:ascii="宋体"/>
                <w:kern w:val="0"/>
              </w:rPr>
            </w:pPr>
            <w:r>
              <w:rPr>
                <w:rFonts w:hint="eastAsia" w:ascii="宋体" w:hAnsi="宋体" w:cs="宋体"/>
                <w:kern w:val="0"/>
              </w:rPr>
              <w:t>第三产业（亿元）</w:t>
            </w:r>
          </w:p>
        </w:tc>
        <w:tc>
          <w:tcPr>
            <w:tcW w:w="1016" w:type="dxa"/>
            <w:vAlign w:val="center"/>
          </w:tcPr>
          <w:p w14:paraId="77CDFE93">
            <w:pPr>
              <w:widowControl/>
              <w:spacing w:line="320" w:lineRule="exact"/>
              <w:jc w:val="center"/>
              <w:rPr>
                <w:rFonts w:ascii="宋体"/>
                <w:kern w:val="0"/>
              </w:rPr>
            </w:pPr>
            <w:r>
              <w:rPr>
                <w:rFonts w:ascii="宋体" w:hAnsi="宋体" w:cs="宋体"/>
                <w:kern w:val="0"/>
              </w:rPr>
              <w:t>111</w:t>
            </w:r>
          </w:p>
        </w:tc>
        <w:tc>
          <w:tcPr>
            <w:tcW w:w="1590" w:type="dxa"/>
            <w:vAlign w:val="center"/>
          </w:tcPr>
          <w:p w14:paraId="08C27254">
            <w:pPr>
              <w:widowControl/>
              <w:spacing w:line="320" w:lineRule="exact"/>
              <w:jc w:val="center"/>
              <w:rPr>
                <w:rFonts w:ascii="宋体"/>
                <w:kern w:val="0"/>
              </w:rPr>
            </w:pPr>
            <w:r>
              <w:rPr>
                <w:rFonts w:ascii="宋体" w:hAnsi="宋体" w:cs="宋体"/>
                <w:kern w:val="0"/>
              </w:rPr>
              <w:t>10</w:t>
            </w:r>
          </w:p>
        </w:tc>
        <w:tc>
          <w:tcPr>
            <w:tcW w:w="1036" w:type="dxa"/>
            <w:vAlign w:val="center"/>
          </w:tcPr>
          <w:p w14:paraId="476DCB08">
            <w:pPr>
              <w:widowControl/>
              <w:spacing w:line="320" w:lineRule="exact"/>
              <w:jc w:val="center"/>
              <w:rPr>
                <w:rFonts w:ascii="宋体"/>
                <w:kern w:val="0"/>
              </w:rPr>
            </w:pPr>
            <w:r>
              <w:rPr>
                <w:rFonts w:ascii="宋体" w:hAnsi="宋体" w:cs="宋体"/>
                <w:kern w:val="0"/>
              </w:rPr>
              <w:t>101.5</w:t>
            </w:r>
          </w:p>
        </w:tc>
        <w:tc>
          <w:tcPr>
            <w:tcW w:w="1274" w:type="dxa"/>
            <w:vAlign w:val="center"/>
          </w:tcPr>
          <w:p w14:paraId="6BD76575">
            <w:pPr>
              <w:widowControl/>
              <w:spacing w:line="320" w:lineRule="exact"/>
              <w:jc w:val="center"/>
              <w:rPr>
                <w:rFonts w:ascii="宋体"/>
                <w:kern w:val="0"/>
              </w:rPr>
            </w:pPr>
            <w:r>
              <w:rPr>
                <w:rFonts w:ascii="宋体" w:hAnsi="宋体" w:cs="宋体"/>
                <w:kern w:val="0"/>
              </w:rPr>
              <w:t>9.6</w:t>
            </w:r>
          </w:p>
        </w:tc>
      </w:tr>
      <w:tr w14:paraId="3D32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461D832F">
            <w:pPr>
              <w:widowControl/>
              <w:spacing w:line="320" w:lineRule="exact"/>
              <w:jc w:val="left"/>
              <w:rPr>
                <w:rFonts w:ascii="宋体"/>
                <w:kern w:val="0"/>
              </w:rPr>
            </w:pPr>
            <w:r>
              <w:rPr>
                <w:rFonts w:hint="eastAsia" w:ascii="宋体" w:hAnsi="宋体" w:cs="宋体"/>
                <w:kern w:val="0"/>
              </w:rPr>
              <w:t>人均地区生产总值（元）</w:t>
            </w:r>
          </w:p>
        </w:tc>
        <w:tc>
          <w:tcPr>
            <w:tcW w:w="1016" w:type="dxa"/>
            <w:vAlign w:val="center"/>
          </w:tcPr>
          <w:p w14:paraId="3A1E6F91">
            <w:pPr>
              <w:widowControl/>
              <w:spacing w:line="320" w:lineRule="exact"/>
              <w:jc w:val="center"/>
              <w:rPr>
                <w:rFonts w:ascii="宋体"/>
                <w:kern w:val="0"/>
              </w:rPr>
            </w:pPr>
            <w:r>
              <w:rPr>
                <w:rFonts w:ascii="宋体" w:hAnsi="宋体" w:cs="宋体"/>
                <w:kern w:val="0"/>
              </w:rPr>
              <w:t>36860</w:t>
            </w:r>
          </w:p>
        </w:tc>
        <w:tc>
          <w:tcPr>
            <w:tcW w:w="1590" w:type="dxa"/>
            <w:vAlign w:val="center"/>
          </w:tcPr>
          <w:p w14:paraId="64B23432">
            <w:pPr>
              <w:widowControl/>
              <w:spacing w:line="320" w:lineRule="exact"/>
              <w:jc w:val="center"/>
              <w:rPr>
                <w:rFonts w:ascii="宋体"/>
                <w:kern w:val="0"/>
              </w:rPr>
            </w:pPr>
            <w:r>
              <w:rPr>
                <w:rFonts w:ascii="宋体" w:hAnsi="宋体" w:cs="宋体"/>
                <w:kern w:val="0"/>
              </w:rPr>
              <w:t>10.5</w:t>
            </w:r>
          </w:p>
        </w:tc>
        <w:tc>
          <w:tcPr>
            <w:tcW w:w="1036" w:type="dxa"/>
            <w:vAlign w:val="center"/>
          </w:tcPr>
          <w:p w14:paraId="6575F49E">
            <w:pPr>
              <w:widowControl/>
              <w:spacing w:line="320" w:lineRule="exact"/>
              <w:jc w:val="center"/>
              <w:rPr>
                <w:rFonts w:ascii="宋体"/>
                <w:kern w:val="0"/>
              </w:rPr>
            </w:pPr>
            <w:r>
              <w:rPr>
                <w:rFonts w:ascii="宋体" w:hAnsi="宋体" w:cs="宋体"/>
                <w:kern w:val="0"/>
              </w:rPr>
              <w:t>35129</w:t>
            </w:r>
          </w:p>
        </w:tc>
        <w:tc>
          <w:tcPr>
            <w:tcW w:w="1274" w:type="dxa"/>
            <w:vAlign w:val="center"/>
          </w:tcPr>
          <w:p w14:paraId="27E2B9F1">
            <w:pPr>
              <w:widowControl/>
              <w:spacing w:line="320" w:lineRule="exact"/>
              <w:jc w:val="center"/>
              <w:rPr>
                <w:rFonts w:ascii="宋体"/>
                <w:kern w:val="0"/>
              </w:rPr>
            </w:pPr>
            <w:r>
              <w:rPr>
                <w:rFonts w:ascii="宋体" w:hAnsi="宋体" w:cs="宋体"/>
                <w:kern w:val="0"/>
              </w:rPr>
              <w:t>12</w:t>
            </w:r>
            <w:r>
              <w:rPr>
                <w:rFonts w:ascii="宋体" w:cs="宋体"/>
                <w:kern w:val="0"/>
              </w:rPr>
              <w:t>.</w:t>
            </w:r>
            <w:r>
              <w:rPr>
                <w:rFonts w:ascii="宋体" w:hAnsi="宋体" w:cs="宋体"/>
                <w:kern w:val="0"/>
              </w:rPr>
              <w:t>5</w:t>
            </w:r>
          </w:p>
        </w:tc>
      </w:tr>
      <w:tr w14:paraId="2B923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7E241B27">
            <w:pPr>
              <w:widowControl/>
              <w:spacing w:line="320" w:lineRule="exact"/>
              <w:jc w:val="left"/>
              <w:rPr>
                <w:rFonts w:ascii="宋体"/>
                <w:kern w:val="0"/>
              </w:rPr>
            </w:pPr>
            <w:r>
              <w:rPr>
                <w:rFonts w:hint="eastAsia" w:ascii="宋体" w:hAnsi="宋体" w:cs="宋体"/>
                <w:kern w:val="0"/>
              </w:rPr>
              <w:t>财政收入（亿元）</w:t>
            </w:r>
          </w:p>
        </w:tc>
        <w:tc>
          <w:tcPr>
            <w:tcW w:w="1016" w:type="dxa"/>
            <w:vAlign w:val="center"/>
          </w:tcPr>
          <w:p w14:paraId="47829F7B">
            <w:pPr>
              <w:widowControl/>
              <w:spacing w:line="320" w:lineRule="exact"/>
              <w:jc w:val="center"/>
              <w:rPr>
                <w:rFonts w:ascii="宋体"/>
                <w:kern w:val="0"/>
              </w:rPr>
            </w:pPr>
            <w:r>
              <w:rPr>
                <w:rFonts w:ascii="宋体" w:hAnsi="宋体" w:cs="宋体"/>
                <w:kern w:val="0"/>
              </w:rPr>
              <w:t>27</w:t>
            </w:r>
          </w:p>
        </w:tc>
        <w:tc>
          <w:tcPr>
            <w:tcW w:w="1590" w:type="dxa"/>
            <w:vAlign w:val="center"/>
          </w:tcPr>
          <w:p w14:paraId="3B500589">
            <w:pPr>
              <w:widowControl/>
              <w:spacing w:line="320" w:lineRule="exact"/>
              <w:jc w:val="center"/>
              <w:rPr>
                <w:rFonts w:ascii="宋体"/>
                <w:kern w:val="0"/>
              </w:rPr>
            </w:pPr>
            <w:r>
              <w:rPr>
                <w:rFonts w:ascii="宋体" w:hAnsi="宋体" w:cs="宋体"/>
                <w:kern w:val="0"/>
              </w:rPr>
              <w:t>22</w:t>
            </w:r>
          </w:p>
        </w:tc>
        <w:tc>
          <w:tcPr>
            <w:tcW w:w="1036" w:type="dxa"/>
            <w:vAlign w:val="center"/>
          </w:tcPr>
          <w:p w14:paraId="20EE90CF">
            <w:pPr>
              <w:widowControl/>
              <w:spacing w:line="320" w:lineRule="exact"/>
              <w:jc w:val="center"/>
              <w:rPr>
                <w:rFonts w:ascii="宋体"/>
                <w:kern w:val="0"/>
              </w:rPr>
            </w:pPr>
            <w:r>
              <w:rPr>
                <w:rFonts w:ascii="宋体" w:hAnsi="宋体" w:cs="宋体"/>
                <w:kern w:val="0"/>
              </w:rPr>
              <w:t>25.5</w:t>
            </w:r>
          </w:p>
        </w:tc>
        <w:tc>
          <w:tcPr>
            <w:tcW w:w="1274" w:type="dxa"/>
            <w:vAlign w:val="center"/>
          </w:tcPr>
          <w:p w14:paraId="3F044BEF">
            <w:pPr>
              <w:widowControl/>
              <w:spacing w:line="320" w:lineRule="exact"/>
              <w:jc w:val="center"/>
              <w:rPr>
                <w:rFonts w:ascii="宋体"/>
                <w:kern w:val="0"/>
              </w:rPr>
            </w:pPr>
            <w:r>
              <w:rPr>
                <w:rFonts w:ascii="宋体" w:hAnsi="宋体" w:cs="宋体"/>
                <w:kern w:val="0"/>
              </w:rPr>
              <w:t>20.6</w:t>
            </w:r>
          </w:p>
        </w:tc>
      </w:tr>
      <w:tr w14:paraId="14C9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245F7111">
            <w:pPr>
              <w:widowControl/>
              <w:spacing w:line="320" w:lineRule="exact"/>
              <w:jc w:val="left"/>
              <w:rPr>
                <w:rFonts w:ascii="宋体"/>
                <w:kern w:val="0"/>
              </w:rPr>
            </w:pPr>
            <w:r>
              <w:rPr>
                <w:rFonts w:hint="eastAsia" w:ascii="宋体" w:hAnsi="宋体" w:cs="宋体"/>
                <w:kern w:val="0"/>
              </w:rPr>
              <w:t>五年累计全社会固定资产投资（亿元）</w:t>
            </w:r>
          </w:p>
        </w:tc>
        <w:tc>
          <w:tcPr>
            <w:tcW w:w="1016" w:type="dxa"/>
            <w:vAlign w:val="center"/>
          </w:tcPr>
          <w:p w14:paraId="18E4E32D">
            <w:pPr>
              <w:widowControl/>
              <w:spacing w:line="320" w:lineRule="exact"/>
              <w:jc w:val="center"/>
              <w:rPr>
                <w:rFonts w:ascii="宋体"/>
                <w:kern w:val="0"/>
              </w:rPr>
            </w:pPr>
            <w:r>
              <w:rPr>
                <w:rFonts w:ascii="宋体" w:hAnsi="宋体" w:cs="宋体"/>
                <w:kern w:val="0"/>
              </w:rPr>
              <w:t>73</w:t>
            </w:r>
            <w:r>
              <w:rPr>
                <w:rFonts w:ascii="宋体" w:cs="宋体"/>
                <w:kern w:val="0"/>
              </w:rPr>
              <w:t>0</w:t>
            </w:r>
          </w:p>
        </w:tc>
        <w:tc>
          <w:tcPr>
            <w:tcW w:w="1590" w:type="dxa"/>
            <w:vAlign w:val="center"/>
          </w:tcPr>
          <w:p w14:paraId="34C3DB46">
            <w:pPr>
              <w:widowControl/>
              <w:spacing w:line="320" w:lineRule="exact"/>
              <w:jc w:val="center"/>
              <w:rPr>
                <w:rFonts w:ascii="宋体"/>
                <w:color w:val="000000"/>
                <w:kern w:val="0"/>
              </w:rPr>
            </w:pPr>
            <w:r>
              <w:rPr>
                <w:rFonts w:ascii="宋体" w:hAnsi="宋体" w:cs="宋体"/>
                <w:color w:val="000000"/>
                <w:kern w:val="0"/>
              </w:rPr>
              <w:t>20</w:t>
            </w:r>
          </w:p>
        </w:tc>
        <w:tc>
          <w:tcPr>
            <w:tcW w:w="1036" w:type="dxa"/>
            <w:vAlign w:val="center"/>
          </w:tcPr>
          <w:p w14:paraId="0C86BB09">
            <w:pPr>
              <w:widowControl/>
              <w:spacing w:line="320" w:lineRule="exact"/>
              <w:jc w:val="center"/>
              <w:rPr>
                <w:rFonts w:ascii="宋体"/>
                <w:kern w:val="0"/>
              </w:rPr>
            </w:pPr>
            <w:r>
              <w:rPr>
                <w:rFonts w:ascii="宋体" w:hAnsi="宋体" w:cs="宋体"/>
                <w:kern w:val="0"/>
              </w:rPr>
              <w:t>764</w:t>
            </w:r>
          </w:p>
        </w:tc>
        <w:tc>
          <w:tcPr>
            <w:tcW w:w="1274" w:type="dxa"/>
            <w:vAlign w:val="center"/>
          </w:tcPr>
          <w:p w14:paraId="04A4C462">
            <w:pPr>
              <w:widowControl/>
              <w:spacing w:line="320" w:lineRule="exact"/>
              <w:jc w:val="center"/>
              <w:rPr>
                <w:rFonts w:ascii="宋体"/>
                <w:color w:val="000000"/>
                <w:kern w:val="0"/>
              </w:rPr>
            </w:pPr>
            <w:r>
              <w:rPr>
                <w:rFonts w:ascii="宋体" w:hAnsi="宋体" w:cs="宋体"/>
                <w:color w:val="000000"/>
                <w:kern w:val="0"/>
              </w:rPr>
              <w:t>22.5</w:t>
            </w:r>
          </w:p>
        </w:tc>
      </w:tr>
      <w:tr w14:paraId="12D35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2B6AB3C1">
            <w:pPr>
              <w:widowControl/>
              <w:spacing w:line="320" w:lineRule="exact"/>
              <w:jc w:val="left"/>
              <w:rPr>
                <w:rFonts w:ascii="宋体"/>
                <w:kern w:val="0"/>
              </w:rPr>
            </w:pPr>
            <w:r>
              <w:rPr>
                <w:rFonts w:hint="eastAsia" w:ascii="宋体" w:hAnsi="宋体" w:cs="宋体"/>
                <w:kern w:val="0"/>
              </w:rPr>
              <w:t>社会消费品零售总额（亿元）</w:t>
            </w:r>
          </w:p>
        </w:tc>
        <w:tc>
          <w:tcPr>
            <w:tcW w:w="1016" w:type="dxa"/>
            <w:vAlign w:val="center"/>
          </w:tcPr>
          <w:p w14:paraId="6922E79C">
            <w:pPr>
              <w:widowControl/>
              <w:spacing w:line="320" w:lineRule="exact"/>
              <w:jc w:val="center"/>
              <w:rPr>
                <w:rFonts w:ascii="宋体"/>
                <w:kern w:val="0"/>
              </w:rPr>
            </w:pPr>
            <w:r>
              <w:rPr>
                <w:rFonts w:ascii="宋体" w:hAnsi="宋体" w:cs="宋体"/>
                <w:kern w:val="0"/>
              </w:rPr>
              <w:t>84</w:t>
            </w:r>
          </w:p>
        </w:tc>
        <w:tc>
          <w:tcPr>
            <w:tcW w:w="1590" w:type="dxa"/>
            <w:vAlign w:val="center"/>
          </w:tcPr>
          <w:p w14:paraId="188028AB">
            <w:pPr>
              <w:widowControl/>
              <w:spacing w:line="320" w:lineRule="exact"/>
              <w:jc w:val="center"/>
              <w:rPr>
                <w:rFonts w:ascii="宋体"/>
                <w:color w:val="000000"/>
                <w:kern w:val="0"/>
              </w:rPr>
            </w:pPr>
            <w:r>
              <w:rPr>
                <w:rFonts w:ascii="宋体" w:hAnsi="宋体" w:cs="宋体"/>
                <w:color w:val="000000"/>
                <w:kern w:val="0"/>
              </w:rPr>
              <w:t>14</w:t>
            </w:r>
          </w:p>
        </w:tc>
        <w:tc>
          <w:tcPr>
            <w:tcW w:w="1036" w:type="dxa"/>
            <w:vAlign w:val="center"/>
          </w:tcPr>
          <w:p w14:paraId="145B6875">
            <w:pPr>
              <w:widowControl/>
              <w:spacing w:line="320" w:lineRule="exact"/>
              <w:jc w:val="center"/>
              <w:rPr>
                <w:rFonts w:ascii="宋体"/>
                <w:color w:val="000000"/>
                <w:kern w:val="0"/>
              </w:rPr>
            </w:pPr>
            <w:r>
              <w:rPr>
                <w:rFonts w:ascii="宋体" w:hAnsi="宋体" w:cs="宋体"/>
                <w:color w:val="000000"/>
                <w:kern w:val="0"/>
              </w:rPr>
              <w:t>96.4</w:t>
            </w:r>
          </w:p>
        </w:tc>
        <w:tc>
          <w:tcPr>
            <w:tcW w:w="1274" w:type="dxa"/>
            <w:vAlign w:val="center"/>
          </w:tcPr>
          <w:p w14:paraId="0CDBCCDA">
            <w:pPr>
              <w:widowControl/>
              <w:spacing w:line="320" w:lineRule="exact"/>
              <w:jc w:val="center"/>
              <w:rPr>
                <w:rFonts w:ascii="宋体"/>
                <w:color w:val="FF0000"/>
                <w:kern w:val="0"/>
              </w:rPr>
            </w:pPr>
            <w:r>
              <w:rPr>
                <w:rFonts w:ascii="宋体" w:hAnsi="宋体" w:cs="宋体"/>
                <w:color w:val="FF0000"/>
                <w:kern w:val="0"/>
              </w:rPr>
              <w:t>13</w:t>
            </w:r>
            <w:r>
              <w:rPr>
                <w:rFonts w:ascii="宋体" w:cs="宋体"/>
                <w:color w:val="FF0000"/>
                <w:kern w:val="0"/>
              </w:rPr>
              <w:t>.</w:t>
            </w:r>
            <w:r>
              <w:rPr>
                <w:rFonts w:ascii="宋体" w:hAnsi="宋体" w:cs="宋体"/>
                <w:color w:val="FF0000"/>
                <w:kern w:val="0"/>
              </w:rPr>
              <w:t>5</w:t>
            </w:r>
          </w:p>
        </w:tc>
      </w:tr>
      <w:tr w14:paraId="57F8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08F72614">
            <w:pPr>
              <w:widowControl/>
              <w:spacing w:line="320" w:lineRule="exact"/>
              <w:jc w:val="left"/>
              <w:rPr>
                <w:rFonts w:ascii="宋体"/>
                <w:kern w:val="0"/>
              </w:rPr>
            </w:pPr>
            <w:r>
              <w:rPr>
                <w:rFonts w:hint="eastAsia" w:ascii="宋体" w:hAnsi="宋体" w:cs="宋体"/>
                <w:kern w:val="0"/>
              </w:rPr>
              <w:t>旅游总收入（亿元）</w:t>
            </w:r>
          </w:p>
        </w:tc>
        <w:tc>
          <w:tcPr>
            <w:tcW w:w="1016" w:type="dxa"/>
            <w:vAlign w:val="center"/>
          </w:tcPr>
          <w:p w14:paraId="161789E1">
            <w:pPr>
              <w:widowControl/>
              <w:spacing w:line="320" w:lineRule="exact"/>
              <w:jc w:val="center"/>
              <w:rPr>
                <w:rFonts w:ascii="宋体"/>
                <w:kern w:val="0"/>
              </w:rPr>
            </w:pPr>
            <w:r>
              <w:rPr>
                <w:rFonts w:ascii="宋体" w:hAnsi="宋体" w:cs="宋体"/>
                <w:kern w:val="0"/>
              </w:rPr>
              <w:t>100</w:t>
            </w:r>
          </w:p>
        </w:tc>
        <w:tc>
          <w:tcPr>
            <w:tcW w:w="1590" w:type="dxa"/>
            <w:vAlign w:val="center"/>
          </w:tcPr>
          <w:p w14:paraId="057A85DE">
            <w:pPr>
              <w:widowControl/>
              <w:spacing w:line="320" w:lineRule="exact"/>
              <w:jc w:val="center"/>
              <w:rPr>
                <w:rFonts w:ascii="宋体"/>
                <w:color w:val="000000"/>
                <w:kern w:val="0"/>
              </w:rPr>
            </w:pPr>
            <w:r>
              <w:rPr>
                <w:rFonts w:ascii="宋体" w:hAnsi="宋体" w:cs="宋体"/>
                <w:color w:val="000000"/>
                <w:kern w:val="0"/>
              </w:rPr>
              <w:t>24</w:t>
            </w:r>
          </w:p>
        </w:tc>
        <w:tc>
          <w:tcPr>
            <w:tcW w:w="1036" w:type="dxa"/>
            <w:vAlign w:val="center"/>
          </w:tcPr>
          <w:p w14:paraId="6944E172">
            <w:pPr>
              <w:widowControl/>
              <w:spacing w:line="320" w:lineRule="exact"/>
              <w:jc w:val="center"/>
              <w:rPr>
                <w:rFonts w:ascii="宋体"/>
                <w:color w:val="000000"/>
                <w:kern w:val="0"/>
              </w:rPr>
            </w:pPr>
            <w:r>
              <w:rPr>
                <w:rFonts w:ascii="宋体" w:hAnsi="宋体" w:cs="宋体"/>
                <w:color w:val="000000"/>
                <w:kern w:val="0"/>
              </w:rPr>
              <w:t>134.6</w:t>
            </w:r>
          </w:p>
        </w:tc>
        <w:tc>
          <w:tcPr>
            <w:tcW w:w="1274" w:type="dxa"/>
            <w:vAlign w:val="center"/>
          </w:tcPr>
          <w:p w14:paraId="740CD18D">
            <w:pPr>
              <w:widowControl/>
              <w:spacing w:line="320" w:lineRule="exact"/>
              <w:jc w:val="center"/>
              <w:rPr>
                <w:rFonts w:ascii="宋体"/>
                <w:color w:val="000000"/>
                <w:kern w:val="0"/>
              </w:rPr>
            </w:pPr>
            <w:r>
              <w:rPr>
                <w:rFonts w:ascii="宋体" w:hAnsi="宋体" w:cs="宋体"/>
                <w:color w:val="000000"/>
                <w:kern w:val="0"/>
              </w:rPr>
              <w:t>31.2</w:t>
            </w:r>
          </w:p>
        </w:tc>
      </w:tr>
      <w:tr w14:paraId="665C3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6E846788">
            <w:pPr>
              <w:widowControl/>
              <w:spacing w:line="320" w:lineRule="exact"/>
              <w:jc w:val="left"/>
              <w:rPr>
                <w:rFonts w:ascii="宋体"/>
                <w:kern w:val="0"/>
              </w:rPr>
            </w:pPr>
            <w:r>
              <w:rPr>
                <w:rFonts w:hint="eastAsia" w:ascii="宋体" w:hAnsi="宋体" w:cs="宋体"/>
                <w:kern w:val="0"/>
              </w:rPr>
              <w:t>城镇居民人均可支配收入（元）</w:t>
            </w:r>
          </w:p>
        </w:tc>
        <w:tc>
          <w:tcPr>
            <w:tcW w:w="1016" w:type="dxa"/>
            <w:vAlign w:val="center"/>
          </w:tcPr>
          <w:p w14:paraId="34BA0CEC">
            <w:pPr>
              <w:widowControl/>
              <w:spacing w:line="320" w:lineRule="exact"/>
              <w:jc w:val="center"/>
              <w:rPr>
                <w:rFonts w:ascii="宋体"/>
                <w:kern w:val="0"/>
              </w:rPr>
            </w:pPr>
            <w:r>
              <w:rPr>
                <w:rFonts w:ascii="宋体" w:hAnsi="宋体" w:cs="宋体"/>
                <w:kern w:val="0"/>
              </w:rPr>
              <w:t>26299</w:t>
            </w:r>
          </w:p>
        </w:tc>
        <w:tc>
          <w:tcPr>
            <w:tcW w:w="1590" w:type="dxa"/>
            <w:vAlign w:val="center"/>
          </w:tcPr>
          <w:p w14:paraId="05D04DFF">
            <w:pPr>
              <w:widowControl/>
              <w:spacing w:line="320" w:lineRule="exact"/>
              <w:jc w:val="center"/>
              <w:rPr>
                <w:rFonts w:ascii="宋体"/>
                <w:kern w:val="0"/>
              </w:rPr>
            </w:pPr>
            <w:r>
              <w:rPr>
                <w:rFonts w:ascii="宋体" w:hAnsi="宋体" w:cs="宋体"/>
                <w:kern w:val="0"/>
              </w:rPr>
              <w:t>12</w:t>
            </w:r>
          </w:p>
        </w:tc>
        <w:tc>
          <w:tcPr>
            <w:tcW w:w="1036" w:type="dxa"/>
            <w:vAlign w:val="center"/>
          </w:tcPr>
          <w:p w14:paraId="60527043">
            <w:pPr>
              <w:widowControl/>
              <w:spacing w:line="320" w:lineRule="exact"/>
              <w:jc w:val="center"/>
              <w:rPr>
                <w:rFonts w:ascii="宋体"/>
                <w:kern w:val="0"/>
              </w:rPr>
            </w:pPr>
            <w:r>
              <w:rPr>
                <w:rFonts w:ascii="宋体" w:hAnsi="宋体" w:cs="宋体"/>
                <w:kern w:val="0"/>
              </w:rPr>
              <w:t>25162</w:t>
            </w:r>
          </w:p>
        </w:tc>
        <w:tc>
          <w:tcPr>
            <w:tcW w:w="1274" w:type="dxa"/>
            <w:vAlign w:val="center"/>
          </w:tcPr>
          <w:p w14:paraId="03161C73">
            <w:pPr>
              <w:widowControl/>
              <w:spacing w:line="320" w:lineRule="exact"/>
              <w:jc w:val="center"/>
              <w:rPr>
                <w:rFonts w:ascii="宋体"/>
                <w:kern w:val="0"/>
              </w:rPr>
            </w:pPr>
            <w:r>
              <w:rPr>
                <w:rFonts w:ascii="宋体" w:hAnsi="宋体" w:cs="宋体"/>
                <w:kern w:val="0"/>
              </w:rPr>
              <w:t>11.5</w:t>
            </w:r>
          </w:p>
        </w:tc>
      </w:tr>
      <w:tr w14:paraId="3A1F3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840" w:type="dxa"/>
            <w:vAlign w:val="center"/>
          </w:tcPr>
          <w:p w14:paraId="1E154CF9">
            <w:pPr>
              <w:widowControl/>
              <w:spacing w:line="320" w:lineRule="exact"/>
              <w:jc w:val="left"/>
              <w:rPr>
                <w:rFonts w:ascii="宋体"/>
                <w:kern w:val="0"/>
              </w:rPr>
            </w:pPr>
            <w:r>
              <w:rPr>
                <w:rFonts w:hint="eastAsia" w:ascii="宋体" w:hAnsi="宋体" w:cs="宋体"/>
                <w:kern w:val="0"/>
              </w:rPr>
              <w:t>农村居民人均可支配收入（元）</w:t>
            </w:r>
          </w:p>
        </w:tc>
        <w:tc>
          <w:tcPr>
            <w:tcW w:w="1016" w:type="dxa"/>
            <w:vAlign w:val="center"/>
          </w:tcPr>
          <w:p w14:paraId="6A11C04A">
            <w:pPr>
              <w:widowControl/>
              <w:spacing w:line="320" w:lineRule="exact"/>
              <w:jc w:val="center"/>
              <w:rPr>
                <w:rFonts w:ascii="宋体"/>
                <w:kern w:val="0"/>
              </w:rPr>
            </w:pPr>
            <w:r>
              <w:rPr>
                <w:rFonts w:ascii="宋体" w:hAnsi="宋体" w:cs="宋体"/>
                <w:kern w:val="0"/>
              </w:rPr>
              <w:t>12000</w:t>
            </w:r>
          </w:p>
        </w:tc>
        <w:tc>
          <w:tcPr>
            <w:tcW w:w="1590" w:type="dxa"/>
            <w:vAlign w:val="center"/>
          </w:tcPr>
          <w:p w14:paraId="5BE7BCE8">
            <w:pPr>
              <w:widowControl/>
              <w:spacing w:line="320" w:lineRule="exact"/>
              <w:jc w:val="center"/>
              <w:rPr>
                <w:rFonts w:ascii="宋体"/>
                <w:kern w:val="0"/>
              </w:rPr>
            </w:pPr>
            <w:r>
              <w:rPr>
                <w:rFonts w:ascii="宋体" w:hAnsi="宋体" w:cs="宋体"/>
                <w:kern w:val="0"/>
              </w:rPr>
              <w:t>14</w:t>
            </w:r>
          </w:p>
        </w:tc>
        <w:tc>
          <w:tcPr>
            <w:tcW w:w="1036" w:type="dxa"/>
            <w:vAlign w:val="center"/>
          </w:tcPr>
          <w:p w14:paraId="727D46B3">
            <w:pPr>
              <w:widowControl/>
              <w:spacing w:line="320" w:lineRule="exact"/>
              <w:jc w:val="center"/>
              <w:rPr>
                <w:rFonts w:ascii="宋体"/>
                <w:kern w:val="0"/>
              </w:rPr>
            </w:pPr>
            <w:r>
              <w:rPr>
                <w:rFonts w:ascii="宋体" w:hAnsi="宋体" w:cs="宋体"/>
                <w:kern w:val="0"/>
              </w:rPr>
              <w:t>11026</w:t>
            </w:r>
          </w:p>
        </w:tc>
        <w:tc>
          <w:tcPr>
            <w:tcW w:w="1274" w:type="dxa"/>
            <w:vAlign w:val="center"/>
          </w:tcPr>
          <w:p w14:paraId="43EE7AD5">
            <w:pPr>
              <w:widowControl/>
              <w:spacing w:line="320" w:lineRule="exact"/>
              <w:jc w:val="center"/>
              <w:rPr>
                <w:rFonts w:ascii="宋体"/>
                <w:kern w:val="0"/>
              </w:rPr>
            </w:pPr>
            <w:r>
              <w:rPr>
                <w:rFonts w:ascii="宋体" w:hAnsi="宋体" w:cs="宋体"/>
                <w:kern w:val="0"/>
              </w:rPr>
              <w:t>13</w:t>
            </w:r>
            <w:r>
              <w:rPr>
                <w:rFonts w:ascii="宋体" w:cs="宋体"/>
                <w:kern w:val="0"/>
              </w:rPr>
              <w:t>.</w:t>
            </w:r>
            <w:r>
              <w:rPr>
                <w:rFonts w:ascii="宋体" w:hAnsi="宋体" w:cs="宋体"/>
                <w:kern w:val="0"/>
              </w:rPr>
              <w:t>5</w:t>
            </w:r>
          </w:p>
        </w:tc>
      </w:tr>
    </w:tbl>
    <w:p w14:paraId="6FE12DB7">
      <w:bookmarkStart w:id="7" w:name="_Toc430532472"/>
      <w:bookmarkStart w:id="8" w:name="_Toc24071"/>
      <w:bookmarkStart w:id="9" w:name="_Toc9094"/>
      <w:bookmarkStart w:id="10" w:name="_Toc4758"/>
      <w:bookmarkStart w:id="11" w:name="_Toc432405429"/>
      <w:bookmarkStart w:id="12" w:name="_Toc432670925"/>
    </w:p>
    <w:p w14:paraId="1A649377">
      <w:r>
        <w:object>
          <v:shape id="_x0000_i1025" o:spt="75" type="#_x0000_t75" style="height:176.25pt;width:211.5pt;" o:ole="t" filled="f" o:preferrelative="t" stroked="f" coordsize="21600,21600">
            <v:path/>
            <v:fill on="f" focussize="0,0"/>
            <v:stroke on="f" joinstyle="miter"/>
            <v:imagedata r:id="rId8" o:title=""/>
            <o:lock v:ext="edit" aspectratio="f"/>
            <w10:wrap type="none"/>
            <w10:anchorlock/>
          </v:shape>
          <o:OLEObject Type="Embed" ProgID="Excel.Chart.8" ShapeID="_x0000_i1025" DrawAspect="Content" ObjectID="_1468075725" r:id="rId7">
            <o:LockedField>false</o:LockedField>
          </o:OLEObject>
        </w:object>
      </w:r>
      <w:r>
        <w:object>
          <v:shape id="_x0000_i1026" o:spt="75" type="#_x0000_t75" style="height:176.25pt;width:226.5pt;" o:ole="t" filled="f" o:preferrelative="t" stroked="f" coordsize="21600,21600">
            <v:path/>
            <v:fill on="f" focussize="0,0"/>
            <v:stroke on="f" joinstyle="miter"/>
            <v:imagedata r:id="rId10" o:title=""/>
            <o:lock v:ext="edit" aspectratio="f"/>
            <w10:wrap type="none"/>
            <w10:anchorlock/>
          </v:shape>
          <o:OLEObject Type="Embed" ProgID="Excel.Chart.8" ShapeID="_x0000_i1026" DrawAspect="Content" ObjectID="_1468075726" r:id="rId9">
            <o:LockedField>false</o:LockedField>
          </o:OLEObject>
        </w:object>
      </w:r>
    </w:p>
    <w:p w14:paraId="01EF8789">
      <w:pPr>
        <w:tabs>
          <w:tab w:val="left" w:pos="1843"/>
        </w:tabs>
      </w:pPr>
      <w:r>
        <w:object>
          <v:shape id="_x0000_i1027" o:spt="75" type="#_x0000_t75" style="height:187.5pt;width:211.5pt;" o:ole="t" filled="f" o:preferrelative="t" stroked="f" coordsize="21600,21600">
            <v:path/>
            <v:fill on="f" focussize="0,0"/>
            <v:stroke on="f" joinstyle="miter"/>
            <v:imagedata r:id="rId12" o:title=""/>
            <o:lock v:ext="edit" aspectratio="f"/>
            <w10:wrap type="none"/>
            <w10:anchorlock/>
          </v:shape>
          <o:OLEObject Type="Embed" ProgID="Excel.Chart.8" ShapeID="_x0000_i1027" DrawAspect="Content" ObjectID="_1468075727" r:id="rId11">
            <o:LockedField>false</o:LockedField>
          </o:OLEObject>
        </w:object>
      </w:r>
      <w:r>
        <w:object>
          <v:shape id="_x0000_i1028" o:spt="75" type="#_x0000_t75" style="height:187.5pt;width:226.5pt;" o:ole="t" filled="f" o:preferrelative="t" stroked="f" coordsize="21600,21600">
            <v:path/>
            <v:fill on="f" focussize="0,0"/>
            <v:stroke on="f" joinstyle="miter"/>
            <v:imagedata r:id="rId14" o:title=""/>
            <o:lock v:ext="edit" aspectratio="f"/>
            <w10:wrap type="none"/>
            <w10:anchorlock/>
          </v:shape>
          <o:OLEObject Type="Embed" ProgID="Excel.Chart.8" ShapeID="_x0000_i1028" DrawAspect="Content" ObjectID="_1468075728" r:id="rId13">
            <o:LockedField>false</o:LockedField>
          </o:OLEObject>
        </w:object>
      </w:r>
    </w:p>
    <w:p w14:paraId="70030ECA"/>
    <w:p w14:paraId="4556B8F4">
      <w:pPr>
        <w:pStyle w:val="4"/>
        <w:spacing w:after="60" w:line="480" w:lineRule="auto"/>
        <w:ind w:firstLine="643" w:firstLineChars="200"/>
        <w:jc w:val="left"/>
        <w:rPr>
          <w:rFonts w:ascii="方正仿宋简体" w:hAnsi="黑体" w:eastAsia="方正仿宋简体"/>
        </w:rPr>
      </w:pPr>
      <w:bookmarkStart w:id="13" w:name="_Toc449037205"/>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“十三五”发展面临形势</w:t>
      </w:r>
      <w:bookmarkEnd w:id="7"/>
      <w:bookmarkEnd w:id="8"/>
      <w:bookmarkEnd w:id="9"/>
      <w:bookmarkEnd w:id="10"/>
      <w:bookmarkEnd w:id="11"/>
      <w:bookmarkEnd w:id="12"/>
      <w:bookmarkEnd w:id="13"/>
      <w:bookmarkStart w:id="14" w:name="_Toc423332657"/>
      <w:bookmarkStart w:id="15" w:name="_Toc422305171"/>
    </w:p>
    <w:bookmarkEnd w:id="14"/>
    <w:bookmarkEnd w:id="15"/>
    <w:p w14:paraId="0C4B53B9">
      <w:pPr>
        <w:spacing w:line="62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“十三五”时期，全球经济格局正在发生深刻变化，我国经济进入新常态。总体看，机遇和挑战相互交织，时和势总体于我有利，我区仍处于可以大有作为的战略机遇期，有条件继续保持平稳较快发展。</w:t>
      </w:r>
    </w:p>
    <w:p w14:paraId="29C94496">
      <w:pPr>
        <w:spacing w:line="620" w:lineRule="exact"/>
        <w:ind w:firstLine="602" w:firstLineChars="200"/>
        <w:rPr>
          <w:rFonts w:ascii="方正仿宋简体" w:hAnsi="仿宋" w:eastAsia="方正仿宋简体"/>
          <w:sz w:val="32"/>
          <w:szCs w:val="32"/>
        </w:rPr>
      </w:pPr>
      <w:r>
        <w:rPr>
          <w:rFonts w:hint="eastAsia" w:ascii="方正楷体简体" w:hAnsi="仿宋" w:eastAsia="方正楷体简体" w:cs="方正楷体简体"/>
          <w:b/>
          <w:bCs/>
          <w:sz w:val="30"/>
          <w:szCs w:val="30"/>
        </w:rPr>
        <w:t>发展机遇。</w:t>
      </w:r>
      <w:r>
        <w:rPr>
          <w:rFonts w:hint="eastAsia" w:ascii="方正仿宋简体" w:hAnsi="仿宋" w:eastAsia="方正仿宋简体" w:cs="方正仿宋简体"/>
          <w:sz w:val="32"/>
          <w:szCs w:val="32"/>
        </w:rPr>
        <w:t>当前和今后一个时期，全球经济格局正在发生深刻变化，我国经济将保持中高速增长，我区加快发展面临诸多有利因素。一是国家实施“一带一路”、中部崛起、长江经济带和皖南国际文化旅游示范区战略，为我区融入国际国内经济大循环打开了重要机会窗口。二是国家实施制造强国战略、创新驱动发展战略、“互联网</w:t>
      </w:r>
      <w:r>
        <w:rPr>
          <w:rFonts w:ascii="方正仿宋简体" w:hAnsi="仿宋" w:eastAsia="方正仿宋简体" w:cs="方正仿宋简体"/>
          <w:sz w:val="32"/>
          <w:szCs w:val="32"/>
        </w:rPr>
        <w:t>+</w:t>
      </w:r>
      <w:r>
        <w:rPr>
          <w:rFonts w:hint="eastAsia" w:ascii="方正仿宋简体" w:hAnsi="仿宋" w:eastAsia="方正仿宋简体" w:cs="方正仿宋简体"/>
          <w:sz w:val="32"/>
          <w:szCs w:val="32"/>
        </w:rPr>
        <w:t>”行动计划，省市推进调结构转方式促升级行动计划，有利于我区加快调结构转方式促升级，提升产业核心竞争力。三是全面深化改革扎实推进，有利于破除制约发展的体制机制弊端，营造大众创业、万众创新热潮，为发展持续注入新动力。四是国家把生态文明建设提升到绿色发展高度，有利于我区发挥生态优势，拓展美丽贵池建设新空间。五是省市深入开展国家新型城镇化和海绵城市建设试点，有利于我区扩大投资和消费需求。六是随着飞机通航、高铁时代的到来，有利于我区扩大开放，创造更便利的条件，增添新的活力。七是经过历届传承接续、久久为功和多年来持续加大投入，我区发展平台基本成形，长期积累的投资效应和潜能将加速释放。</w:t>
      </w:r>
    </w:p>
    <w:p w14:paraId="0F39CABD">
      <w:pPr>
        <w:spacing w:line="620" w:lineRule="exact"/>
        <w:ind w:firstLine="602" w:firstLineChars="200"/>
        <w:rPr>
          <w:rFonts w:ascii="仿宋_GB2312" w:eastAsia="方正仿宋简体"/>
          <w:sz w:val="33"/>
          <w:szCs w:val="33"/>
        </w:rPr>
      </w:pPr>
      <w:r>
        <w:rPr>
          <w:rFonts w:hint="eastAsia" w:ascii="方正楷体简体" w:hAnsi="仿宋" w:eastAsia="方正楷体简体" w:cs="方正楷体简体"/>
          <w:b/>
          <w:bCs/>
          <w:sz w:val="30"/>
          <w:szCs w:val="30"/>
        </w:rPr>
        <w:t>面临挑战。</w:t>
      </w:r>
      <w:r>
        <w:rPr>
          <w:rFonts w:hint="eastAsia" w:ascii="方正仿宋简体" w:hAnsi="仿宋" w:eastAsia="方正仿宋简体" w:cs="方正仿宋简体"/>
          <w:sz w:val="32"/>
          <w:szCs w:val="32"/>
        </w:rPr>
        <w:t>进入“十三五”，外部环境总体趋紧，发展中深层次矛盾凸显，“三期叠加”带来新的困难和考验，</w:t>
      </w:r>
      <w:r>
        <w:rPr>
          <w:rFonts w:hint="eastAsia" w:ascii="仿宋_GB2312" w:eastAsia="方正仿宋简体" w:cs="方正仿宋简体"/>
          <w:sz w:val="33"/>
          <w:szCs w:val="33"/>
        </w:rPr>
        <w:t>发展不足、发展不优问题仍然突出，经济总量偏小、产业支撑不足的区情没有根本改变，</w:t>
      </w:r>
      <w:r>
        <w:rPr>
          <w:rFonts w:hint="eastAsia" w:ascii="方正仿宋简体" w:hAnsi="仿宋" w:eastAsia="方正仿宋简体" w:cs="方正仿宋简体"/>
          <w:sz w:val="32"/>
          <w:szCs w:val="32"/>
        </w:rPr>
        <w:t>对我区发展提出新的挑战和更高要求。</w:t>
      </w:r>
      <w:r>
        <w:rPr>
          <w:rFonts w:hint="eastAsia" w:ascii="仿宋_GB2312" w:eastAsia="方正仿宋简体" w:cs="方正仿宋简体"/>
          <w:sz w:val="33"/>
          <w:szCs w:val="33"/>
        </w:rPr>
        <w:t>一是产业结构不合理，发展方式粗放，创新能力不强；二是资源环境约束趋紧，新兴产业尚处于培育阶段，农业、服务业发展仍是“短板”；三是城镇化水平较低，基本公共服务供给不足；四是群众文明素质和社会文明程度有待提高，法治贵池建设任务艰巨；五是领导干部思想作风和能力水平有待提高，基层组织建设亟待加强，党员干部先锋模范作用有待强化。</w:t>
      </w:r>
    </w:p>
    <w:p w14:paraId="642FBC91">
      <w:pPr>
        <w:spacing w:line="620" w:lineRule="exact"/>
        <w:ind w:firstLine="640" w:firstLineChars="200"/>
        <w:rPr>
          <w:rFonts w:ascii="方正仿宋简体" w:hAnsi="仿宋" w:eastAsia="方正仿宋简体"/>
          <w:sz w:val="32"/>
          <w:szCs w:val="32"/>
        </w:rPr>
      </w:pPr>
    </w:p>
    <w:p w14:paraId="3D231438">
      <w:pPr>
        <w:pStyle w:val="3"/>
        <w:spacing w:after="120" w:line="480" w:lineRule="auto"/>
        <w:ind w:firstLine="640" w:firstLineChars="200"/>
        <w:jc w:val="left"/>
        <w:rPr>
          <w:rFonts w:ascii="方正黑体简体" w:hAnsi="黑体" w:eastAsia="方正黑体简体" w:cs="Times New Roman"/>
          <w:b w:val="0"/>
          <w:bCs w:val="0"/>
        </w:rPr>
      </w:pPr>
      <w:bookmarkStart w:id="16" w:name="_Toc449037206"/>
      <w:bookmarkStart w:id="17" w:name="_Toc435189514"/>
      <w:bookmarkStart w:id="18" w:name="_Toc434589892"/>
      <w:r>
        <w:rPr>
          <w:rFonts w:hint="eastAsia" w:ascii="方正黑体简体" w:hAnsi="黑体" w:eastAsia="方正黑体简体" w:cs="方正黑体简体"/>
          <w:b w:val="0"/>
          <w:bCs w:val="0"/>
        </w:rPr>
        <w:t>第二章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发展思路和目标</w:t>
      </w:r>
      <w:bookmarkEnd w:id="16"/>
    </w:p>
    <w:p w14:paraId="3533CA37">
      <w:pPr>
        <w:pStyle w:val="4"/>
        <w:spacing w:after="60" w:line="480" w:lineRule="auto"/>
        <w:ind w:firstLine="602" w:firstLineChars="200"/>
        <w:jc w:val="left"/>
        <w:rPr>
          <w:rFonts w:ascii="方正仿宋简体" w:hAnsi="黑体" w:eastAsia="方正仿宋简体"/>
          <w:sz w:val="30"/>
          <w:szCs w:val="30"/>
        </w:rPr>
      </w:pPr>
      <w:bookmarkStart w:id="19" w:name="_Toc449037207"/>
      <w:r>
        <w:rPr>
          <w:rFonts w:hint="eastAsia" w:ascii="方正仿宋简体" w:hAnsi="黑体" w:eastAsia="方正仿宋简体" w:cs="方正仿宋简体"/>
          <w:sz w:val="30"/>
          <w:szCs w:val="30"/>
        </w:rPr>
        <w:t>第一节</w:t>
      </w:r>
      <w:r>
        <w:rPr>
          <w:rFonts w:ascii="方正仿宋简体" w:hAnsi="黑体" w:eastAsia="方正仿宋简体" w:cs="方正仿宋简体"/>
          <w:sz w:val="30"/>
          <w:szCs w:val="30"/>
        </w:rPr>
        <w:t xml:space="preserve">  </w:t>
      </w:r>
      <w:r>
        <w:rPr>
          <w:rFonts w:hint="eastAsia" w:ascii="方正仿宋简体" w:hAnsi="黑体" w:eastAsia="方正仿宋简体" w:cs="方正仿宋简体"/>
          <w:sz w:val="30"/>
          <w:szCs w:val="30"/>
        </w:rPr>
        <w:t>指导思想</w:t>
      </w:r>
      <w:bookmarkEnd w:id="17"/>
      <w:bookmarkEnd w:id="18"/>
      <w:bookmarkEnd w:id="19"/>
    </w:p>
    <w:p w14:paraId="1D1013E4">
      <w:pPr>
        <w:spacing w:line="620" w:lineRule="exact"/>
        <w:ind w:firstLine="640" w:firstLineChars="200"/>
        <w:rPr>
          <w:rFonts w:ascii="方正黑体简体" w:hAnsi="仿宋" w:eastAsia="方正黑体简体"/>
          <w:sz w:val="32"/>
          <w:szCs w:val="32"/>
        </w:rPr>
      </w:pPr>
      <w:bookmarkStart w:id="20" w:name="_Toc433099758"/>
      <w:bookmarkStart w:id="21" w:name="_Toc435189517"/>
      <w:bookmarkStart w:id="22" w:name="_Toc432405434"/>
      <w:bookmarkStart w:id="23" w:name="_Toc21819"/>
      <w:bookmarkStart w:id="24" w:name="_Toc432670931"/>
      <w:bookmarkStart w:id="25" w:name="_Toc2083"/>
      <w:bookmarkStart w:id="26" w:name="_Toc17314"/>
      <w:r>
        <w:rPr>
          <w:rFonts w:hint="eastAsia" w:ascii="方正黑体简体" w:hAnsi="仿宋" w:eastAsia="方正黑体简体" w:cs="方正黑体简体"/>
          <w:sz w:val="32"/>
          <w:szCs w:val="32"/>
        </w:rPr>
        <w:t>高举中国特色社会主义伟大旗帜，全面贯彻党的十八大和十八届三中、四中、五中全会精神，以马列主义、毛泽东思想、邓小平理论和“三个代表”重要思想、科学发展观为指导，深入贯彻习近平总书记系列重要讲话精神，认真落实“四个全面”战略布局，坚持创新、协调、绿色、开放、共享发展理念，以全面建成小康社会为总目标，以“创新强区、创业富民”为主题，以调结构、转方式、促升级为主线，以提高经济发展质量效益为中心，大力推动工业和文化旅游业“双支撑”，园区经济和镇域经济协同发展，战略性新兴产业、高新技术产业和传统产业联动发展，一、二、三产融合发展，新型城镇化和美丽乡村建设协调发展，统筹推进经济、政治、文化、社会、生态文明“五位一体”建设和党的建设，加快建设皖江地区产业承接创新示范区、皖江地区新型城镇化先行区、国家生态文化旅游示范区、美丽中国建设先行区，确保如期同步全面建成小康社会，奋力开创“建设美丽贵池，创造美好生活”新局面。</w:t>
      </w:r>
    </w:p>
    <w:p w14:paraId="41E968F1">
      <w:pPr>
        <w:spacing w:line="59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如期实现全面建成小康社会奋斗目标，推动经济社会持续健康发展，必须坚持人民的主体地位，坚持科学发展，坚持改革创新，坚持依法治国，坚持扩大开放，坚持党的领导。具体要把握好以下原则：</w:t>
      </w:r>
    </w:p>
    <w:p w14:paraId="4D749CB7">
      <w:pPr>
        <w:spacing w:line="590" w:lineRule="exact"/>
        <w:ind w:firstLine="660" w:firstLineChars="200"/>
        <w:rPr>
          <w:rFonts w:ascii="方正仿宋简体" w:hAnsi="仿宋" w:eastAsia="方正仿宋简体"/>
          <w:sz w:val="32"/>
          <w:szCs w:val="32"/>
        </w:rPr>
      </w:pPr>
      <w:r>
        <w:rPr>
          <w:rFonts w:ascii="仿宋_GB2312" w:eastAsia="方正仿宋简体" w:cs="仿宋_GB2312"/>
          <w:sz w:val="33"/>
          <w:szCs w:val="33"/>
        </w:rPr>
        <w:t xml:space="preserve"> </w:t>
      </w:r>
      <w:r>
        <w:rPr>
          <w:rFonts w:ascii="方正仿宋简体" w:eastAsia="方正仿宋简体"/>
          <w:b/>
          <w:bCs/>
          <w:sz w:val="33"/>
          <w:szCs w:val="33"/>
        </w:rPr>
        <w:t>——</w:t>
      </w:r>
      <w:r>
        <w:rPr>
          <w:rFonts w:hint="eastAsia" w:ascii="方正楷体简体" w:hAnsi="仿宋" w:eastAsia="方正楷体简体" w:cs="方正楷体简体"/>
          <w:b/>
          <w:bCs/>
          <w:sz w:val="30"/>
          <w:szCs w:val="30"/>
        </w:rPr>
        <w:t>坚持人民共建共享。</w:t>
      </w:r>
      <w:r>
        <w:rPr>
          <w:rFonts w:hint="eastAsia" w:ascii="方正仿宋简体" w:hAnsi="仿宋" w:eastAsia="方正仿宋简体" w:cs="方正仿宋简体"/>
          <w:sz w:val="32"/>
          <w:szCs w:val="32"/>
        </w:rPr>
        <w:t>发展为了人民，发展依靠人民，发展成果为人民所共享，必须坚持人民主体地位，充分调动人民群众积极性、主动性和创造性。必须树立共享发展理念，让人民群众在共建中人人享有发展机遇，人人参与、人人尽力，使全体人民在共享发展中有更多的获得感。促进人的全面发展，从而实现让改革发展成果更多、更公平、更实在地惠及广大人民群众。</w:t>
      </w:r>
    </w:p>
    <w:p w14:paraId="4565EABD">
      <w:pPr>
        <w:spacing w:line="590" w:lineRule="exact"/>
        <w:ind w:firstLine="663" w:firstLineChars="200"/>
        <w:rPr>
          <w:rFonts w:ascii="方正仿宋简体" w:hAnsi="仿宋" w:eastAsia="方正仿宋简体"/>
          <w:sz w:val="32"/>
          <w:szCs w:val="32"/>
        </w:rPr>
      </w:pPr>
      <w:r>
        <w:rPr>
          <w:rFonts w:ascii="方正仿宋简体" w:eastAsia="方正仿宋简体"/>
          <w:b/>
          <w:bCs/>
          <w:sz w:val="33"/>
          <w:szCs w:val="33"/>
        </w:rPr>
        <w:t>——</w:t>
      </w:r>
      <w:r>
        <w:rPr>
          <w:rFonts w:hint="eastAsia" w:ascii="方正楷体简体" w:hAnsi="仿宋" w:eastAsia="方正楷体简体" w:cs="方正楷体简体"/>
          <w:b/>
          <w:bCs/>
          <w:sz w:val="30"/>
          <w:szCs w:val="30"/>
        </w:rPr>
        <w:t>坚持绿色永续共识。</w:t>
      </w:r>
      <w:r>
        <w:rPr>
          <w:rFonts w:hint="eastAsia" w:ascii="方正仿宋简体" w:hAnsi="仿宋" w:eastAsia="方正仿宋简体" w:cs="方正仿宋简体"/>
          <w:sz w:val="32"/>
          <w:szCs w:val="32"/>
        </w:rPr>
        <w:t>绿色是发展的本色，是永续发展的必要条件。要推动人口资源环境相均衡、经济社会生态效益相统一，人与自然和谐共生的绿色发展，必须用绿色发展理念引领经济发展方式创新，形成经济发展的“增长点”，才能使“绿色经济”成为新常态，让美丽与发展同行。必须树立尊重自然、顺应自然、保护自然的生态文明理念，增强全民节约意识、环保意识、生态意识，营造人人、事事、时时崇尚生态文明的新风尚。</w:t>
      </w:r>
      <w:r>
        <w:rPr>
          <w:rFonts w:ascii="方正仿宋简体" w:hAnsi="仿宋" w:eastAsia="方正仿宋简体" w:cs="方正仿宋简体"/>
          <w:sz w:val="32"/>
          <w:szCs w:val="32"/>
        </w:rPr>
        <w:t xml:space="preserve"> </w:t>
      </w:r>
    </w:p>
    <w:p w14:paraId="5658C437">
      <w:pPr>
        <w:spacing w:line="590" w:lineRule="exact"/>
        <w:ind w:firstLine="663" w:firstLineChars="200"/>
        <w:rPr>
          <w:rFonts w:ascii="方正仿宋简体" w:hAnsi="仿宋" w:eastAsia="方正仿宋简体"/>
          <w:sz w:val="32"/>
          <w:szCs w:val="32"/>
        </w:rPr>
      </w:pPr>
      <w:r>
        <w:rPr>
          <w:rFonts w:ascii="方正仿宋简体" w:eastAsia="方正仿宋简体"/>
          <w:b/>
          <w:bCs/>
          <w:sz w:val="33"/>
          <w:szCs w:val="33"/>
        </w:rPr>
        <w:t>——</w:t>
      </w:r>
      <w:r>
        <w:rPr>
          <w:rFonts w:hint="eastAsia" w:ascii="方正楷体简体" w:hAnsi="仿宋" w:eastAsia="方正楷体简体" w:cs="方正楷体简体"/>
          <w:b/>
          <w:bCs/>
          <w:sz w:val="30"/>
          <w:szCs w:val="30"/>
        </w:rPr>
        <w:t>坚持深化改革创新。</w:t>
      </w:r>
      <w:r>
        <w:rPr>
          <w:rFonts w:hint="eastAsia" w:ascii="方正仿宋简体" w:hAnsi="仿宋" w:eastAsia="方正仿宋简体" w:cs="方正仿宋简体"/>
          <w:sz w:val="32"/>
          <w:szCs w:val="32"/>
        </w:rPr>
        <w:t>改革创新是发展的强大动力，必须进一步解放思想</w:t>
      </w:r>
      <w:r>
        <w:rPr>
          <w:rFonts w:ascii="方正仿宋简体" w:hAnsi="仿宋" w:eastAsia="方正仿宋简体" w:cs="方正仿宋简体"/>
          <w:sz w:val="32"/>
          <w:szCs w:val="32"/>
        </w:rPr>
        <w:t xml:space="preserve"> </w:t>
      </w:r>
      <w:r>
        <w:rPr>
          <w:rFonts w:hint="eastAsia" w:ascii="方正仿宋简体" w:hAnsi="仿宋" w:eastAsia="方正仿宋简体" w:cs="方正仿宋简体"/>
          <w:sz w:val="32"/>
          <w:szCs w:val="32"/>
        </w:rPr>
        <w:t>、解放和发展生产力、解放和增强社会活力，健全使市场在资源配置中起决定性作用和更好发挥政府作用的制度体系，破除一切不利于科学发展的体制机制障碍，为发展提供持续动力。</w:t>
      </w:r>
    </w:p>
    <w:p w14:paraId="139479A7">
      <w:pPr>
        <w:spacing w:line="590" w:lineRule="exact"/>
        <w:ind w:firstLine="663" w:firstLineChars="200"/>
        <w:rPr>
          <w:rFonts w:ascii="方正仿宋简体" w:hAnsi="仿宋" w:eastAsia="方正仿宋简体"/>
          <w:sz w:val="32"/>
          <w:szCs w:val="32"/>
        </w:rPr>
      </w:pPr>
      <w:r>
        <w:rPr>
          <w:rFonts w:ascii="方正仿宋简体" w:eastAsia="方正仿宋简体"/>
          <w:b/>
          <w:bCs/>
          <w:sz w:val="33"/>
          <w:szCs w:val="33"/>
        </w:rPr>
        <w:t>——</w:t>
      </w:r>
      <w:r>
        <w:rPr>
          <w:rFonts w:hint="eastAsia" w:ascii="方正楷体简体" w:hAnsi="仿宋" w:eastAsia="方正楷体简体" w:cs="方正楷体简体"/>
          <w:b/>
          <w:bCs/>
          <w:sz w:val="30"/>
          <w:szCs w:val="30"/>
        </w:rPr>
        <w:t>坚持推进依法治区。</w:t>
      </w:r>
      <w:r>
        <w:rPr>
          <w:rFonts w:hint="eastAsia" w:ascii="方正仿宋简体" w:hAnsi="仿宋" w:eastAsia="方正仿宋简体" w:cs="方正仿宋简体"/>
          <w:sz w:val="32"/>
          <w:szCs w:val="32"/>
        </w:rPr>
        <w:t>法治是发展的可靠保障，必须坚持依法治区，推进严格执法、公正司法、全民守法，把经济社会发展纳入法治轨道，优化发展环境，促进治理体系和治理能力现代化。</w:t>
      </w:r>
    </w:p>
    <w:p w14:paraId="3619218D">
      <w:pPr>
        <w:spacing w:line="590" w:lineRule="exact"/>
        <w:ind w:firstLine="663" w:firstLineChars="200"/>
        <w:jc w:val="left"/>
        <w:rPr>
          <w:rFonts w:ascii="仿宋_GB2312" w:hAnsi="宋体" w:eastAsia="方正仿宋简体"/>
          <w:kern w:val="0"/>
          <w:sz w:val="33"/>
          <w:szCs w:val="33"/>
        </w:rPr>
      </w:pPr>
      <w:r>
        <w:rPr>
          <w:rFonts w:ascii="方正仿宋简体" w:eastAsia="方正仿宋简体"/>
          <w:b/>
          <w:bCs/>
          <w:sz w:val="33"/>
          <w:szCs w:val="33"/>
        </w:rPr>
        <w:t>——</w:t>
      </w:r>
      <w:r>
        <w:rPr>
          <w:rFonts w:hint="eastAsia" w:ascii="方正楷体简体" w:hAnsi="仿宋" w:eastAsia="方正楷体简体" w:cs="方正楷体简体"/>
          <w:b/>
          <w:bCs/>
          <w:sz w:val="30"/>
          <w:szCs w:val="30"/>
        </w:rPr>
        <w:t>坚持扩大对外开放。</w:t>
      </w:r>
      <w:r>
        <w:rPr>
          <w:rFonts w:hint="eastAsia" w:ascii="方正仿宋简体" w:hAnsi="仿宋" w:eastAsia="方正仿宋简体" w:cs="方正仿宋简体"/>
          <w:sz w:val="32"/>
          <w:szCs w:val="32"/>
        </w:rPr>
        <w:t>对外开放是发展的必然要求，必须强化大开放的理念，积极融入多层次区域经济体，全面拓展对内对外开放的广度和深度，全方位开展招商引资、招才引智、招工引技，在对外开放合作中拓展发展的渠道和空间。</w:t>
      </w:r>
    </w:p>
    <w:p w14:paraId="72274D05">
      <w:pPr>
        <w:spacing w:line="590" w:lineRule="exact"/>
        <w:ind w:firstLine="663" w:firstLineChars="200"/>
        <w:jc w:val="left"/>
        <w:rPr>
          <w:rFonts w:ascii="方正仿宋简体" w:hAnsi="仿宋" w:eastAsia="方正仿宋简体"/>
          <w:sz w:val="32"/>
          <w:szCs w:val="32"/>
        </w:rPr>
      </w:pPr>
      <w:r>
        <w:rPr>
          <w:rFonts w:ascii="方正仿宋简体" w:eastAsia="方正仿宋简体"/>
          <w:b/>
          <w:bCs/>
          <w:sz w:val="33"/>
          <w:szCs w:val="33"/>
        </w:rPr>
        <w:t>——</w:t>
      </w:r>
      <w:r>
        <w:rPr>
          <w:rFonts w:hint="eastAsia" w:ascii="方正楷体简体" w:hAnsi="仿宋" w:eastAsia="方正楷体简体" w:cs="方正楷体简体"/>
          <w:b/>
          <w:bCs/>
          <w:sz w:val="30"/>
          <w:szCs w:val="30"/>
        </w:rPr>
        <w:t>坚持加强党的领导。</w:t>
      </w:r>
      <w:r>
        <w:rPr>
          <w:rFonts w:hint="eastAsia" w:ascii="方正仿宋简体" w:hAnsi="仿宋" w:eastAsia="方正仿宋简体" w:cs="方正仿宋简体"/>
          <w:sz w:val="32"/>
          <w:szCs w:val="32"/>
        </w:rPr>
        <w:t>党的领导是实现经济社会持续健康发展的根本政治保证，必须贯彻全面从严治党要求，践行“三严三实”，做到忠诚干净担当，不断增强党组织的创造力、凝聚力、战斗力，充分发挥各级党委统揽全局、协调各方的领导核心作用。</w:t>
      </w:r>
    </w:p>
    <w:p w14:paraId="2238D494">
      <w:pPr>
        <w:pStyle w:val="4"/>
        <w:spacing w:after="60" w:line="620" w:lineRule="exact"/>
        <w:ind w:firstLine="643" w:firstLineChars="200"/>
        <w:jc w:val="left"/>
        <w:rPr>
          <w:rFonts w:ascii="方正仿宋简体" w:hAnsi="黑体" w:eastAsia="方正仿宋简体"/>
        </w:rPr>
      </w:pPr>
      <w:bookmarkStart w:id="27" w:name="_Toc449037208"/>
      <w:r>
        <w:rPr>
          <w:rFonts w:hint="eastAsia" w:ascii="方正仿宋简体" w:hAnsi="黑体" w:eastAsia="方正仿宋简体" w:cs="方正仿宋简体"/>
        </w:rPr>
        <w:t>第二节</w:t>
      </w:r>
      <w:r>
        <w:rPr>
          <w:rFonts w:ascii="方正仿宋简体" w:hAnsi="黑体" w:eastAsia="方正仿宋简体" w:cs="方正仿宋简体"/>
        </w:rPr>
        <w:t xml:space="preserve"> </w:t>
      </w:r>
      <w:bookmarkEnd w:id="20"/>
      <w:bookmarkEnd w:id="21"/>
      <w:r>
        <w:rPr>
          <w:rFonts w:ascii="方正仿宋简体" w:hAnsi="黑体" w:eastAsia="方正仿宋简体" w:cs="方正仿宋简体"/>
        </w:rPr>
        <w:t xml:space="preserve"> </w:t>
      </w:r>
      <w:r>
        <w:rPr>
          <w:rFonts w:hint="eastAsia" w:ascii="方正仿宋简体" w:hAnsi="黑体" w:eastAsia="方正仿宋简体" w:cs="方正仿宋简体"/>
        </w:rPr>
        <w:t>发展定位</w:t>
      </w:r>
      <w:bookmarkEnd w:id="27"/>
      <w:r>
        <w:rPr>
          <w:rFonts w:ascii="方正仿宋简体" w:hAnsi="黑体" w:eastAsia="方正仿宋简体"/>
        </w:rPr>
        <w:t> </w:t>
      </w:r>
    </w:p>
    <w:bookmarkEnd w:id="22"/>
    <w:bookmarkEnd w:id="23"/>
    <w:bookmarkEnd w:id="24"/>
    <w:bookmarkEnd w:id="25"/>
    <w:bookmarkEnd w:id="26"/>
    <w:p w14:paraId="46E7537A">
      <w:pPr>
        <w:spacing w:line="620" w:lineRule="exact"/>
        <w:ind w:firstLine="602" w:firstLineChars="200"/>
        <w:rPr>
          <w:rFonts w:ascii="方正仿宋简体" w:hAnsi="仿宋" w:eastAsia="方正仿宋简体"/>
          <w:sz w:val="32"/>
          <w:szCs w:val="32"/>
        </w:rPr>
      </w:pPr>
      <w:r>
        <w:rPr>
          <w:rFonts w:hint="eastAsia" w:ascii="方正楷体简体" w:hAnsi="仿宋" w:eastAsia="方正楷体简体" w:cs="方正楷体简体"/>
          <w:b/>
          <w:bCs/>
          <w:sz w:val="30"/>
          <w:szCs w:val="30"/>
        </w:rPr>
        <w:t>皖江地区产业承接创新示范区。</w:t>
      </w:r>
      <w:r>
        <w:rPr>
          <w:rFonts w:hint="eastAsia" w:ascii="方正仿宋简体" w:hAnsi="仿宋" w:eastAsia="方正仿宋简体" w:cs="方正仿宋简体"/>
          <w:sz w:val="32"/>
          <w:szCs w:val="32"/>
        </w:rPr>
        <w:t>依托池州高新区、前江工业园区、杏花村文化旅游区和齐石线非金属矿开采及精深加工带建设，大力承接先进制造业和现代服务业，重点发展电子信息、机械制造、金属和新型功能材料、文化旅游四大主导产业，加大培育新一代信息技术产业、高端装备制造、节能环保、新材料四大战略性新兴产业。充分利用“互联网</w:t>
      </w:r>
      <w:r>
        <w:rPr>
          <w:rFonts w:ascii="方正仿宋简体" w:hAnsi="仿宋" w:eastAsia="方正仿宋简体" w:cs="方正仿宋简体"/>
          <w:sz w:val="32"/>
          <w:szCs w:val="32"/>
        </w:rPr>
        <w:t>+</w:t>
      </w:r>
      <w:r>
        <w:rPr>
          <w:rFonts w:hint="eastAsia" w:ascii="方正仿宋简体" w:hAnsi="仿宋" w:eastAsia="方正仿宋简体" w:cs="方正仿宋简体"/>
          <w:sz w:val="32"/>
          <w:szCs w:val="32"/>
        </w:rPr>
        <w:t>”等平台，推动融合创新，催生新产业、新业态、新模式，构建现代产业体系，实现在承接中创新、在创新中发展，打造皖江地区产业承接创新示范区。</w:t>
      </w:r>
    </w:p>
    <w:p w14:paraId="6120E13E">
      <w:pPr>
        <w:spacing w:line="620" w:lineRule="exact"/>
        <w:ind w:firstLine="602" w:firstLineChars="200"/>
        <w:rPr>
          <w:rFonts w:ascii="方正仿宋简体" w:hAnsi="仿宋" w:eastAsia="方正仿宋简体"/>
          <w:sz w:val="32"/>
          <w:szCs w:val="32"/>
        </w:rPr>
      </w:pPr>
      <w:r>
        <w:rPr>
          <w:rFonts w:hint="eastAsia" w:ascii="方正楷体简体" w:hAnsi="仿宋" w:eastAsia="方正楷体简体" w:cs="方正楷体简体"/>
          <w:b/>
          <w:bCs/>
          <w:sz w:val="30"/>
          <w:szCs w:val="30"/>
        </w:rPr>
        <w:t>皖江地区新型城镇化先行区。</w:t>
      </w:r>
      <w:r>
        <w:rPr>
          <w:rFonts w:hint="eastAsia" w:ascii="方正仿宋简体" w:hAnsi="仿宋" w:eastAsia="方正仿宋简体" w:cs="方正仿宋简体"/>
          <w:sz w:val="32"/>
          <w:szCs w:val="32"/>
        </w:rPr>
        <w:t>紧抓国家新型城镇化试点省和长江经济带建设机遇，坚持尊重规律、因地制宜、分类指导、统筹推进原则，优化空间布局，加快形成以东部新区、西部新城为重点，以重点镇为支撑，以特色镇为纽带的城镇发展体系。以人的城镇化为核心，创新体制机制，积极推进农业转移人口市民化。统筹城乡发展，强化要素保障能力，提高城镇化质量和水平。促进产城融合发展，增强城镇综合承载力，走出一条高质量、可持续、广包容的城镇化道路，打造皖江地区新型城镇化先行区。</w:t>
      </w:r>
    </w:p>
    <w:p w14:paraId="1FC945F0">
      <w:pPr>
        <w:spacing w:line="620" w:lineRule="exact"/>
        <w:ind w:firstLine="602" w:firstLineChars="200"/>
        <w:rPr>
          <w:rFonts w:ascii="方正仿宋简体" w:hAnsi="仿宋" w:eastAsia="方正仿宋简体"/>
          <w:sz w:val="32"/>
          <w:szCs w:val="32"/>
        </w:rPr>
      </w:pPr>
      <w:r>
        <w:rPr>
          <w:rFonts w:hint="eastAsia" w:ascii="方正楷体简体" w:hAnsi="仿宋" w:eastAsia="方正楷体简体" w:cs="方正楷体简体"/>
          <w:b/>
          <w:bCs/>
          <w:sz w:val="30"/>
          <w:szCs w:val="30"/>
        </w:rPr>
        <w:t>国家生态文化旅游示范区。</w:t>
      </w:r>
      <w:r>
        <w:rPr>
          <w:rFonts w:hint="eastAsia" w:ascii="方正仿宋简体" w:hAnsi="仿宋" w:eastAsia="方正仿宋简体" w:cs="方正仿宋简体"/>
          <w:sz w:val="32"/>
          <w:szCs w:val="32"/>
        </w:rPr>
        <w:t>充分利用“皖南国际文化旅游示范区”建设契机，加强与周边主要旅游景区的合作与协作，加快文化旅游业与现代农业、现代服务业的深度融合，推动旅游全域化发展，将贵池建设成为皖南国际文化旅游示范区的北部核心区，长三角地区具有影响力的重点旅游城市，打造国家生态文化旅游示范区。</w:t>
      </w:r>
    </w:p>
    <w:p w14:paraId="6395D188">
      <w:pPr>
        <w:spacing w:line="620" w:lineRule="exact"/>
        <w:ind w:firstLine="602" w:firstLineChars="200"/>
        <w:rPr>
          <w:rFonts w:ascii="方正仿宋简体" w:hAnsi="仿宋" w:eastAsia="方正仿宋简体"/>
          <w:sz w:val="32"/>
          <w:szCs w:val="32"/>
        </w:rPr>
      </w:pPr>
      <w:r>
        <w:rPr>
          <w:rFonts w:hint="eastAsia" w:ascii="方正楷体简体" w:hAnsi="仿宋" w:eastAsia="方正楷体简体" w:cs="方正楷体简体"/>
          <w:b/>
          <w:bCs/>
          <w:sz w:val="30"/>
          <w:szCs w:val="30"/>
        </w:rPr>
        <w:t>美丽中国建设先行区。</w:t>
      </w:r>
      <w:r>
        <w:rPr>
          <w:rFonts w:hint="eastAsia" w:ascii="方正仿宋简体" w:hAnsi="仿宋" w:eastAsia="方正仿宋简体" w:cs="方正仿宋简体"/>
          <w:sz w:val="32"/>
          <w:szCs w:val="32"/>
        </w:rPr>
        <w:t>按照“四个全面”、“五位一体”要求，全面落实主体功能区规划，加强生态文明建设，发展绿色循环经济，推动产业转型升级。着力推进资源节约集约利用，推动农村人居环境整治，促进人与自然和谐共生。加快新型城镇化建设，建设幸福美好新家园，打造“美丽贵池”靓丽名片。</w:t>
      </w:r>
    </w:p>
    <w:p w14:paraId="0C1FE79F">
      <w:pPr>
        <w:pStyle w:val="4"/>
        <w:spacing w:after="60" w:line="480" w:lineRule="auto"/>
        <w:ind w:firstLine="643" w:firstLineChars="200"/>
        <w:jc w:val="left"/>
        <w:rPr>
          <w:rFonts w:ascii="方正仿宋简体" w:hAnsi="黑体" w:eastAsia="方正仿宋简体"/>
        </w:rPr>
      </w:pPr>
      <w:bookmarkStart w:id="28" w:name="_Toc435602904"/>
      <w:bookmarkStart w:id="29" w:name="_Toc432405436"/>
      <w:bookmarkStart w:id="30" w:name="_Toc432670933"/>
      <w:bookmarkStart w:id="31" w:name="_Toc449037209"/>
      <w:bookmarkStart w:id="32" w:name="_Toc769"/>
      <w:bookmarkStart w:id="33" w:name="_Toc26319"/>
      <w:bookmarkStart w:id="34" w:name="_Toc989"/>
      <w:bookmarkStart w:id="35" w:name="_Toc30482"/>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发展目标</w:t>
      </w:r>
      <w:bookmarkEnd w:id="28"/>
      <w:bookmarkEnd w:id="29"/>
      <w:bookmarkEnd w:id="30"/>
      <w:bookmarkEnd w:id="31"/>
      <w:bookmarkEnd w:id="32"/>
      <w:bookmarkEnd w:id="33"/>
      <w:bookmarkEnd w:id="34"/>
      <w:bookmarkEnd w:id="35"/>
    </w:p>
    <w:p w14:paraId="20F63EE8">
      <w:pPr>
        <w:spacing w:line="62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综合考虑未来发展趋势和条件，经过“十三五”时期的奋斗，努力实现“人均争先、生态领先、环境居先、文明创先、民生优先”</w:t>
      </w:r>
      <w:r>
        <w:rPr>
          <w:rFonts w:ascii="方正仿宋简体" w:hAnsi="仿宋" w:eastAsia="方正仿宋简体" w:cs="方正仿宋简体"/>
          <w:sz w:val="32"/>
          <w:szCs w:val="32"/>
        </w:rPr>
        <w:t xml:space="preserve"> </w:t>
      </w:r>
      <w:r>
        <w:rPr>
          <w:rFonts w:hint="eastAsia" w:ascii="方正仿宋简体" w:hAnsi="仿宋" w:eastAsia="方正仿宋简体" w:cs="方正仿宋简体"/>
          <w:sz w:val="32"/>
          <w:szCs w:val="32"/>
        </w:rPr>
        <w:t>等领域的争先进位，冲刺全省综合实力十五强县。</w:t>
      </w:r>
    </w:p>
    <w:p w14:paraId="7329EC68">
      <w:pPr>
        <w:spacing w:line="620" w:lineRule="exact"/>
        <w:ind w:firstLine="643" w:firstLineChars="200"/>
        <w:rPr>
          <w:rFonts w:ascii="方正仿宋简体" w:hAnsi="仿宋" w:eastAsia="方正仿宋简体"/>
          <w:sz w:val="32"/>
          <w:szCs w:val="32"/>
        </w:rPr>
      </w:pPr>
      <w:r>
        <w:rPr>
          <w:rFonts w:hint="eastAsia" w:ascii="仿宋_GB2312" w:eastAsia="方正楷体简体" w:cs="方正楷体简体"/>
          <w:b/>
          <w:bCs/>
          <w:color w:val="000000"/>
          <w:sz w:val="32"/>
          <w:szCs w:val="32"/>
        </w:rPr>
        <w:t>经济总量扩大，人均指标前移</w:t>
      </w:r>
      <w:r>
        <w:rPr>
          <w:rFonts w:hint="eastAsia" w:ascii="仿宋_GB2312" w:hAnsi="宋体" w:eastAsia="仿宋_GB2312" w:cs="仿宋_GB2312"/>
          <w:b/>
          <w:bCs/>
          <w:color w:val="000000"/>
          <w:kern w:val="0"/>
          <w:sz w:val="30"/>
          <w:szCs w:val="30"/>
        </w:rPr>
        <w:t>。</w:t>
      </w:r>
      <w:r>
        <w:rPr>
          <w:rFonts w:hint="eastAsia" w:ascii="方正仿宋简体" w:hAnsi="仿宋" w:eastAsia="方正仿宋简体" w:cs="方正仿宋简体"/>
          <w:sz w:val="32"/>
          <w:szCs w:val="32"/>
        </w:rPr>
        <w:t>经济保持中高速增长，地区生产总值年均增长</w:t>
      </w:r>
      <w:r>
        <w:rPr>
          <w:rFonts w:ascii="方正仿宋简体" w:hAnsi="仿宋" w:eastAsia="方正仿宋简体" w:cs="方正仿宋简体"/>
          <w:sz w:val="32"/>
          <w:szCs w:val="32"/>
        </w:rPr>
        <w:t>8.5%</w:t>
      </w:r>
      <w:r>
        <w:rPr>
          <w:rFonts w:hint="eastAsia" w:ascii="方正仿宋简体" w:hAnsi="仿宋" w:eastAsia="方正仿宋简体" w:cs="方正仿宋简体"/>
          <w:sz w:val="32"/>
          <w:szCs w:val="32"/>
        </w:rPr>
        <w:t>左右。到</w:t>
      </w:r>
      <w:r>
        <w:rPr>
          <w:rFonts w:ascii="方正仿宋简体" w:hAnsi="仿宋" w:eastAsia="方正仿宋简体" w:cs="方正仿宋简体"/>
          <w:sz w:val="32"/>
          <w:szCs w:val="32"/>
        </w:rPr>
        <w:t>2020</w:t>
      </w:r>
      <w:r>
        <w:rPr>
          <w:rFonts w:hint="eastAsia" w:ascii="方正仿宋简体" w:hAnsi="仿宋" w:eastAsia="方正仿宋简体" w:cs="方正仿宋简体"/>
          <w:sz w:val="32"/>
          <w:szCs w:val="32"/>
        </w:rPr>
        <w:t>年，经济总量突破</w:t>
      </w:r>
      <w:r>
        <w:rPr>
          <w:rFonts w:ascii="方正仿宋简体" w:hAnsi="仿宋" w:eastAsia="方正仿宋简体" w:cs="方正仿宋简体"/>
          <w:sz w:val="32"/>
          <w:szCs w:val="32"/>
        </w:rPr>
        <w:t>400</w:t>
      </w:r>
      <w:r>
        <w:rPr>
          <w:rFonts w:hint="eastAsia" w:ascii="方正仿宋简体" w:hAnsi="仿宋" w:eastAsia="方正仿宋简体" w:cs="方正仿宋简体"/>
          <w:sz w:val="32"/>
          <w:szCs w:val="32"/>
        </w:rPr>
        <w:t>亿元，力争实现翻番；规模以上工业企业达</w:t>
      </w:r>
      <w:r>
        <w:rPr>
          <w:rFonts w:ascii="方正仿宋简体" w:hAnsi="仿宋" w:eastAsia="方正仿宋简体" w:cs="方正仿宋简体"/>
          <w:sz w:val="32"/>
          <w:szCs w:val="32"/>
        </w:rPr>
        <w:t>300</w:t>
      </w:r>
      <w:r>
        <w:rPr>
          <w:rFonts w:hint="eastAsia" w:ascii="方正仿宋简体" w:hAnsi="仿宋" w:eastAsia="方正仿宋简体" w:cs="方正仿宋简体"/>
          <w:sz w:val="32"/>
          <w:szCs w:val="32"/>
        </w:rPr>
        <w:t>家以上；财政收入达</w:t>
      </w:r>
      <w:r>
        <w:rPr>
          <w:rFonts w:ascii="方正仿宋简体" w:hAnsi="仿宋" w:eastAsia="方正仿宋简体" w:cs="方正仿宋简体"/>
          <w:sz w:val="32"/>
          <w:szCs w:val="32"/>
        </w:rPr>
        <w:t>40</w:t>
      </w:r>
      <w:r>
        <w:rPr>
          <w:rFonts w:hint="eastAsia" w:ascii="方正仿宋简体" w:hAnsi="仿宋" w:eastAsia="方正仿宋简体" w:cs="方正仿宋简体"/>
          <w:sz w:val="32"/>
          <w:szCs w:val="32"/>
        </w:rPr>
        <w:t>亿元，其中</w:t>
      </w:r>
      <w:r>
        <w:rPr>
          <w:rFonts w:ascii="方正仿宋简体" w:hAnsi="仿宋" w:eastAsia="方正仿宋简体" w:cs="方正仿宋简体"/>
          <w:sz w:val="32"/>
          <w:szCs w:val="32"/>
        </w:rPr>
        <w:t>6</w:t>
      </w:r>
      <w:r>
        <w:rPr>
          <w:rFonts w:hint="eastAsia" w:ascii="方正仿宋简体" w:hAnsi="仿宋" w:eastAsia="方正仿宋简体" w:cs="方正仿宋简体"/>
          <w:sz w:val="32"/>
          <w:szCs w:val="32"/>
        </w:rPr>
        <w:t>个镇街道财政收入达亿元。全区规模以上工业企业主营业务收入达百亿元企业</w:t>
      </w:r>
      <w:r>
        <w:rPr>
          <w:rFonts w:ascii="方正仿宋简体" w:hAnsi="仿宋" w:eastAsia="方正仿宋简体" w:cs="方正仿宋简体"/>
          <w:sz w:val="32"/>
          <w:szCs w:val="32"/>
        </w:rPr>
        <w:t>1</w:t>
      </w:r>
      <w:r>
        <w:rPr>
          <w:rFonts w:hint="eastAsia" w:ascii="方正仿宋简体" w:hAnsi="仿宋" w:eastAsia="方正仿宋简体" w:cs="方正仿宋简体"/>
          <w:sz w:val="32"/>
          <w:szCs w:val="32"/>
        </w:rPr>
        <w:t>家，达</w:t>
      </w:r>
      <w:r>
        <w:rPr>
          <w:rFonts w:ascii="方正仿宋简体" w:hAnsi="仿宋" w:eastAsia="方正仿宋简体" w:cs="方正仿宋简体"/>
          <w:sz w:val="32"/>
          <w:szCs w:val="32"/>
        </w:rPr>
        <w:t>50</w:t>
      </w:r>
      <w:r>
        <w:rPr>
          <w:rFonts w:hint="eastAsia" w:ascii="方正仿宋简体" w:hAnsi="仿宋" w:eastAsia="方正仿宋简体" w:cs="方正仿宋简体"/>
          <w:sz w:val="32"/>
          <w:szCs w:val="32"/>
        </w:rPr>
        <w:t>亿元企业</w:t>
      </w:r>
      <w:r>
        <w:rPr>
          <w:rFonts w:ascii="方正仿宋简体" w:hAnsi="仿宋" w:eastAsia="方正仿宋简体" w:cs="方正仿宋简体"/>
          <w:sz w:val="32"/>
          <w:szCs w:val="32"/>
        </w:rPr>
        <w:t>3</w:t>
      </w:r>
      <w:r>
        <w:rPr>
          <w:rFonts w:hint="eastAsia" w:ascii="方正仿宋简体" w:hAnsi="仿宋" w:eastAsia="方正仿宋简体" w:cs="方正仿宋简体"/>
          <w:sz w:val="32"/>
          <w:szCs w:val="32"/>
        </w:rPr>
        <w:t>家，达</w:t>
      </w:r>
      <w:r>
        <w:rPr>
          <w:rFonts w:ascii="方正仿宋简体" w:hAnsi="仿宋" w:eastAsia="方正仿宋简体" w:cs="方正仿宋简体"/>
          <w:sz w:val="32"/>
          <w:szCs w:val="32"/>
        </w:rPr>
        <w:t>10</w:t>
      </w:r>
      <w:r>
        <w:rPr>
          <w:rFonts w:hint="eastAsia" w:ascii="方正仿宋简体" w:hAnsi="仿宋" w:eastAsia="方正仿宋简体" w:cs="方正仿宋简体"/>
          <w:sz w:val="32"/>
          <w:szCs w:val="32"/>
        </w:rPr>
        <w:t>亿元企业</w:t>
      </w:r>
      <w:r>
        <w:rPr>
          <w:rFonts w:ascii="方正仿宋简体" w:hAnsi="仿宋" w:eastAsia="方正仿宋简体" w:cs="方正仿宋简体"/>
          <w:sz w:val="32"/>
          <w:szCs w:val="32"/>
        </w:rPr>
        <w:t>10</w:t>
      </w:r>
      <w:r>
        <w:rPr>
          <w:rFonts w:hint="eastAsia" w:ascii="方正仿宋简体" w:hAnsi="仿宋" w:eastAsia="方正仿宋简体" w:cs="方正仿宋简体"/>
          <w:sz w:val="32"/>
          <w:szCs w:val="32"/>
        </w:rPr>
        <w:t>家。人均</w:t>
      </w:r>
      <w:r>
        <w:rPr>
          <w:rFonts w:ascii="方正仿宋简体" w:hAnsi="仿宋" w:eastAsia="方正仿宋简体" w:cs="方正仿宋简体"/>
          <w:sz w:val="32"/>
          <w:szCs w:val="32"/>
        </w:rPr>
        <w:t>GDP</w:t>
      </w:r>
      <w:r>
        <w:rPr>
          <w:rFonts w:hint="eastAsia" w:ascii="方正仿宋简体" w:hAnsi="仿宋" w:eastAsia="方正仿宋简体" w:cs="方正仿宋简体"/>
          <w:sz w:val="32"/>
          <w:szCs w:val="32"/>
        </w:rPr>
        <w:t>力争达到</w:t>
      </w:r>
      <w:r>
        <w:rPr>
          <w:rFonts w:ascii="方正仿宋简体" w:hAnsi="仿宋" w:eastAsia="方正仿宋简体" w:cs="方正仿宋简体"/>
          <w:sz w:val="32"/>
          <w:szCs w:val="32"/>
        </w:rPr>
        <w:t>1</w:t>
      </w:r>
      <w:r>
        <w:rPr>
          <w:rFonts w:hint="eastAsia" w:ascii="方正仿宋简体" w:hAnsi="仿宋" w:eastAsia="方正仿宋简体" w:cs="方正仿宋简体"/>
          <w:sz w:val="32"/>
          <w:szCs w:val="32"/>
        </w:rPr>
        <w:t>万美元以上，人均收入达全省平均水平。池州高新区、前江工业园区、杏花村文化旅游区综合实力在全省同类园区的位次进一步提升；县域经济实力在全省县区排名进一步靠前。</w:t>
      </w:r>
    </w:p>
    <w:p w14:paraId="4979C582">
      <w:pPr>
        <w:spacing w:line="620" w:lineRule="exact"/>
        <w:ind w:firstLine="643" w:firstLineChars="200"/>
        <w:rPr>
          <w:rFonts w:ascii="方正仿宋简体" w:hAnsi="仿宋" w:eastAsia="方正仿宋简体"/>
          <w:sz w:val="32"/>
          <w:szCs w:val="32"/>
        </w:rPr>
      </w:pPr>
      <w:r>
        <w:rPr>
          <w:rFonts w:hint="eastAsia" w:ascii="仿宋_GB2312" w:eastAsia="方正楷体简体" w:cs="方正楷体简体"/>
          <w:b/>
          <w:bCs/>
          <w:color w:val="000000"/>
          <w:sz w:val="32"/>
          <w:szCs w:val="32"/>
        </w:rPr>
        <w:t>创新能力提升，产业结构优化</w:t>
      </w:r>
      <w:r>
        <w:rPr>
          <w:rFonts w:hint="eastAsia" w:ascii="仿宋_GB2312" w:hAnsi="宋体" w:eastAsia="仿宋_GB2312" w:cs="仿宋_GB2312"/>
          <w:b/>
          <w:bCs/>
          <w:color w:val="000000"/>
          <w:kern w:val="0"/>
          <w:sz w:val="30"/>
          <w:szCs w:val="30"/>
        </w:rPr>
        <w:t>。</w:t>
      </w:r>
      <w:r>
        <w:rPr>
          <w:rFonts w:hint="eastAsia" w:ascii="方正仿宋简体" w:hAnsi="仿宋" w:eastAsia="方正仿宋简体" w:cs="方正仿宋简体"/>
          <w:sz w:val="32"/>
          <w:szCs w:val="32"/>
        </w:rPr>
        <w:t>调结构转方式促升级取得实质性进展，产业迈向中高端。全区三次产业结构比例优化至</w:t>
      </w:r>
      <w:r>
        <w:rPr>
          <w:rFonts w:ascii="方正仿宋简体" w:hAnsi="仿宋" w:eastAsia="方正仿宋简体" w:cs="方正仿宋简体"/>
          <w:sz w:val="32"/>
          <w:szCs w:val="32"/>
        </w:rPr>
        <w:t>10</w:t>
      </w:r>
      <w:r>
        <w:rPr>
          <w:rFonts w:hint="eastAsia" w:ascii="方正仿宋简体" w:hAnsi="仿宋" w:eastAsia="方正仿宋简体" w:cs="方正仿宋简体"/>
          <w:sz w:val="32"/>
          <w:szCs w:val="32"/>
        </w:rPr>
        <w:t>∶</w:t>
      </w:r>
      <w:r>
        <w:rPr>
          <w:rFonts w:ascii="方正仿宋简体" w:hAnsi="仿宋" w:eastAsia="方正仿宋简体" w:cs="方正仿宋简体"/>
          <w:sz w:val="32"/>
          <w:szCs w:val="32"/>
        </w:rPr>
        <w:t>45</w:t>
      </w:r>
      <w:r>
        <w:rPr>
          <w:rFonts w:hint="eastAsia" w:ascii="方正仿宋简体" w:hAnsi="仿宋" w:eastAsia="方正仿宋简体" w:cs="方正仿宋简体"/>
          <w:sz w:val="32"/>
          <w:szCs w:val="32"/>
        </w:rPr>
        <w:t>∶</w:t>
      </w:r>
      <w:r>
        <w:rPr>
          <w:rFonts w:ascii="方正仿宋简体" w:hAnsi="仿宋" w:eastAsia="方正仿宋简体" w:cs="方正仿宋简体"/>
          <w:sz w:val="32"/>
          <w:szCs w:val="32"/>
        </w:rPr>
        <w:t>45</w:t>
      </w:r>
      <w:r>
        <w:rPr>
          <w:rFonts w:hint="eastAsia" w:ascii="方正仿宋简体" w:hAnsi="仿宋" w:eastAsia="方正仿宋简体" w:cs="方正仿宋简体"/>
          <w:sz w:val="32"/>
          <w:szCs w:val="32"/>
        </w:rPr>
        <w:t>左右，工业化率力争达到</w:t>
      </w:r>
      <w:r>
        <w:rPr>
          <w:rFonts w:ascii="方正仿宋简体" w:hAnsi="仿宋" w:eastAsia="方正仿宋简体" w:cs="方正仿宋简体"/>
          <w:sz w:val="32"/>
          <w:szCs w:val="32"/>
        </w:rPr>
        <w:t>40%</w:t>
      </w:r>
      <w:r>
        <w:rPr>
          <w:rFonts w:hint="eastAsia" w:ascii="方正仿宋简体" w:hAnsi="仿宋" w:eastAsia="方正仿宋简体" w:cs="方正仿宋简体"/>
          <w:sz w:val="32"/>
          <w:szCs w:val="32"/>
        </w:rPr>
        <w:t>。科技创新能力明显增强，文化旅游业和现代服务业融合发展，农业产业化成效显著。全区高新技术产业产值占规模以上工业的比重力争达到</w:t>
      </w:r>
      <w:r>
        <w:rPr>
          <w:rFonts w:ascii="方正仿宋简体" w:hAnsi="仿宋" w:eastAsia="方正仿宋简体" w:cs="方正仿宋简体"/>
          <w:sz w:val="32"/>
          <w:szCs w:val="32"/>
        </w:rPr>
        <w:t>40%</w:t>
      </w:r>
      <w:r>
        <w:rPr>
          <w:rFonts w:hint="eastAsia" w:ascii="方正仿宋简体" w:hAnsi="仿宋" w:eastAsia="方正仿宋简体" w:cs="方正仿宋简体"/>
          <w:sz w:val="32"/>
          <w:szCs w:val="32"/>
        </w:rPr>
        <w:t>，以文化旅游业为主导的现代服务业营业收入占服务业比重达到</w:t>
      </w:r>
      <w:r>
        <w:rPr>
          <w:rFonts w:ascii="方正仿宋简体" w:hAnsi="仿宋" w:eastAsia="方正仿宋简体" w:cs="方正仿宋简体"/>
          <w:sz w:val="32"/>
          <w:szCs w:val="32"/>
        </w:rPr>
        <w:t>60%</w:t>
      </w:r>
      <w:r>
        <w:rPr>
          <w:rFonts w:hint="eastAsia" w:ascii="方正仿宋简体" w:hAnsi="仿宋" w:eastAsia="方正仿宋简体" w:cs="方正仿宋简体"/>
          <w:sz w:val="32"/>
          <w:szCs w:val="32"/>
        </w:rPr>
        <w:t>以上，农产品加工产值与农业产值之比达到</w:t>
      </w:r>
      <w:r>
        <w:rPr>
          <w:rFonts w:ascii="方正仿宋简体" w:hAnsi="仿宋" w:eastAsia="方正仿宋简体" w:cs="方正仿宋简体"/>
          <w:sz w:val="32"/>
          <w:szCs w:val="32"/>
        </w:rPr>
        <w:t>2.5</w:t>
      </w:r>
      <w:r>
        <w:rPr>
          <w:rFonts w:hint="eastAsia" w:ascii="方正仿宋简体" w:hAnsi="仿宋" w:eastAsia="方正仿宋简体" w:cs="方正仿宋简体"/>
          <w:sz w:val="32"/>
          <w:szCs w:val="32"/>
        </w:rPr>
        <w:t>，全区城镇化率达到</w:t>
      </w:r>
      <w:r>
        <w:rPr>
          <w:rFonts w:ascii="方正仿宋简体" w:hAnsi="仿宋" w:eastAsia="方正仿宋简体" w:cs="方正仿宋简体"/>
          <w:sz w:val="32"/>
          <w:szCs w:val="32"/>
        </w:rPr>
        <w:t>60%</w:t>
      </w:r>
      <w:r>
        <w:rPr>
          <w:rFonts w:hint="eastAsia" w:ascii="方正仿宋简体" w:hAnsi="仿宋" w:eastAsia="方正仿宋简体" w:cs="方正仿宋简体"/>
          <w:sz w:val="32"/>
          <w:szCs w:val="32"/>
        </w:rPr>
        <w:t>。</w:t>
      </w:r>
    </w:p>
    <w:p w14:paraId="4F6EE977">
      <w:pPr>
        <w:spacing w:line="620" w:lineRule="exact"/>
        <w:ind w:firstLine="643" w:firstLineChars="200"/>
        <w:rPr>
          <w:rFonts w:ascii="方正仿宋简体" w:hAnsi="仿宋" w:eastAsia="方正仿宋简体"/>
          <w:sz w:val="32"/>
          <w:szCs w:val="32"/>
        </w:rPr>
      </w:pPr>
      <w:r>
        <w:rPr>
          <w:rFonts w:hint="eastAsia" w:ascii="仿宋_GB2312" w:eastAsia="方正楷体简体" w:cs="方正楷体简体"/>
          <w:b/>
          <w:bCs/>
          <w:color w:val="000000"/>
          <w:sz w:val="32"/>
          <w:szCs w:val="32"/>
        </w:rPr>
        <w:t>生态优势彰显，绿色发展提升。</w:t>
      </w:r>
      <w:r>
        <w:rPr>
          <w:rFonts w:hint="eastAsia" w:ascii="方正仿宋简体" w:hAnsi="仿宋" w:eastAsia="方正仿宋简体" w:cs="方正仿宋简体"/>
          <w:sz w:val="32"/>
          <w:szCs w:val="32"/>
        </w:rPr>
        <w:t>绿色发展理念贯穿经济社会发展全过程，城镇空间、农业空间、生态空间科学布局，资源集约化水平明显提升，循环经济发展取得明显成效，单位</w:t>
      </w:r>
      <w:r>
        <w:rPr>
          <w:rFonts w:ascii="方正仿宋简体" w:hAnsi="仿宋" w:eastAsia="方正仿宋简体" w:cs="方正仿宋简体"/>
          <w:sz w:val="32"/>
          <w:szCs w:val="32"/>
        </w:rPr>
        <w:t>GDP</w:t>
      </w:r>
      <w:r>
        <w:rPr>
          <w:rFonts w:hint="eastAsia" w:ascii="方正仿宋简体" w:hAnsi="仿宋" w:eastAsia="方正仿宋简体" w:cs="方正仿宋简体"/>
          <w:sz w:val="32"/>
          <w:szCs w:val="32"/>
        </w:rPr>
        <w:t>能耗下降率及主要污染物减排量达到市控目标，森林覆盖率达到</w:t>
      </w:r>
      <w:r>
        <w:rPr>
          <w:rFonts w:ascii="方正仿宋简体" w:hAnsi="仿宋" w:eastAsia="方正仿宋简体" w:cs="方正仿宋简体"/>
          <w:sz w:val="32"/>
          <w:szCs w:val="32"/>
        </w:rPr>
        <w:t>50%</w:t>
      </w:r>
      <w:r>
        <w:rPr>
          <w:rFonts w:hint="eastAsia" w:ascii="方正仿宋简体" w:hAnsi="仿宋" w:eastAsia="方正仿宋简体" w:cs="方正仿宋简体"/>
          <w:sz w:val="32"/>
          <w:szCs w:val="32"/>
        </w:rPr>
        <w:t>，生态文明制度不断健全，生态系统稳定性增强。</w:t>
      </w:r>
    </w:p>
    <w:p w14:paraId="0CD353B8">
      <w:pPr>
        <w:spacing w:line="620" w:lineRule="exact"/>
        <w:ind w:firstLine="643" w:firstLineChars="200"/>
        <w:rPr>
          <w:rFonts w:ascii="方正仿宋简体" w:hAnsi="仿宋" w:eastAsia="方正仿宋简体"/>
          <w:sz w:val="32"/>
          <w:szCs w:val="32"/>
        </w:rPr>
      </w:pPr>
      <w:r>
        <w:rPr>
          <w:rFonts w:hint="eastAsia" w:ascii="仿宋_GB2312" w:eastAsia="方正楷体简体" w:cs="方正楷体简体"/>
          <w:b/>
          <w:bCs/>
          <w:color w:val="000000"/>
          <w:sz w:val="32"/>
          <w:szCs w:val="32"/>
        </w:rPr>
        <w:t>发展环境优化，社会文明进步。</w:t>
      </w:r>
      <w:r>
        <w:rPr>
          <w:rFonts w:hint="eastAsia" w:ascii="方正仿宋简体" w:hAnsi="仿宋" w:eastAsia="方正仿宋简体" w:cs="方正仿宋简体"/>
          <w:sz w:val="32"/>
          <w:szCs w:val="32"/>
        </w:rPr>
        <w:t>重点领域和关键环节改革取得决定性成果，市场在资源配置中的决定性作用更加突出，政府作用更好发挥。开放型经济水平全面提高，经济外向度进一步提升。法治政府基本建成，司法公信力明显提高。党的建设制度化水平显著提高。中国梦和社会主义核心价值观更加深入人心，人民思想道德素质、科学文化素质、健康素质明显提高。公共文化服务体系基本建成，文化产业快速发展，文化产业增加值占地区生产总值比重达</w:t>
      </w:r>
      <w:r>
        <w:rPr>
          <w:rFonts w:ascii="方正仿宋简体" w:hAnsi="仿宋" w:eastAsia="方正仿宋简体" w:cs="方正仿宋简体"/>
          <w:sz w:val="32"/>
          <w:szCs w:val="32"/>
        </w:rPr>
        <w:t>7%</w:t>
      </w:r>
      <w:r>
        <w:rPr>
          <w:rFonts w:hint="eastAsia" w:ascii="方正仿宋简体" w:hAnsi="仿宋" w:eastAsia="方正仿宋简体" w:cs="方正仿宋简体"/>
          <w:sz w:val="32"/>
          <w:szCs w:val="32"/>
        </w:rPr>
        <w:t>。</w:t>
      </w:r>
    </w:p>
    <w:p w14:paraId="5C91486A">
      <w:pPr>
        <w:spacing w:line="620" w:lineRule="exact"/>
        <w:ind w:firstLine="643" w:firstLineChars="200"/>
        <w:rPr>
          <w:rFonts w:ascii="方正仿宋简体" w:hAnsi="仿宋" w:eastAsia="方正仿宋简体"/>
          <w:sz w:val="32"/>
          <w:szCs w:val="32"/>
        </w:rPr>
      </w:pPr>
      <w:r>
        <w:rPr>
          <w:rFonts w:hint="eastAsia" w:ascii="仿宋_GB2312" w:eastAsia="方正楷体简体" w:cs="方正楷体简体"/>
          <w:b/>
          <w:bCs/>
          <w:color w:val="000000"/>
          <w:sz w:val="32"/>
          <w:szCs w:val="32"/>
        </w:rPr>
        <w:t>发展成果共享，人民生活幸福</w:t>
      </w:r>
      <w:r>
        <w:rPr>
          <w:rFonts w:hint="eastAsia" w:ascii="仿宋_GB2312" w:hAnsi="宋体" w:eastAsia="仿宋_GB2312" w:cs="仿宋_GB2312"/>
          <w:b/>
          <w:bCs/>
          <w:color w:val="000000"/>
          <w:kern w:val="0"/>
          <w:sz w:val="30"/>
          <w:szCs w:val="30"/>
        </w:rPr>
        <w:t>。</w:t>
      </w:r>
      <w:r>
        <w:rPr>
          <w:rFonts w:hint="eastAsia" w:ascii="方正仿宋简体" w:hAnsi="仿宋" w:eastAsia="方正仿宋简体" w:cs="方正仿宋简体"/>
          <w:sz w:val="32"/>
          <w:szCs w:val="32"/>
        </w:rPr>
        <w:t>居民收入增幅高于经济增幅，城乡居民收入差距逐步缩小。社会保障水平持续提升，教育、卫生等公共产品供给人人普惠。就业更加充分，城镇登记失业率控制在</w:t>
      </w:r>
      <w:r>
        <w:rPr>
          <w:rFonts w:ascii="方正仿宋简体" w:hAnsi="仿宋" w:eastAsia="方正仿宋简体" w:cs="方正仿宋简体"/>
          <w:sz w:val="32"/>
          <w:szCs w:val="32"/>
        </w:rPr>
        <w:t>4.5%</w:t>
      </w:r>
      <w:r>
        <w:rPr>
          <w:rFonts w:hint="eastAsia" w:ascii="方正仿宋简体" w:hAnsi="仿宋" w:eastAsia="方正仿宋简体" w:cs="方正仿宋简体"/>
          <w:sz w:val="32"/>
          <w:szCs w:val="32"/>
        </w:rPr>
        <w:t>以内。现行标准下农村贫困人口实现脱贫，贫困村整体实现脱贫，与全国、全省、全市同步全面建成小康社会。</w:t>
      </w:r>
    </w:p>
    <w:p w14:paraId="5288EDC6">
      <w:pPr>
        <w:spacing w:line="620" w:lineRule="exact"/>
        <w:ind w:firstLine="640" w:firstLineChars="200"/>
        <w:rPr>
          <w:rFonts w:ascii="方正仿宋简体" w:hAnsi="仿宋" w:eastAsia="方正仿宋简体"/>
          <w:sz w:val="32"/>
          <w:szCs w:val="32"/>
        </w:rPr>
      </w:pPr>
    </w:p>
    <w:p w14:paraId="54C876B3">
      <w:pPr>
        <w:jc w:val="center"/>
        <w:rPr>
          <w:rFonts w:ascii="方正仿宋简体" w:hAnsi="仿宋" w:eastAsia="方正仿宋简体"/>
          <w:b/>
          <w:bCs/>
          <w:sz w:val="28"/>
          <w:szCs w:val="28"/>
        </w:rPr>
      </w:pPr>
      <w:r>
        <w:rPr>
          <w:rFonts w:hint="eastAsia" w:ascii="方正仿宋简体" w:hAnsi="仿宋" w:eastAsia="方正仿宋简体" w:cs="方正仿宋简体"/>
          <w:b/>
          <w:bCs/>
          <w:sz w:val="28"/>
          <w:szCs w:val="28"/>
        </w:rPr>
        <w:t>专栏</w:t>
      </w:r>
      <w:r>
        <w:rPr>
          <w:rFonts w:ascii="方正仿宋简体" w:hAnsi="仿宋" w:eastAsia="方正仿宋简体" w:cs="方正仿宋简体"/>
          <w:b/>
          <w:bCs/>
          <w:sz w:val="28"/>
          <w:szCs w:val="28"/>
        </w:rPr>
        <w:t xml:space="preserve">2 </w:t>
      </w:r>
      <w:r>
        <w:rPr>
          <w:rFonts w:hint="eastAsia" w:ascii="方正仿宋简体" w:hAnsi="仿宋" w:eastAsia="方正仿宋简体" w:cs="方正仿宋简体"/>
          <w:b/>
          <w:bCs/>
          <w:sz w:val="28"/>
          <w:szCs w:val="28"/>
        </w:rPr>
        <w:t>“十三五”经济社会发展主要目标</w:t>
      </w:r>
    </w:p>
    <w:tbl>
      <w:tblPr>
        <w:tblStyle w:val="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3842"/>
        <w:gridCol w:w="1271"/>
        <w:gridCol w:w="21"/>
        <w:gridCol w:w="910"/>
        <w:gridCol w:w="1035"/>
        <w:gridCol w:w="1038"/>
        <w:gridCol w:w="757"/>
      </w:tblGrid>
      <w:tr w14:paraId="60027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25" w:hRule="atLeast"/>
          <w:tblHeader/>
          <w:jc w:val="center"/>
        </w:trPr>
        <w:tc>
          <w:tcPr>
            <w:tcW w:w="2881" w:type="pct"/>
            <w:gridSpan w:val="2"/>
            <w:vAlign w:val="center"/>
          </w:tcPr>
          <w:p w14:paraId="307B6A49">
            <w:pPr>
              <w:widowControl/>
              <w:spacing w:line="400" w:lineRule="exact"/>
              <w:jc w:val="center"/>
              <w:textAlignment w:val="center"/>
              <w:rPr>
                <w:b/>
                <w:bCs/>
                <w:kern w:val="0"/>
              </w:rPr>
            </w:pPr>
            <w:r>
              <w:rPr>
                <w:rFonts w:hint="eastAsia" w:cs="宋体"/>
                <w:b/>
                <w:bCs/>
                <w:kern w:val="0"/>
              </w:rPr>
              <w:t>指</w:t>
            </w:r>
            <w:r>
              <w:rPr>
                <w:b/>
                <w:bCs/>
                <w:kern w:val="0"/>
              </w:rPr>
              <w:t xml:space="preserve">    </w:t>
            </w:r>
            <w:r>
              <w:rPr>
                <w:rFonts w:hint="eastAsia" w:cs="宋体"/>
                <w:b/>
                <w:bCs/>
                <w:kern w:val="0"/>
              </w:rPr>
              <w:t>标</w:t>
            </w:r>
          </w:p>
        </w:tc>
        <w:tc>
          <w:tcPr>
            <w:tcW w:w="525" w:type="pct"/>
            <w:gridSpan w:val="2"/>
            <w:vAlign w:val="center"/>
          </w:tcPr>
          <w:p w14:paraId="4C7A8101">
            <w:pPr>
              <w:widowControl/>
              <w:spacing w:line="400" w:lineRule="exact"/>
              <w:jc w:val="center"/>
              <w:textAlignment w:val="center"/>
              <w:rPr>
                <w:b/>
                <w:bCs/>
                <w:kern w:val="0"/>
              </w:rPr>
            </w:pPr>
            <w:r>
              <w:rPr>
                <w:b/>
                <w:bCs/>
                <w:kern w:val="0"/>
              </w:rPr>
              <w:t>2015</w:t>
            </w:r>
            <w:r>
              <w:rPr>
                <w:rFonts w:hint="eastAsia" w:cs="宋体"/>
                <w:b/>
                <w:bCs/>
                <w:kern w:val="0"/>
              </w:rPr>
              <w:t>年</w:t>
            </w:r>
          </w:p>
          <w:p w14:paraId="657E4979">
            <w:pPr>
              <w:widowControl/>
              <w:spacing w:line="400" w:lineRule="exact"/>
              <w:jc w:val="center"/>
              <w:textAlignment w:val="center"/>
              <w:rPr>
                <w:b/>
                <w:bCs/>
                <w:kern w:val="0"/>
              </w:rPr>
            </w:pPr>
            <w:r>
              <w:rPr>
                <w:rFonts w:hint="eastAsia" w:cs="宋体"/>
                <w:b/>
                <w:bCs/>
                <w:kern w:val="0"/>
              </w:rPr>
              <w:t>预计</w:t>
            </w:r>
          </w:p>
        </w:tc>
        <w:tc>
          <w:tcPr>
            <w:tcW w:w="583" w:type="pct"/>
            <w:vAlign w:val="center"/>
          </w:tcPr>
          <w:p w14:paraId="63981A5E">
            <w:pPr>
              <w:widowControl/>
              <w:spacing w:line="400" w:lineRule="exact"/>
              <w:jc w:val="center"/>
              <w:textAlignment w:val="center"/>
              <w:rPr>
                <w:b/>
                <w:bCs/>
                <w:kern w:val="0"/>
              </w:rPr>
            </w:pPr>
            <w:r>
              <w:rPr>
                <w:b/>
                <w:bCs/>
                <w:kern w:val="0"/>
              </w:rPr>
              <w:t>2020</w:t>
            </w:r>
            <w:r>
              <w:rPr>
                <w:rFonts w:hint="eastAsia" w:cs="宋体"/>
                <w:b/>
                <w:bCs/>
                <w:kern w:val="0"/>
              </w:rPr>
              <w:t>年</w:t>
            </w:r>
          </w:p>
          <w:p w14:paraId="307EF1DF">
            <w:pPr>
              <w:widowControl/>
              <w:spacing w:line="400" w:lineRule="exact"/>
              <w:jc w:val="center"/>
              <w:textAlignment w:val="center"/>
              <w:rPr>
                <w:b/>
                <w:bCs/>
                <w:kern w:val="0"/>
              </w:rPr>
            </w:pPr>
            <w:r>
              <w:rPr>
                <w:rFonts w:hint="eastAsia" w:cs="宋体"/>
                <w:b/>
                <w:bCs/>
                <w:kern w:val="0"/>
              </w:rPr>
              <w:t>目标</w:t>
            </w:r>
          </w:p>
        </w:tc>
        <w:tc>
          <w:tcPr>
            <w:tcW w:w="585" w:type="pct"/>
            <w:vAlign w:val="center"/>
          </w:tcPr>
          <w:p w14:paraId="731F6715">
            <w:pPr>
              <w:widowControl/>
              <w:spacing w:line="400" w:lineRule="exact"/>
              <w:jc w:val="center"/>
              <w:textAlignment w:val="center"/>
              <w:rPr>
                <w:b/>
                <w:bCs/>
                <w:kern w:val="0"/>
              </w:rPr>
            </w:pPr>
            <w:r>
              <w:rPr>
                <w:rFonts w:hint="eastAsia" w:cs="宋体"/>
                <w:b/>
                <w:bCs/>
                <w:kern w:val="0"/>
              </w:rPr>
              <w:t>年均增长</w:t>
            </w:r>
          </w:p>
          <w:p w14:paraId="265A91D1">
            <w:pPr>
              <w:widowControl/>
              <w:spacing w:line="400" w:lineRule="exact"/>
              <w:jc w:val="center"/>
              <w:textAlignment w:val="center"/>
              <w:rPr>
                <w:b/>
                <w:bCs/>
                <w:kern w:val="0"/>
              </w:rPr>
            </w:pPr>
            <w:r>
              <w:rPr>
                <w:rFonts w:hint="eastAsia" w:cs="宋体"/>
                <w:b/>
                <w:bCs/>
                <w:kern w:val="0"/>
              </w:rPr>
              <w:t>（</w:t>
            </w:r>
            <w:r>
              <w:rPr>
                <w:b/>
                <w:bCs/>
                <w:kern w:val="0"/>
              </w:rPr>
              <w:t>%</w:t>
            </w:r>
            <w:r>
              <w:rPr>
                <w:rFonts w:hint="eastAsia" w:cs="宋体"/>
                <w:b/>
                <w:bCs/>
                <w:kern w:val="0"/>
              </w:rPr>
              <w:t>）</w:t>
            </w:r>
          </w:p>
        </w:tc>
        <w:tc>
          <w:tcPr>
            <w:tcW w:w="426" w:type="pct"/>
            <w:vAlign w:val="center"/>
          </w:tcPr>
          <w:p w14:paraId="724390D0">
            <w:pPr>
              <w:widowControl/>
              <w:spacing w:line="400" w:lineRule="exact"/>
              <w:jc w:val="center"/>
              <w:textAlignment w:val="center"/>
              <w:rPr>
                <w:b/>
                <w:bCs/>
                <w:kern w:val="0"/>
              </w:rPr>
            </w:pPr>
            <w:r>
              <w:rPr>
                <w:rFonts w:hint="eastAsia" w:cs="宋体"/>
                <w:b/>
                <w:bCs/>
                <w:kern w:val="0"/>
              </w:rPr>
              <w:t>指标</w:t>
            </w:r>
          </w:p>
          <w:p w14:paraId="11CA292F">
            <w:pPr>
              <w:widowControl/>
              <w:spacing w:line="400" w:lineRule="exact"/>
              <w:jc w:val="center"/>
              <w:textAlignment w:val="center"/>
              <w:rPr>
                <w:b/>
                <w:bCs/>
                <w:kern w:val="0"/>
              </w:rPr>
            </w:pPr>
            <w:r>
              <w:rPr>
                <w:rFonts w:hint="eastAsia" w:cs="宋体"/>
                <w:b/>
                <w:bCs/>
                <w:kern w:val="0"/>
              </w:rPr>
              <w:t>属性</w:t>
            </w:r>
          </w:p>
        </w:tc>
      </w:tr>
      <w:tr w14:paraId="749B5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5000" w:type="pct"/>
            <w:gridSpan w:val="7"/>
            <w:vAlign w:val="center"/>
          </w:tcPr>
          <w:p w14:paraId="27012B7C">
            <w:pPr>
              <w:widowControl/>
              <w:spacing w:line="400" w:lineRule="exact"/>
              <w:jc w:val="left"/>
              <w:textAlignment w:val="center"/>
              <w:rPr>
                <w:rFonts w:eastAsia="黑体"/>
                <w:kern w:val="0"/>
              </w:rPr>
            </w:pPr>
            <w:r>
              <w:rPr>
                <w:rFonts w:hint="eastAsia" w:eastAsia="黑体" w:cs="黑体"/>
                <w:kern w:val="0"/>
              </w:rPr>
              <w:t>一、经济发展</w:t>
            </w:r>
          </w:p>
        </w:tc>
      </w:tr>
      <w:tr w14:paraId="2C7E1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33" w:hRule="atLeast"/>
          <w:jc w:val="center"/>
        </w:trPr>
        <w:tc>
          <w:tcPr>
            <w:tcW w:w="2881" w:type="pct"/>
            <w:gridSpan w:val="2"/>
            <w:vAlign w:val="center"/>
          </w:tcPr>
          <w:p w14:paraId="131DD698">
            <w:pPr>
              <w:widowControl/>
              <w:spacing w:line="400" w:lineRule="exact"/>
              <w:jc w:val="left"/>
              <w:textAlignment w:val="center"/>
              <w:rPr>
                <w:rFonts w:ascii="宋体"/>
                <w:kern w:val="0"/>
              </w:rPr>
            </w:pPr>
            <w:r>
              <w:rPr>
                <w:rFonts w:ascii="宋体" w:hAnsi="宋体" w:cs="宋体"/>
                <w:kern w:val="0"/>
              </w:rPr>
              <w:t>1.</w:t>
            </w:r>
            <w:r>
              <w:rPr>
                <w:rFonts w:hint="eastAsia" w:ascii="宋体" w:hAnsi="宋体" w:cs="宋体"/>
                <w:kern w:val="0"/>
              </w:rPr>
              <w:t>地区生产总值（亿元）</w:t>
            </w:r>
          </w:p>
        </w:tc>
        <w:tc>
          <w:tcPr>
            <w:tcW w:w="525" w:type="pct"/>
            <w:gridSpan w:val="2"/>
            <w:vAlign w:val="center"/>
          </w:tcPr>
          <w:p w14:paraId="0A664A40">
            <w:pPr>
              <w:widowControl/>
              <w:spacing w:line="400" w:lineRule="exact"/>
              <w:jc w:val="center"/>
              <w:textAlignment w:val="center"/>
              <w:rPr>
                <w:rFonts w:ascii="宋体"/>
                <w:color w:val="000000"/>
                <w:kern w:val="0"/>
              </w:rPr>
            </w:pPr>
            <w:r>
              <w:rPr>
                <w:rFonts w:ascii="宋体" w:hAnsi="宋体" w:cs="宋体"/>
                <w:color w:val="000000"/>
                <w:kern w:val="0"/>
              </w:rPr>
              <w:t>235</w:t>
            </w:r>
          </w:p>
        </w:tc>
        <w:tc>
          <w:tcPr>
            <w:tcW w:w="583" w:type="pct"/>
            <w:vAlign w:val="center"/>
          </w:tcPr>
          <w:p w14:paraId="6ABFCDB2">
            <w:pPr>
              <w:widowControl/>
              <w:spacing w:line="400" w:lineRule="exact"/>
              <w:jc w:val="center"/>
              <w:textAlignment w:val="center"/>
              <w:rPr>
                <w:rFonts w:ascii="宋体"/>
                <w:color w:val="000000"/>
                <w:kern w:val="0"/>
              </w:rPr>
            </w:pPr>
            <w:r>
              <w:rPr>
                <w:rFonts w:ascii="宋体" w:hAnsi="宋体" w:cs="宋体"/>
                <w:color w:val="000000"/>
                <w:kern w:val="0"/>
              </w:rPr>
              <w:t>400</w:t>
            </w:r>
          </w:p>
        </w:tc>
        <w:tc>
          <w:tcPr>
            <w:tcW w:w="585" w:type="pct"/>
            <w:vAlign w:val="center"/>
          </w:tcPr>
          <w:p w14:paraId="36C63ECC">
            <w:pPr>
              <w:widowControl/>
              <w:spacing w:line="400" w:lineRule="exact"/>
              <w:jc w:val="center"/>
              <w:textAlignment w:val="center"/>
              <w:rPr>
                <w:rFonts w:ascii="宋体"/>
                <w:color w:val="000000"/>
                <w:kern w:val="0"/>
              </w:rPr>
            </w:pPr>
            <w:r>
              <w:rPr>
                <w:rFonts w:ascii="宋体" w:hAnsi="宋体" w:cs="宋体"/>
                <w:color w:val="000000"/>
                <w:kern w:val="0"/>
              </w:rPr>
              <w:t>8.5</w:t>
            </w:r>
          </w:p>
        </w:tc>
        <w:tc>
          <w:tcPr>
            <w:tcW w:w="426" w:type="pct"/>
            <w:vAlign w:val="center"/>
          </w:tcPr>
          <w:p w14:paraId="476A4248">
            <w:pPr>
              <w:widowControl/>
              <w:jc w:val="center"/>
              <w:textAlignment w:val="center"/>
              <w:rPr>
                <w:rFonts w:ascii="宋体"/>
                <w:color w:val="000000"/>
                <w:kern w:val="0"/>
              </w:rPr>
            </w:pPr>
            <w:r>
              <w:rPr>
                <w:rFonts w:hint="eastAsia" w:ascii="宋体" w:hAnsi="宋体" w:cs="宋体"/>
                <w:color w:val="000000"/>
                <w:kern w:val="0"/>
              </w:rPr>
              <w:t>预期性</w:t>
            </w:r>
          </w:p>
        </w:tc>
      </w:tr>
      <w:tr w14:paraId="761E0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6060D057">
            <w:pPr>
              <w:widowControl/>
              <w:spacing w:line="400" w:lineRule="exact"/>
              <w:jc w:val="left"/>
              <w:textAlignment w:val="center"/>
              <w:rPr>
                <w:rFonts w:ascii="宋体"/>
                <w:kern w:val="0"/>
              </w:rPr>
            </w:pPr>
            <w:r>
              <w:rPr>
                <w:rFonts w:ascii="宋体" w:hAnsi="宋体" w:cs="宋体"/>
                <w:kern w:val="0"/>
              </w:rPr>
              <w:t>2</w:t>
            </w:r>
            <w:r>
              <w:rPr>
                <w:rFonts w:ascii="宋体" w:cs="宋体"/>
                <w:kern w:val="0"/>
              </w:rPr>
              <w:t>.</w:t>
            </w:r>
            <w:r>
              <w:rPr>
                <w:rFonts w:hint="eastAsia" w:ascii="宋体" w:hAnsi="宋体" w:cs="宋体"/>
                <w:kern w:val="0"/>
              </w:rPr>
              <w:t>财政收入（亿元）</w:t>
            </w:r>
          </w:p>
        </w:tc>
        <w:tc>
          <w:tcPr>
            <w:tcW w:w="525" w:type="pct"/>
            <w:gridSpan w:val="2"/>
            <w:vAlign w:val="center"/>
          </w:tcPr>
          <w:p w14:paraId="26CFCCC1">
            <w:pPr>
              <w:widowControl/>
              <w:spacing w:line="400" w:lineRule="exact"/>
              <w:jc w:val="center"/>
              <w:textAlignment w:val="center"/>
              <w:rPr>
                <w:rFonts w:ascii="宋体"/>
                <w:color w:val="000000"/>
                <w:kern w:val="0"/>
              </w:rPr>
            </w:pPr>
            <w:r>
              <w:rPr>
                <w:rFonts w:ascii="宋体" w:hAnsi="宋体" w:cs="宋体"/>
                <w:color w:val="000000"/>
                <w:kern w:val="0"/>
              </w:rPr>
              <w:t>25.5</w:t>
            </w:r>
          </w:p>
        </w:tc>
        <w:tc>
          <w:tcPr>
            <w:tcW w:w="583" w:type="pct"/>
            <w:vAlign w:val="center"/>
          </w:tcPr>
          <w:p w14:paraId="5E64B6DB">
            <w:pPr>
              <w:widowControl/>
              <w:spacing w:line="400" w:lineRule="exact"/>
              <w:jc w:val="center"/>
              <w:textAlignment w:val="center"/>
              <w:rPr>
                <w:rFonts w:ascii="宋体"/>
                <w:color w:val="000000"/>
                <w:kern w:val="0"/>
              </w:rPr>
            </w:pPr>
            <w:r>
              <w:rPr>
                <w:rFonts w:ascii="宋体" w:hAnsi="宋体" w:cs="宋体"/>
                <w:color w:val="000000"/>
                <w:kern w:val="0"/>
              </w:rPr>
              <w:t>40</w:t>
            </w:r>
          </w:p>
        </w:tc>
        <w:tc>
          <w:tcPr>
            <w:tcW w:w="585" w:type="pct"/>
            <w:vAlign w:val="center"/>
          </w:tcPr>
          <w:p w14:paraId="198DDA82">
            <w:pPr>
              <w:widowControl/>
              <w:spacing w:line="400" w:lineRule="exact"/>
              <w:jc w:val="center"/>
              <w:textAlignment w:val="center"/>
              <w:rPr>
                <w:rFonts w:ascii="宋体"/>
                <w:color w:val="000000"/>
                <w:kern w:val="0"/>
              </w:rPr>
            </w:pPr>
            <w:r>
              <w:rPr>
                <w:rFonts w:ascii="宋体" w:hAnsi="宋体" w:cs="宋体"/>
                <w:color w:val="000000"/>
                <w:kern w:val="0"/>
              </w:rPr>
              <w:t>9</w:t>
            </w:r>
          </w:p>
        </w:tc>
        <w:tc>
          <w:tcPr>
            <w:tcW w:w="426" w:type="pct"/>
            <w:vAlign w:val="center"/>
          </w:tcPr>
          <w:p w14:paraId="41EED15A">
            <w:pPr>
              <w:widowControl/>
              <w:jc w:val="center"/>
              <w:textAlignment w:val="center"/>
              <w:rPr>
                <w:rFonts w:ascii="宋体"/>
                <w:color w:val="000000"/>
                <w:kern w:val="0"/>
              </w:rPr>
            </w:pPr>
            <w:r>
              <w:rPr>
                <w:rFonts w:hint="eastAsia" w:ascii="宋体" w:hAnsi="宋体" w:cs="宋体"/>
                <w:color w:val="000000"/>
                <w:kern w:val="0"/>
              </w:rPr>
              <w:t>预期性</w:t>
            </w:r>
          </w:p>
        </w:tc>
      </w:tr>
      <w:tr w14:paraId="209EA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67F58B1A">
            <w:pPr>
              <w:widowControl/>
              <w:spacing w:line="400" w:lineRule="exact"/>
              <w:jc w:val="left"/>
              <w:textAlignment w:val="center"/>
              <w:rPr>
                <w:rFonts w:ascii="宋体"/>
                <w:kern w:val="0"/>
              </w:rPr>
            </w:pPr>
            <w:r>
              <w:rPr>
                <w:rFonts w:ascii="宋体" w:hAnsi="宋体" w:cs="宋体"/>
                <w:kern w:val="0"/>
              </w:rPr>
              <w:t>3.</w:t>
            </w:r>
            <w:r>
              <w:rPr>
                <w:rFonts w:hint="eastAsia" w:ascii="宋体" w:hAnsi="宋体" w:cs="宋体"/>
                <w:kern w:val="0"/>
              </w:rPr>
              <w:t>全社会固定资产投资（亿元）</w:t>
            </w:r>
          </w:p>
        </w:tc>
        <w:tc>
          <w:tcPr>
            <w:tcW w:w="525" w:type="pct"/>
            <w:gridSpan w:val="2"/>
            <w:vAlign w:val="center"/>
          </w:tcPr>
          <w:p w14:paraId="203B0F22">
            <w:pPr>
              <w:widowControl/>
              <w:spacing w:line="400" w:lineRule="exact"/>
              <w:jc w:val="center"/>
              <w:textAlignment w:val="center"/>
              <w:rPr>
                <w:rFonts w:ascii="宋体"/>
                <w:color w:val="000000"/>
                <w:kern w:val="0"/>
              </w:rPr>
            </w:pPr>
            <w:r>
              <w:rPr>
                <w:rFonts w:ascii="宋体" w:hAnsi="宋体" w:cs="宋体"/>
                <w:color w:val="000000"/>
                <w:kern w:val="0"/>
              </w:rPr>
              <w:t>200</w:t>
            </w:r>
          </w:p>
        </w:tc>
        <w:tc>
          <w:tcPr>
            <w:tcW w:w="583" w:type="pct"/>
            <w:vAlign w:val="center"/>
          </w:tcPr>
          <w:p w14:paraId="10F8DEF4">
            <w:pPr>
              <w:jc w:val="center"/>
              <w:rPr>
                <w:color w:val="000000"/>
              </w:rPr>
            </w:pPr>
            <w:r>
              <w:rPr>
                <w:rFonts w:ascii="宋体" w:hAnsi="宋体" w:cs="宋体"/>
                <w:color w:val="000000"/>
                <w:kern w:val="0"/>
              </w:rPr>
              <w:t>32</w:t>
            </w:r>
            <w:r>
              <w:rPr>
                <w:rFonts w:ascii="宋体" w:cs="宋体"/>
                <w:color w:val="000000"/>
                <w:kern w:val="0"/>
              </w:rPr>
              <w:t>0</w:t>
            </w:r>
          </w:p>
        </w:tc>
        <w:tc>
          <w:tcPr>
            <w:tcW w:w="585" w:type="pct"/>
            <w:vAlign w:val="center"/>
          </w:tcPr>
          <w:p w14:paraId="769699C6">
            <w:pPr>
              <w:jc w:val="center"/>
              <w:rPr>
                <w:color w:val="000000"/>
              </w:rPr>
            </w:pPr>
            <w:r>
              <w:rPr>
                <w:rFonts w:ascii="宋体" w:hAnsi="宋体" w:cs="宋体"/>
                <w:color w:val="000000"/>
                <w:kern w:val="0"/>
              </w:rPr>
              <w:t>10</w:t>
            </w:r>
          </w:p>
        </w:tc>
        <w:tc>
          <w:tcPr>
            <w:tcW w:w="426" w:type="pct"/>
            <w:vAlign w:val="center"/>
          </w:tcPr>
          <w:p w14:paraId="62791884">
            <w:pPr>
              <w:jc w:val="center"/>
              <w:rPr>
                <w:color w:val="000000"/>
              </w:rPr>
            </w:pPr>
            <w:r>
              <w:rPr>
                <w:rFonts w:hint="eastAsia" w:ascii="宋体" w:hAnsi="宋体" w:cs="宋体"/>
                <w:color w:val="000000"/>
                <w:kern w:val="0"/>
              </w:rPr>
              <w:t>预期性</w:t>
            </w:r>
          </w:p>
        </w:tc>
      </w:tr>
      <w:tr w14:paraId="60E9D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0973E5E9">
            <w:pPr>
              <w:widowControl/>
              <w:spacing w:line="400" w:lineRule="exact"/>
              <w:jc w:val="left"/>
              <w:textAlignment w:val="center"/>
              <w:rPr>
                <w:rFonts w:ascii="宋体"/>
                <w:kern w:val="0"/>
              </w:rPr>
            </w:pPr>
            <w:r>
              <w:rPr>
                <w:rFonts w:ascii="宋体" w:hAnsi="宋体" w:cs="宋体"/>
                <w:kern w:val="0"/>
              </w:rPr>
              <w:t>4.</w:t>
            </w:r>
            <w:r>
              <w:rPr>
                <w:rFonts w:hint="eastAsia" w:ascii="宋体" w:hAnsi="宋体" w:cs="宋体"/>
                <w:kern w:val="0"/>
              </w:rPr>
              <w:t>规上工业增加值（亿元）</w:t>
            </w:r>
          </w:p>
        </w:tc>
        <w:tc>
          <w:tcPr>
            <w:tcW w:w="525" w:type="pct"/>
            <w:gridSpan w:val="2"/>
            <w:vAlign w:val="center"/>
          </w:tcPr>
          <w:p w14:paraId="73FEA88A">
            <w:pPr>
              <w:widowControl/>
              <w:spacing w:line="400" w:lineRule="exact"/>
              <w:jc w:val="center"/>
              <w:textAlignment w:val="center"/>
              <w:rPr>
                <w:rFonts w:ascii="宋体"/>
                <w:color w:val="000000"/>
                <w:kern w:val="0"/>
              </w:rPr>
            </w:pPr>
            <w:r>
              <w:rPr>
                <w:rFonts w:ascii="宋体" w:hAnsi="宋体" w:cs="宋体"/>
                <w:color w:val="000000"/>
                <w:kern w:val="0"/>
              </w:rPr>
              <w:t>68</w:t>
            </w:r>
          </w:p>
        </w:tc>
        <w:tc>
          <w:tcPr>
            <w:tcW w:w="583" w:type="pct"/>
            <w:vAlign w:val="center"/>
          </w:tcPr>
          <w:p w14:paraId="6A47E441">
            <w:pPr>
              <w:widowControl/>
              <w:spacing w:line="400" w:lineRule="exact"/>
              <w:jc w:val="center"/>
              <w:textAlignment w:val="center"/>
              <w:rPr>
                <w:rFonts w:ascii="宋体"/>
                <w:color w:val="000000"/>
                <w:kern w:val="0"/>
              </w:rPr>
            </w:pPr>
            <w:r>
              <w:rPr>
                <w:rFonts w:ascii="宋体" w:hAnsi="宋体" w:cs="宋体"/>
                <w:color w:val="000000"/>
                <w:kern w:val="0"/>
              </w:rPr>
              <w:t>110</w:t>
            </w:r>
          </w:p>
        </w:tc>
        <w:tc>
          <w:tcPr>
            <w:tcW w:w="585" w:type="pct"/>
            <w:vAlign w:val="center"/>
          </w:tcPr>
          <w:p w14:paraId="3D004A82">
            <w:pPr>
              <w:widowControl/>
              <w:spacing w:line="400" w:lineRule="exact"/>
              <w:jc w:val="center"/>
              <w:textAlignment w:val="center"/>
              <w:rPr>
                <w:rFonts w:ascii="宋体"/>
                <w:color w:val="000000"/>
                <w:kern w:val="0"/>
              </w:rPr>
            </w:pPr>
            <w:r>
              <w:rPr>
                <w:rFonts w:ascii="宋体" w:hAnsi="宋体" w:cs="宋体"/>
                <w:color w:val="000000"/>
                <w:kern w:val="0"/>
              </w:rPr>
              <w:t>10</w:t>
            </w:r>
          </w:p>
        </w:tc>
        <w:tc>
          <w:tcPr>
            <w:tcW w:w="426" w:type="pct"/>
            <w:vAlign w:val="center"/>
          </w:tcPr>
          <w:p w14:paraId="4580BAB3">
            <w:pPr>
              <w:jc w:val="center"/>
              <w:rPr>
                <w:color w:val="000000"/>
              </w:rPr>
            </w:pPr>
            <w:r>
              <w:rPr>
                <w:rFonts w:hint="eastAsia" w:ascii="宋体" w:hAnsi="宋体" w:cs="宋体"/>
                <w:color w:val="000000"/>
                <w:kern w:val="0"/>
              </w:rPr>
              <w:t>预期性</w:t>
            </w:r>
          </w:p>
        </w:tc>
      </w:tr>
      <w:tr w14:paraId="68F8B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3AB5E921">
            <w:pPr>
              <w:widowControl/>
              <w:spacing w:line="400" w:lineRule="exact"/>
              <w:jc w:val="left"/>
              <w:textAlignment w:val="center"/>
              <w:rPr>
                <w:rFonts w:ascii="宋体"/>
                <w:kern w:val="0"/>
              </w:rPr>
            </w:pPr>
            <w:r>
              <w:rPr>
                <w:rFonts w:ascii="宋体" w:hAnsi="宋体" w:cs="宋体"/>
                <w:kern w:val="0"/>
              </w:rPr>
              <w:t xml:space="preserve">  </w:t>
            </w:r>
            <w:r>
              <w:rPr>
                <w:rFonts w:hint="eastAsia" w:ascii="宋体" w:hAnsi="宋体" w:cs="宋体"/>
                <w:kern w:val="0"/>
              </w:rPr>
              <w:t>规模以上工业企业个数</w:t>
            </w:r>
          </w:p>
        </w:tc>
        <w:tc>
          <w:tcPr>
            <w:tcW w:w="525" w:type="pct"/>
            <w:gridSpan w:val="2"/>
            <w:vAlign w:val="center"/>
          </w:tcPr>
          <w:p w14:paraId="66CCD3DB">
            <w:pPr>
              <w:widowControl/>
              <w:spacing w:line="400" w:lineRule="exact"/>
              <w:jc w:val="center"/>
              <w:textAlignment w:val="center"/>
              <w:rPr>
                <w:rFonts w:ascii="宋体"/>
                <w:color w:val="000000"/>
                <w:kern w:val="0"/>
              </w:rPr>
            </w:pPr>
            <w:r>
              <w:rPr>
                <w:rFonts w:ascii="宋体" w:hAnsi="宋体" w:cs="宋体"/>
                <w:color w:val="000000"/>
                <w:kern w:val="0"/>
              </w:rPr>
              <w:t>156</w:t>
            </w:r>
          </w:p>
        </w:tc>
        <w:tc>
          <w:tcPr>
            <w:tcW w:w="583" w:type="pct"/>
            <w:vAlign w:val="center"/>
          </w:tcPr>
          <w:p w14:paraId="06F7F5FA">
            <w:pPr>
              <w:jc w:val="center"/>
              <w:rPr>
                <w:color w:val="000000"/>
              </w:rPr>
            </w:pPr>
            <w:r>
              <w:rPr>
                <w:rFonts w:ascii="宋体" w:hAnsi="宋体" w:cs="宋体"/>
                <w:color w:val="000000"/>
                <w:kern w:val="0"/>
              </w:rPr>
              <w:t>300</w:t>
            </w:r>
          </w:p>
        </w:tc>
        <w:tc>
          <w:tcPr>
            <w:tcW w:w="585" w:type="pct"/>
            <w:vAlign w:val="center"/>
          </w:tcPr>
          <w:p w14:paraId="20150854">
            <w:pPr>
              <w:jc w:val="center"/>
              <w:rPr>
                <w:color w:val="000000"/>
              </w:rPr>
            </w:pPr>
            <w:r>
              <w:rPr>
                <w:rFonts w:ascii="宋体" w:cs="宋体"/>
                <w:color w:val="000000"/>
                <w:kern w:val="0"/>
              </w:rPr>
              <w:t>-</w:t>
            </w:r>
          </w:p>
        </w:tc>
        <w:tc>
          <w:tcPr>
            <w:tcW w:w="426" w:type="pct"/>
            <w:vAlign w:val="center"/>
          </w:tcPr>
          <w:p w14:paraId="6BF8DCED">
            <w:pPr>
              <w:jc w:val="center"/>
              <w:rPr>
                <w:color w:val="000000"/>
              </w:rPr>
            </w:pPr>
            <w:r>
              <w:rPr>
                <w:rFonts w:hint="eastAsia" w:ascii="宋体" w:hAnsi="宋体" w:cs="宋体"/>
                <w:color w:val="000000"/>
                <w:kern w:val="0"/>
              </w:rPr>
              <w:t>预期性</w:t>
            </w:r>
          </w:p>
        </w:tc>
      </w:tr>
      <w:tr w14:paraId="57E07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3F5DA76D">
            <w:pPr>
              <w:widowControl/>
              <w:spacing w:line="400" w:lineRule="exact"/>
              <w:jc w:val="left"/>
              <w:textAlignment w:val="center"/>
              <w:rPr>
                <w:rFonts w:ascii="宋体"/>
                <w:kern w:val="0"/>
              </w:rPr>
            </w:pPr>
            <w:r>
              <w:rPr>
                <w:rFonts w:ascii="宋体" w:hAnsi="宋体" w:cs="宋体"/>
                <w:kern w:val="0"/>
              </w:rPr>
              <w:t>5.</w:t>
            </w:r>
            <w:r>
              <w:rPr>
                <w:rFonts w:hint="eastAsia" w:ascii="宋体" w:hAnsi="宋体" w:cs="宋体"/>
                <w:kern w:val="0"/>
              </w:rPr>
              <w:t>累计招商引资到位资金（亿元）</w:t>
            </w:r>
          </w:p>
        </w:tc>
        <w:tc>
          <w:tcPr>
            <w:tcW w:w="525" w:type="pct"/>
            <w:gridSpan w:val="2"/>
            <w:vAlign w:val="center"/>
          </w:tcPr>
          <w:p w14:paraId="5B8A4ADB">
            <w:pPr>
              <w:widowControl/>
              <w:spacing w:line="400" w:lineRule="exact"/>
              <w:jc w:val="center"/>
              <w:textAlignment w:val="center"/>
              <w:rPr>
                <w:rFonts w:ascii="宋体"/>
                <w:color w:val="000000"/>
                <w:kern w:val="0"/>
              </w:rPr>
            </w:pPr>
            <w:r>
              <w:rPr>
                <w:rFonts w:ascii="宋体" w:hAnsi="宋体" w:cs="宋体"/>
                <w:color w:val="000000"/>
                <w:kern w:val="0"/>
              </w:rPr>
              <w:t>480</w:t>
            </w:r>
          </w:p>
        </w:tc>
        <w:tc>
          <w:tcPr>
            <w:tcW w:w="583" w:type="pct"/>
            <w:vAlign w:val="center"/>
          </w:tcPr>
          <w:p w14:paraId="4496CDE4">
            <w:pPr>
              <w:jc w:val="center"/>
              <w:rPr>
                <w:color w:val="000000"/>
              </w:rPr>
            </w:pPr>
            <w:r>
              <w:rPr>
                <w:rFonts w:ascii="宋体" w:hAnsi="宋体" w:cs="宋体"/>
                <w:color w:val="000000"/>
                <w:kern w:val="0"/>
              </w:rPr>
              <w:t>70</w:t>
            </w:r>
            <w:r>
              <w:rPr>
                <w:rFonts w:ascii="宋体" w:cs="宋体"/>
                <w:color w:val="000000"/>
                <w:kern w:val="0"/>
              </w:rPr>
              <w:t>0</w:t>
            </w:r>
          </w:p>
        </w:tc>
        <w:tc>
          <w:tcPr>
            <w:tcW w:w="585" w:type="pct"/>
            <w:vAlign w:val="center"/>
          </w:tcPr>
          <w:p w14:paraId="508251AD">
            <w:pPr>
              <w:jc w:val="center"/>
              <w:rPr>
                <w:color w:val="000000"/>
              </w:rPr>
            </w:pPr>
            <w:r>
              <w:rPr>
                <w:rFonts w:ascii="宋体" w:hAnsi="宋体" w:cs="宋体"/>
                <w:color w:val="000000"/>
                <w:kern w:val="0"/>
              </w:rPr>
              <w:t>10</w:t>
            </w:r>
          </w:p>
        </w:tc>
        <w:tc>
          <w:tcPr>
            <w:tcW w:w="426" w:type="pct"/>
            <w:vAlign w:val="center"/>
          </w:tcPr>
          <w:p w14:paraId="3EA20E75">
            <w:pPr>
              <w:jc w:val="center"/>
              <w:rPr>
                <w:color w:val="000000"/>
              </w:rPr>
            </w:pPr>
            <w:r>
              <w:rPr>
                <w:rFonts w:hint="eastAsia" w:ascii="宋体" w:hAnsi="宋体" w:cs="宋体"/>
                <w:color w:val="000000"/>
                <w:kern w:val="0"/>
              </w:rPr>
              <w:t>预期性</w:t>
            </w:r>
          </w:p>
        </w:tc>
      </w:tr>
      <w:tr w14:paraId="51B74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52857D35">
            <w:pPr>
              <w:widowControl/>
              <w:spacing w:line="400" w:lineRule="exact"/>
              <w:jc w:val="left"/>
              <w:textAlignment w:val="center"/>
              <w:rPr>
                <w:rFonts w:ascii="宋体"/>
                <w:kern w:val="0"/>
              </w:rPr>
            </w:pPr>
            <w:r>
              <w:rPr>
                <w:rFonts w:ascii="宋体" w:hAnsi="宋体" w:cs="宋体"/>
                <w:kern w:val="0"/>
              </w:rPr>
              <w:t>6.</w:t>
            </w:r>
            <w:r>
              <w:rPr>
                <w:rFonts w:hint="eastAsia" w:ascii="宋体" w:hAnsi="宋体" w:cs="宋体"/>
                <w:kern w:val="0"/>
              </w:rPr>
              <w:t>社会消费品零售总额（亿元）</w:t>
            </w:r>
          </w:p>
        </w:tc>
        <w:tc>
          <w:tcPr>
            <w:tcW w:w="525" w:type="pct"/>
            <w:gridSpan w:val="2"/>
            <w:vAlign w:val="center"/>
          </w:tcPr>
          <w:p w14:paraId="22895917">
            <w:pPr>
              <w:widowControl/>
              <w:spacing w:line="400" w:lineRule="exact"/>
              <w:jc w:val="center"/>
              <w:textAlignment w:val="center"/>
              <w:rPr>
                <w:rFonts w:ascii="宋体"/>
                <w:color w:val="000000"/>
                <w:kern w:val="0"/>
              </w:rPr>
            </w:pPr>
            <w:r>
              <w:rPr>
                <w:rFonts w:ascii="宋体" w:hAnsi="宋体" w:cs="宋体"/>
                <w:color w:val="000000"/>
                <w:kern w:val="0"/>
              </w:rPr>
              <w:t>82</w:t>
            </w:r>
          </w:p>
        </w:tc>
        <w:tc>
          <w:tcPr>
            <w:tcW w:w="583" w:type="pct"/>
            <w:vAlign w:val="center"/>
          </w:tcPr>
          <w:p w14:paraId="28DFA226">
            <w:pPr>
              <w:widowControl/>
              <w:spacing w:line="400" w:lineRule="exact"/>
              <w:jc w:val="center"/>
              <w:textAlignment w:val="center"/>
              <w:rPr>
                <w:rFonts w:ascii="宋体"/>
                <w:color w:val="000000"/>
                <w:kern w:val="0"/>
              </w:rPr>
            </w:pPr>
            <w:r>
              <w:rPr>
                <w:rFonts w:ascii="宋体" w:hAnsi="宋体" w:cs="宋体"/>
                <w:color w:val="000000"/>
                <w:kern w:val="0"/>
              </w:rPr>
              <w:t>130</w:t>
            </w:r>
          </w:p>
        </w:tc>
        <w:tc>
          <w:tcPr>
            <w:tcW w:w="585" w:type="pct"/>
            <w:vAlign w:val="center"/>
          </w:tcPr>
          <w:p w14:paraId="5A915F68">
            <w:pPr>
              <w:widowControl/>
              <w:spacing w:line="400" w:lineRule="exact"/>
              <w:jc w:val="center"/>
              <w:textAlignment w:val="center"/>
              <w:rPr>
                <w:rFonts w:ascii="宋体"/>
                <w:color w:val="000000"/>
                <w:kern w:val="0"/>
              </w:rPr>
            </w:pPr>
            <w:r>
              <w:rPr>
                <w:rFonts w:ascii="宋体" w:hAnsi="宋体" w:cs="宋体"/>
                <w:color w:val="000000"/>
                <w:kern w:val="0"/>
              </w:rPr>
              <w:t>10</w:t>
            </w:r>
          </w:p>
        </w:tc>
        <w:tc>
          <w:tcPr>
            <w:tcW w:w="426" w:type="pct"/>
            <w:vAlign w:val="center"/>
          </w:tcPr>
          <w:p w14:paraId="320F4ACA">
            <w:pPr>
              <w:widowControl/>
              <w:spacing w:line="400" w:lineRule="exact"/>
              <w:jc w:val="center"/>
              <w:textAlignment w:val="center"/>
              <w:rPr>
                <w:rFonts w:ascii="宋体"/>
                <w:color w:val="000000"/>
                <w:kern w:val="0"/>
              </w:rPr>
            </w:pPr>
            <w:r>
              <w:rPr>
                <w:rFonts w:hint="eastAsia" w:ascii="宋体" w:hAnsi="宋体" w:cs="宋体"/>
                <w:color w:val="000000"/>
                <w:kern w:val="0"/>
              </w:rPr>
              <w:t>预期性</w:t>
            </w:r>
          </w:p>
        </w:tc>
      </w:tr>
      <w:tr w14:paraId="64256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1FA181D8">
            <w:pPr>
              <w:widowControl/>
              <w:spacing w:line="400" w:lineRule="exact"/>
              <w:jc w:val="left"/>
              <w:textAlignment w:val="center"/>
              <w:rPr>
                <w:rFonts w:ascii="宋体"/>
                <w:kern w:val="0"/>
              </w:rPr>
            </w:pPr>
            <w:r>
              <w:rPr>
                <w:rFonts w:ascii="宋体" w:hAnsi="宋体" w:cs="宋体"/>
                <w:kern w:val="0"/>
              </w:rPr>
              <w:t>7.</w:t>
            </w:r>
            <w:r>
              <w:rPr>
                <w:rFonts w:hint="eastAsia" w:ascii="宋体" w:hAnsi="宋体" w:cs="宋体"/>
                <w:kern w:val="0"/>
              </w:rPr>
              <w:t>外贸进出口总额（万美元）</w:t>
            </w:r>
          </w:p>
        </w:tc>
        <w:tc>
          <w:tcPr>
            <w:tcW w:w="525" w:type="pct"/>
            <w:gridSpan w:val="2"/>
            <w:vAlign w:val="center"/>
          </w:tcPr>
          <w:p w14:paraId="40118881">
            <w:pPr>
              <w:widowControl/>
              <w:spacing w:line="400" w:lineRule="exact"/>
              <w:jc w:val="center"/>
              <w:textAlignment w:val="center"/>
              <w:rPr>
                <w:rFonts w:ascii="宋体"/>
                <w:color w:val="000000"/>
                <w:kern w:val="0"/>
              </w:rPr>
            </w:pPr>
            <w:r>
              <w:rPr>
                <w:rFonts w:ascii="宋体" w:hAnsi="宋体" w:cs="宋体"/>
                <w:color w:val="000000"/>
                <w:kern w:val="0"/>
              </w:rPr>
              <w:t>15000</w:t>
            </w:r>
          </w:p>
        </w:tc>
        <w:tc>
          <w:tcPr>
            <w:tcW w:w="583" w:type="pct"/>
            <w:vAlign w:val="center"/>
          </w:tcPr>
          <w:p w14:paraId="2334721D">
            <w:pPr>
              <w:jc w:val="center"/>
              <w:rPr>
                <w:color w:val="000000"/>
              </w:rPr>
            </w:pPr>
            <w:r>
              <w:rPr>
                <w:rFonts w:ascii="宋体" w:hAnsi="宋体" w:cs="宋体"/>
                <w:color w:val="000000"/>
                <w:kern w:val="0"/>
              </w:rPr>
              <w:t>24000</w:t>
            </w:r>
          </w:p>
        </w:tc>
        <w:tc>
          <w:tcPr>
            <w:tcW w:w="585" w:type="pct"/>
            <w:vAlign w:val="center"/>
          </w:tcPr>
          <w:p w14:paraId="17F02B41">
            <w:pPr>
              <w:jc w:val="center"/>
              <w:rPr>
                <w:color w:val="000000"/>
              </w:rPr>
            </w:pPr>
            <w:r>
              <w:rPr>
                <w:rFonts w:ascii="宋体" w:hAnsi="宋体" w:cs="宋体"/>
                <w:color w:val="000000"/>
                <w:kern w:val="0"/>
              </w:rPr>
              <w:t>10</w:t>
            </w:r>
          </w:p>
        </w:tc>
        <w:tc>
          <w:tcPr>
            <w:tcW w:w="426" w:type="pct"/>
            <w:vAlign w:val="center"/>
          </w:tcPr>
          <w:p w14:paraId="36507BFE">
            <w:pPr>
              <w:widowControl/>
              <w:spacing w:line="400" w:lineRule="exact"/>
              <w:jc w:val="center"/>
              <w:textAlignment w:val="center"/>
              <w:rPr>
                <w:rFonts w:ascii="宋体"/>
                <w:color w:val="000000"/>
                <w:kern w:val="0"/>
              </w:rPr>
            </w:pPr>
            <w:r>
              <w:rPr>
                <w:rFonts w:hint="eastAsia" w:ascii="宋体" w:hAnsi="宋体" w:cs="宋体"/>
                <w:color w:val="000000"/>
                <w:kern w:val="0"/>
              </w:rPr>
              <w:t>预期性</w:t>
            </w:r>
          </w:p>
        </w:tc>
      </w:tr>
      <w:tr w14:paraId="2A3AB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5000" w:type="pct"/>
            <w:gridSpan w:val="7"/>
            <w:vAlign w:val="center"/>
          </w:tcPr>
          <w:p w14:paraId="210D295B">
            <w:pPr>
              <w:widowControl/>
              <w:spacing w:line="400" w:lineRule="exact"/>
              <w:jc w:val="left"/>
              <w:textAlignment w:val="center"/>
            </w:pPr>
            <w:r>
              <w:rPr>
                <w:rFonts w:hint="eastAsia" w:eastAsia="黑体" w:cs="黑体"/>
                <w:kern w:val="0"/>
              </w:rPr>
              <w:t>二、结构效益</w:t>
            </w:r>
          </w:p>
        </w:tc>
      </w:tr>
      <w:tr w14:paraId="06A06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2AFE78C0">
            <w:pPr>
              <w:widowControl/>
              <w:spacing w:line="400" w:lineRule="exact"/>
              <w:jc w:val="left"/>
              <w:textAlignment w:val="center"/>
              <w:rPr>
                <w:rFonts w:ascii="宋体"/>
                <w:kern w:val="0"/>
              </w:rPr>
            </w:pPr>
            <w:r>
              <w:rPr>
                <w:rFonts w:ascii="宋体" w:hAnsi="宋体" w:cs="宋体"/>
                <w:kern w:val="0"/>
              </w:rPr>
              <w:t>8.</w:t>
            </w:r>
            <w:r>
              <w:rPr>
                <w:rFonts w:hint="eastAsia" w:ascii="宋体" w:hAnsi="宋体" w:cs="宋体"/>
                <w:kern w:val="0"/>
              </w:rPr>
              <w:t>服务业增加值占地区生产总值比重（</w:t>
            </w:r>
            <w:r>
              <w:rPr>
                <w:rFonts w:ascii="宋体" w:hAnsi="宋体" w:cs="宋体"/>
                <w:kern w:val="0"/>
              </w:rPr>
              <w:t>%</w:t>
            </w:r>
            <w:r>
              <w:rPr>
                <w:rFonts w:hint="eastAsia" w:ascii="宋体" w:hAnsi="宋体" w:cs="宋体"/>
                <w:kern w:val="0"/>
              </w:rPr>
              <w:t>）</w:t>
            </w:r>
          </w:p>
        </w:tc>
        <w:tc>
          <w:tcPr>
            <w:tcW w:w="525" w:type="pct"/>
            <w:gridSpan w:val="2"/>
            <w:vAlign w:val="center"/>
          </w:tcPr>
          <w:p w14:paraId="617FAA48">
            <w:pPr>
              <w:widowControl/>
              <w:spacing w:line="400" w:lineRule="exact"/>
              <w:jc w:val="center"/>
              <w:textAlignment w:val="center"/>
              <w:rPr>
                <w:rFonts w:ascii="宋体"/>
                <w:kern w:val="0"/>
              </w:rPr>
            </w:pPr>
            <w:r>
              <w:rPr>
                <w:rFonts w:ascii="宋体" w:hAnsi="宋体" w:cs="宋体"/>
                <w:kern w:val="0"/>
              </w:rPr>
              <w:t>43.3</w:t>
            </w:r>
          </w:p>
        </w:tc>
        <w:tc>
          <w:tcPr>
            <w:tcW w:w="583" w:type="pct"/>
            <w:vAlign w:val="center"/>
          </w:tcPr>
          <w:p w14:paraId="0D30F278">
            <w:pPr>
              <w:widowControl/>
              <w:spacing w:line="400" w:lineRule="exact"/>
              <w:jc w:val="center"/>
              <w:textAlignment w:val="center"/>
              <w:rPr>
                <w:rFonts w:ascii="宋体"/>
                <w:kern w:val="0"/>
              </w:rPr>
            </w:pPr>
            <w:r>
              <w:rPr>
                <w:rFonts w:ascii="宋体" w:hAnsi="宋体" w:cs="宋体"/>
                <w:kern w:val="0"/>
              </w:rPr>
              <w:t>45</w:t>
            </w:r>
          </w:p>
        </w:tc>
        <w:tc>
          <w:tcPr>
            <w:tcW w:w="585" w:type="pct"/>
            <w:vAlign w:val="center"/>
          </w:tcPr>
          <w:p w14:paraId="364630EC">
            <w:pPr>
              <w:widowControl/>
              <w:spacing w:line="400" w:lineRule="exact"/>
              <w:jc w:val="center"/>
              <w:textAlignment w:val="center"/>
              <w:rPr>
                <w:rFonts w:ascii="宋体"/>
                <w:kern w:val="0"/>
              </w:rPr>
            </w:pPr>
            <w:r>
              <w:rPr>
                <w:rFonts w:ascii="宋体" w:cs="宋体"/>
                <w:kern w:val="0"/>
              </w:rPr>
              <w:t>-</w:t>
            </w:r>
          </w:p>
        </w:tc>
        <w:tc>
          <w:tcPr>
            <w:tcW w:w="426" w:type="pct"/>
            <w:vAlign w:val="center"/>
          </w:tcPr>
          <w:p w14:paraId="523A3245">
            <w:pPr>
              <w:widowControl/>
              <w:spacing w:line="400" w:lineRule="exact"/>
              <w:jc w:val="center"/>
              <w:textAlignment w:val="center"/>
              <w:rPr>
                <w:rFonts w:ascii="宋体"/>
                <w:kern w:val="0"/>
              </w:rPr>
            </w:pPr>
            <w:r>
              <w:rPr>
                <w:rFonts w:hint="eastAsia" w:ascii="宋体" w:hAnsi="宋体" w:cs="宋体"/>
                <w:kern w:val="0"/>
              </w:rPr>
              <w:t>预期性</w:t>
            </w:r>
          </w:p>
        </w:tc>
      </w:tr>
      <w:tr w14:paraId="503E9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46E0A944">
            <w:pPr>
              <w:widowControl/>
              <w:spacing w:line="400" w:lineRule="exact"/>
              <w:jc w:val="left"/>
              <w:textAlignment w:val="center"/>
              <w:rPr>
                <w:rFonts w:ascii="宋体"/>
                <w:kern w:val="0"/>
              </w:rPr>
            </w:pPr>
            <w:r>
              <w:rPr>
                <w:rFonts w:ascii="宋体" w:hAnsi="宋体" w:cs="宋体"/>
                <w:kern w:val="0"/>
              </w:rPr>
              <w:t>9.</w:t>
            </w:r>
            <w:r>
              <w:rPr>
                <w:rFonts w:hint="eastAsia" w:ascii="宋体" w:hAnsi="宋体" w:cs="宋体"/>
                <w:kern w:val="0"/>
              </w:rPr>
              <w:t>战略性新兴产业增加值占地区生产总值比重（</w:t>
            </w:r>
            <w:r>
              <w:rPr>
                <w:rFonts w:ascii="宋体" w:hAnsi="宋体" w:cs="宋体"/>
                <w:kern w:val="0"/>
              </w:rPr>
              <w:t>%</w:t>
            </w:r>
            <w:r>
              <w:rPr>
                <w:rFonts w:hint="eastAsia" w:ascii="宋体" w:hAnsi="宋体" w:cs="宋体"/>
                <w:kern w:val="0"/>
              </w:rPr>
              <w:t>）</w:t>
            </w:r>
          </w:p>
        </w:tc>
        <w:tc>
          <w:tcPr>
            <w:tcW w:w="525" w:type="pct"/>
            <w:gridSpan w:val="2"/>
            <w:vAlign w:val="center"/>
          </w:tcPr>
          <w:p w14:paraId="268B5AAC">
            <w:pPr>
              <w:widowControl/>
              <w:spacing w:line="400" w:lineRule="exact"/>
              <w:jc w:val="center"/>
              <w:textAlignment w:val="center"/>
              <w:rPr>
                <w:rFonts w:ascii="宋体"/>
                <w:kern w:val="0"/>
              </w:rPr>
            </w:pPr>
            <w:r>
              <w:rPr>
                <w:rFonts w:ascii="宋体" w:hAnsi="宋体" w:cs="宋体"/>
                <w:kern w:val="0"/>
              </w:rPr>
              <w:t>2</w:t>
            </w:r>
          </w:p>
        </w:tc>
        <w:tc>
          <w:tcPr>
            <w:tcW w:w="583" w:type="pct"/>
            <w:vAlign w:val="center"/>
          </w:tcPr>
          <w:p w14:paraId="49250CD6">
            <w:pPr>
              <w:widowControl/>
              <w:spacing w:line="400" w:lineRule="exact"/>
              <w:jc w:val="center"/>
              <w:textAlignment w:val="center"/>
              <w:rPr>
                <w:rFonts w:ascii="宋体"/>
                <w:color w:val="FF0000"/>
                <w:kern w:val="0"/>
              </w:rPr>
            </w:pPr>
            <w:r>
              <w:rPr>
                <w:rFonts w:ascii="宋体" w:hAnsi="宋体" w:cs="宋体"/>
                <w:kern w:val="0"/>
              </w:rPr>
              <w:t>12</w:t>
            </w:r>
          </w:p>
        </w:tc>
        <w:tc>
          <w:tcPr>
            <w:tcW w:w="585" w:type="pct"/>
            <w:vAlign w:val="center"/>
          </w:tcPr>
          <w:p w14:paraId="3B819A59">
            <w:pPr>
              <w:widowControl/>
              <w:spacing w:line="400" w:lineRule="exact"/>
              <w:jc w:val="center"/>
              <w:textAlignment w:val="center"/>
              <w:rPr>
                <w:rFonts w:ascii="宋体"/>
                <w:kern w:val="0"/>
              </w:rPr>
            </w:pPr>
            <w:r>
              <w:rPr>
                <w:rFonts w:ascii="宋体" w:cs="宋体"/>
                <w:kern w:val="0"/>
              </w:rPr>
              <w:t>-</w:t>
            </w:r>
          </w:p>
        </w:tc>
        <w:tc>
          <w:tcPr>
            <w:tcW w:w="426" w:type="pct"/>
            <w:vAlign w:val="center"/>
          </w:tcPr>
          <w:p w14:paraId="419E28D8">
            <w:pPr>
              <w:widowControl/>
              <w:spacing w:line="400" w:lineRule="exact"/>
              <w:jc w:val="center"/>
              <w:textAlignment w:val="center"/>
              <w:rPr>
                <w:rFonts w:ascii="宋体"/>
                <w:kern w:val="0"/>
              </w:rPr>
            </w:pPr>
            <w:r>
              <w:rPr>
                <w:rFonts w:hint="eastAsia" w:ascii="宋体" w:hAnsi="宋体" w:cs="宋体"/>
                <w:kern w:val="0"/>
              </w:rPr>
              <w:t>预期性</w:t>
            </w:r>
          </w:p>
        </w:tc>
      </w:tr>
      <w:tr w14:paraId="73D52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296288C6">
            <w:pPr>
              <w:widowControl/>
              <w:spacing w:line="400" w:lineRule="exact"/>
              <w:jc w:val="left"/>
              <w:textAlignment w:val="center"/>
              <w:rPr>
                <w:rFonts w:ascii="宋体"/>
                <w:kern w:val="0"/>
              </w:rPr>
            </w:pPr>
            <w:r>
              <w:rPr>
                <w:rFonts w:ascii="宋体" w:hAnsi="宋体" w:cs="宋体"/>
                <w:kern w:val="0"/>
              </w:rPr>
              <w:t>1</w:t>
            </w:r>
            <w:r>
              <w:rPr>
                <w:rFonts w:ascii="宋体" w:cs="宋体"/>
                <w:kern w:val="0"/>
              </w:rPr>
              <w:t>0.</w:t>
            </w:r>
            <w:r>
              <w:rPr>
                <w:rFonts w:hint="eastAsia" w:ascii="宋体" w:hAnsi="宋体" w:cs="宋体"/>
                <w:kern w:val="0"/>
              </w:rPr>
              <w:t>民营经济增加值占地区生产总值比重（</w:t>
            </w:r>
            <w:r>
              <w:rPr>
                <w:rFonts w:ascii="宋体" w:hAnsi="宋体" w:cs="宋体"/>
                <w:kern w:val="0"/>
              </w:rPr>
              <w:t>%</w:t>
            </w:r>
            <w:r>
              <w:rPr>
                <w:rFonts w:hint="eastAsia" w:ascii="宋体" w:hAnsi="宋体" w:cs="宋体"/>
                <w:kern w:val="0"/>
              </w:rPr>
              <w:t>）</w:t>
            </w:r>
          </w:p>
        </w:tc>
        <w:tc>
          <w:tcPr>
            <w:tcW w:w="525" w:type="pct"/>
            <w:gridSpan w:val="2"/>
            <w:vAlign w:val="center"/>
          </w:tcPr>
          <w:p w14:paraId="4FD9107A">
            <w:pPr>
              <w:spacing w:line="400" w:lineRule="exact"/>
              <w:jc w:val="center"/>
              <w:rPr>
                <w:rFonts w:ascii="宋体"/>
                <w:kern w:val="0"/>
              </w:rPr>
            </w:pPr>
            <w:r>
              <w:rPr>
                <w:rFonts w:ascii="宋体" w:hAnsi="宋体" w:cs="宋体"/>
                <w:kern w:val="0"/>
              </w:rPr>
              <w:t>69</w:t>
            </w:r>
          </w:p>
        </w:tc>
        <w:tc>
          <w:tcPr>
            <w:tcW w:w="583" w:type="pct"/>
            <w:vAlign w:val="center"/>
          </w:tcPr>
          <w:p w14:paraId="4B512631">
            <w:pPr>
              <w:widowControl/>
              <w:spacing w:line="400" w:lineRule="exact"/>
              <w:jc w:val="center"/>
              <w:textAlignment w:val="center"/>
              <w:rPr>
                <w:rFonts w:ascii="宋体"/>
                <w:kern w:val="0"/>
              </w:rPr>
            </w:pPr>
            <w:r>
              <w:rPr>
                <w:rFonts w:ascii="宋体" w:hAnsi="宋体" w:cs="宋体"/>
                <w:kern w:val="0"/>
              </w:rPr>
              <w:t>74</w:t>
            </w:r>
          </w:p>
        </w:tc>
        <w:tc>
          <w:tcPr>
            <w:tcW w:w="585" w:type="pct"/>
            <w:vAlign w:val="center"/>
          </w:tcPr>
          <w:p w14:paraId="1F85443B">
            <w:pPr>
              <w:spacing w:line="400" w:lineRule="exact"/>
              <w:jc w:val="center"/>
              <w:rPr>
                <w:rFonts w:ascii="宋体"/>
                <w:kern w:val="0"/>
              </w:rPr>
            </w:pPr>
            <w:r>
              <w:rPr>
                <w:rFonts w:ascii="宋体" w:cs="宋体"/>
                <w:kern w:val="0"/>
              </w:rPr>
              <w:t>-</w:t>
            </w:r>
          </w:p>
        </w:tc>
        <w:tc>
          <w:tcPr>
            <w:tcW w:w="426" w:type="pct"/>
            <w:vAlign w:val="center"/>
          </w:tcPr>
          <w:p w14:paraId="4070BAEC">
            <w:pPr>
              <w:widowControl/>
              <w:spacing w:line="400" w:lineRule="exact"/>
              <w:jc w:val="center"/>
              <w:textAlignment w:val="center"/>
              <w:rPr>
                <w:rFonts w:ascii="宋体"/>
                <w:kern w:val="0"/>
              </w:rPr>
            </w:pPr>
            <w:r>
              <w:rPr>
                <w:rFonts w:hint="eastAsia" w:ascii="宋体" w:hAnsi="宋体" w:cs="宋体"/>
                <w:kern w:val="0"/>
              </w:rPr>
              <w:t>预期性</w:t>
            </w:r>
          </w:p>
        </w:tc>
      </w:tr>
      <w:tr w14:paraId="2AD70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7C14243A">
            <w:pPr>
              <w:widowControl/>
              <w:spacing w:line="400" w:lineRule="exact"/>
              <w:jc w:val="left"/>
              <w:textAlignment w:val="center"/>
              <w:rPr>
                <w:rFonts w:ascii="宋体"/>
                <w:kern w:val="0"/>
              </w:rPr>
            </w:pPr>
            <w:r>
              <w:rPr>
                <w:rFonts w:eastAsia="黑体"/>
                <w:kern w:val="0"/>
              </w:rPr>
              <w:t>11.</w:t>
            </w:r>
            <w:r>
              <w:rPr>
                <w:rFonts w:hint="eastAsia" w:ascii="宋体" w:hAnsi="宋体" w:cs="宋体"/>
                <w:kern w:val="0"/>
              </w:rPr>
              <w:t>常住人口城镇化率（</w:t>
            </w:r>
            <w:r>
              <w:rPr>
                <w:rFonts w:ascii="宋体" w:hAnsi="宋体" w:cs="宋体"/>
                <w:kern w:val="0"/>
              </w:rPr>
              <w:t>%</w:t>
            </w:r>
            <w:r>
              <w:rPr>
                <w:rFonts w:hint="eastAsia" w:ascii="宋体" w:hAnsi="宋体" w:cs="宋体"/>
                <w:kern w:val="0"/>
              </w:rPr>
              <w:t>）</w:t>
            </w:r>
          </w:p>
        </w:tc>
        <w:tc>
          <w:tcPr>
            <w:tcW w:w="525" w:type="pct"/>
            <w:gridSpan w:val="2"/>
            <w:vAlign w:val="center"/>
          </w:tcPr>
          <w:p w14:paraId="188874B3">
            <w:pPr>
              <w:jc w:val="center"/>
            </w:pPr>
            <w:r>
              <w:rPr>
                <w:rFonts w:ascii="宋体" w:hAnsi="宋体" w:cs="宋体"/>
                <w:kern w:val="0"/>
              </w:rPr>
              <w:t>52.5</w:t>
            </w:r>
          </w:p>
        </w:tc>
        <w:tc>
          <w:tcPr>
            <w:tcW w:w="583" w:type="pct"/>
            <w:vAlign w:val="center"/>
          </w:tcPr>
          <w:p w14:paraId="1F384803">
            <w:pPr>
              <w:jc w:val="center"/>
            </w:pPr>
            <w:r>
              <w:rPr>
                <w:rFonts w:ascii="宋体" w:hAnsi="宋体" w:cs="宋体"/>
                <w:kern w:val="0"/>
              </w:rPr>
              <w:t>60</w:t>
            </w:r>
          </w:p>
        </w:tc>
        <w:tc>
          <w:tcPr>
            <w:tcW w:w="585" w:type="pct"/>
            <w:vAlign w:val="center"/>
          </w:tcPr>
          <w:p w14:paraId="6058F1F1">
            <w:pPr>
              <w:jc w:val="center"/>
            </w:pPr>
            <w:r>
              <w:rPr>
                <w:rFonts w:ascii="宋体" w:cs="宋体"/>
                <w:kern w:val="0"/>
              </w:rPr>
              <w:t>-</w:t>
            </w:r>
          </w:p>
        </w:tc>
        <w:tc>
          <w:tcPr>
            <w:tcW w:w="426" w:type="pct"/>
            <w:vAlign w:val="center"/>
          </w:tcPr>
          <w:p w14:paraId="5922E65D">
            <w:pPr>
              <w:jc w:val="center"/>
            </w:pPr>
            <w:r>
              <w:rPr>
                <w:rFonts w:hint="eastAsia" w:ascii="宋体" w:hAnsi="宋体" w:cs="宋体"/>
                <w:kern w:val="0"/>
              </w:rPr>
              <w:t>预期性</w:t>
            </w:r>
          </w:p>
        </w:tc>
      </w:tr>
      <w:tr w14:paraId="1900A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5000" w:type="pct"/>
            <w:gridSpan w:val="7"/>
            <w:vAlign w:val="center"/>
          </w:tcPr>
          <w:p w14:paraId="338E4AE3">
            <w:pPr>
              <w:widowControl/>
              <w:spacing w:line="400" w:lineRule="exact"/>
              <w:jc w:val="left"/>
              <w:textAlignment w:val="center"/>
            </w:pPr>
            <w:r>
              <w:rPr>
                <w:rFonts w:hint="eastAsia" w:eastAsia="黑体" w:cs="黑体"/>
                <w:kern w:val="0"/>
              </w:rPr>
              <w:t>三、创新能力</w:t>
            </w:r>
          </w:p>
        </w:tc>
      </w:tr>
      <w:tr w14:paraId="69B8A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5357EF0A">
            <w:pPr>
              <w:widowControl/>
              <w:spacing w:line="400" w:lineRule="exact"/>
              <w:jc w:val="left"/>
              <w:textAlignment w:val="center"/>
              <w:rPr>
                <w:rFonts w:ascii="宋体"/>
                <w:kern w:val="0"/>
              </w:rPr>
            </w:pPr>
            <w:r>
              <w:rPr>
                <w:rFonts w:ascii="宋体" w:hAnsi="宋体" w:cs="宋体"/>
                <w:kern w:val="0"/>
              </w:rPr>
              <w:t>12</w:t>
            </w:r>
            <w:r>
              <w:rPr>
                <w:rFonts w:ascii="宋体" w:cs="宋体"/>
                <w:kern w:val="0"/>
              </w:rPr>
              <w:t>.</w:t>
            </w:r>
            <w:r>
              <w:rPr>
                <w:rFonts w:hint="eastAsia" w:ascii="宋体" w:hAnsi="宋体" w:cs="宋体"/>
                <w:kern w:val="0"/>
              </w:rPr>
              <w:t>研究与试验发展经费支出占地区生产总值比重（</w:t>
            </w:r>
            <w:r>
              <w:rPr>
                <w:rFonts w:ascii="宋体" w:hAnsi="宋体" w:cs="宋体"/>
                <w:kern w:val="0"/>
              </w:rPr>
              <w:t>%</w:t>
            </w:r>
            <w:r>
              <w:rPr>
                <w:rFonts w:hint="eastAsia" w:ascii="宋体" w:hAnsi="宋体" w:cs="宋体"/>
                <w:kern w:val="0"/>
              </w:rPr>
              <w:t>）</w:t>
            </w:r>
          </w:p>
        </w:tc>
        <w:tc>
          <w:tcPr>
            <w:tcW w:w="525" w:type="pct"/>
            <w:gridSpan w:val="2"/>
            <w:vAlign w:val="center"/>
          </w:tcPr>
          <w:p w14:paraId="559A0676">
            <w:pPr>
              <w:widowControl/>
              <w:spacing w:line="400" w:lineRule="exact"/>
              <w:jc w:val="center"/>
              <w:textAlignment w:val="center"/>
              <w:rPr>
                <w:rFonts w:ascii="宋体"/>
                <w:kern w:val="0"/>
              </w:rPr>
            </w:pPr>
            <w:r>
              <w:rPr>
                <w:rFonts w:ascii="宋体" w:hAnsi="宋体" w:cs="宋体"/>
                <w:kern w:val="0"/>
              </w:rPr>
              <w:t>0.58</w:t>
            </w:r>
          </w:p>
        </w:tc>
        <w:tc>
          <w:tcPr>
            <w:tcW w:w="583" w:type="pct"/>
            <w:vAlign w:val="center"/>
          </w:tcPr>
          <w:p w14:paraId="1AB936DE">
            <w:pPr>
              <w:widowControl/>
              <w:spacing w:line="400" w:lineRule="exact"/>
              <w:jc w:val="center"/>
              <w:textAlignment w:val="center"/>
              <w:rPr>
                <w:rFonts w:ascii="宋体"/>
                <w:kern w:val="0"/>
              </w:rPr>
            </w:pPr>
            <w:r>
              <w:rPr>
                <w:rFonts w:ascii="宋体" w:hAnsi="宋体" w:cs="宋体"/>
                <w:kern w:val="0"/>
              </w:rPr>
              <w:t>2.1</w:t>
            </w:r>
          </w:p>
        </w:tc>
        <w:tc>
          <w:tcPr>
            <w:tcW w:w="585" w:type="pct"/>
            <w:vAlign w:val="center"/>
          </w:tcPr>
          <w:p w14:paraId="1FC2AB4F">
            <w:pPr>
              <w:widowControl/>
              <w:spacing w:line="400" w:lineRule="exact"/>
              <w:jc w:val="center"/>
              <w:textAlignment w:val="center"/>
              <w:rPr>
                <w:rFonts w:ascii="宋体"/>
                <w:kern w:val="0"/>
              </w:rPr>
            </w:pPr>
            <w:r>
              <w:rPr>
                <w:rFonts w:ascii="宋体" w:cs="宋体"/>
                <w:kern w:val="0"/>
              </w:rPr>
              <w:t>-</w:t>
            </w:r>
          </w:p>
        </w:tc>
        <w:tc>
          <w:tcPr>
            <w:tcW w:w="426" w:type="pct"/>
            <w:vAlign w:val="center"/>
          </w:tcPr>
          <w:p w14:paraId="32A0B31A">
            <w:pPr>
              <w:widowControl/>
              <w:spacing w:line="400" w:lineRule="exact"/>
              <w:jc w:val="center"/>
              <w:textAlignment w:val="center"/>
              <w:rPr>
                <w:rFonts w:ascii="宋体"/>
                <w:kern w:val="0"/>
              </w:rPr>
            </w:pPr>
            <w:r>
              <w:rPr>
                <w:rFonts w:hint="eastAsia" w:ascii="宋体" w:hAnsi="宋体" w:cs="宋体"/>
                <w:kern w:val="0"/>
              </w:rPr>
              <w:t>预期性</w:t>
            </w:r>
          </w:p>
        </w:tc>
      </w:tr>
      <w:tr w14:paraId="7FB2F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169BDA46">
            <w:pPr>
              <w:widowControl/>
              <w:spacing w:line="400" w:lineRule="exact"/>
              <w:jc w:val="left"/>
              <w:textAlignment w:val="center"/>
              <w:rPr>
                <w:rFonts w:ascii="宋体"/>
                <w:kern w:val="0"/>
              </w:rPr>
            </w:pPr>
            <w:r>
              <w:rPr>
                <w:rFonts w:ascii="宋体" w:hAnsi="宋体" w:cs="宋体"/>
                <w:kern w:val="0"/>
              </w:rPr>
              <w:t>13</w:t>
            </w:r>
            <w:r>
              <w:rPr>
                <w:rFonts w:ascii="宋体" w:cs="宋体"/>
                <w:kern w:val="0"/>
              </w:rPr>
              <w:t>.</w:t>
            </w:r>
            <w:r>
              <w:rPr>
                <w:rFonts w:hint="eastAsia" w:ascii="宋体" w:hAnsi="宋体" w:cs="宋体"/>
                <w:kern w:val="0"/>
              </w:rPr>
              <w:t>高新技术企业数（个）</w:t>
            </w:r>
          </w:p>
        </w:tc>
        <w:tc>
          <w:tcPr>
            <w:tcW w:w="525" w:type="pct"/>
            <w:gridSpan w:val="2"/>
            <w:vAlign w:val="center"/>
          </w:tcPr>
          <w:p w14:paraId="0CC9E27E">
            <w:pPr>
              <w:widowControl/>
              <w:spacing w:line="400" w:lineRule="exact"/>
              <w:jc w:val="center"/>
              <w:textAlignment w:val="center"/>
              <w:rPr>
                <w:rFonts w:ascii="宋体"/>
                <w:kern w:val="0"/>
              </w:rPr>
            </w:pPr>
            <w:r>
              <w:rPr>
                <w:rFonts w:ascii="宋体" w:hAnsi="宋体" w:cs="宋体"/>
                <w:kern w:val="0"/>
              </w:rPr>
              <w:t>19</w:t>
            </w:r>
          </w:p>
        </w:tc>
        <w:tc>
          <w:tcPr>
            <w:tcW w:w="583" w:type="pct"/>
            <w:vAlign w:val="center"/>
          </w:tcPr>
          <w:p w14:paraId="103AE667">
            <w:pPr>
              <w:widowControl/>
              <w:spacing w:line="400" w:lineRule="exact"/>
              <w:jc w:val="center"/>
              <w:textAlignment w:val="center"/>
              <w:rPr>
                <w:rFonts w:ascii="宋体"/>
                <w:kern w:val="0"/>
              </w:rPr>
            </w:pPr>
            <w:r>
              <w:rPr>
                <w:rFonts w:ascii="宋体" w:hAnsi="宋体" w:cs="宋体"/>
                <w:kern w:val="0"/>
              </w:rPr>
              <w:t>50</w:t>
            </w:r>
          </w:p>
        </w:tc>
        <w:tc>
          <w:tcPr>
            <w:tcW w:w="585" w:type="pct"/>
            <w:vAlign w:val="center"/>
          </w:tcPr>
          <w:p w14:paraId="73E881FA">
            <w:pPr>
              <w:widowControl/>
              <w:spacing w:line="400" w:lineRule="exact"/>
              <w:jc w:val="center"/>
              <w:textAlignment w:val="center"/>
              <w:rPr>
                <w:rFonts w:ascii="宋体"/>
                <w:kern w:val="0"/>
              </w:rPr>
            </w:pPr>
            <w:r>
              <w:rPr>
                <w:rFonts w:ascii="宋体" w:cs="宋体"/>
                <w:kern w:val="0"/>
              </w:rPr>
              <w:t>-</w:t>
            </w:r>
          </w:p>
        </w:tc>
        <w:tc>
          <w:tcPr>
            <w:tcW w:w="426" w:type="pct"/>
            <w:vAlign w:val="center"/>
          </w:tcPr>
          <w:p w14:paraId="30AD3C2D">
            <w:pPr>
              <w:widowControl/>
              <w:spacing w:line="400" w:lineRule="exact"/>
              <w:jc w:val="center"/>
              <w:textAlignment w:val="center"/>
              <w:rPr>
                <w:rFonts w:ascii="宋体"/>
                <w:kern w:val="0"/>
              </w:rPr>
            </w:pPr>
            <w:r>
              <w:rPr>
                <w:rFonts w:hint="eastAsia" w:ascii="宋体" w:hAnsi="宋体" w:cs="宋体"/>
                <w:kern w:val="0"/>
              </w:rPr>
              <w:t>预期性</w:t>
            </w:r>
          </w:p>
        </w:tc>
      </w:tr>
      <w:tr w14:paraId="6C142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81" w:type="pct"/>
            <w:gridSpan w:val="2"/>
            <w:vAlign w:val="center"/>
          </w:tcPr>
          <w:p w14:paraId="6654C8E4">
            <w:pPr>
              <w:widowControl/>
              <w:spacing w:line="400" w:lineRule="exact"/>
              <w:jc w:val="left"/>
              <w:textAlignment w:val="center"/>
              <w:rPr>
                <w:rFonts w:ascii="宋体"/>
                <w:kern w:val="0"/>
              </w:rPr>
            </w:pPr>
            <w:r>
              <w:rPr>
                <w:rFonts w:ascii="宋体" w:hAnsi="宋体" w:cs="宋体"/>
                <w:kern w:val="0"/>
              </w:rPr>
              <w:t>14</w:t>
            </w:r>
            <w:r>
              <w:rPr>
                <w:rFonts w:ascii="宋体" w:cs="宋体"/>
                <w:kern w:val="0"/>
              </w:rPr>
              <w:t>.</w:t>
            </w:r>
            <w:r>
              <w:rPr>
                <w:rFonts w:hint="eastAsia" w:ascii="宋体" w:hAnsi="宋体" w:cs="宋体"/>
                <w:kern w:val="0"/>
              </w:rPr>
              <w:t>每万人口发明专利拥有量（件）</w:t>
            </w:r>
          </w:p>
        </w:tc>
        <w:tc>
          <w:tcPr>
            <w:tcW w:w="525" w:type="pct"/>
            <w:gridSpan w:val="2"/>
            <w:vAlign w:val="center"/>
          </w:tcPr>
          <w:p w14:paraId="2F44FC91">
            <w:pPr>
              <w:widowControl/>
              <w:spacing w:line="400" w:lineRule="exact"/>
              <w:jc w:val="center"/>
              <w:textAlignment w:val="center"/>
              <w:rPr>
                <w:rFonts w:ascii="宋体"/>
                <w:kern w:val="0"/>
              </w:rPr>
            </w:pPr>
            <w:r>
              <w:rPr>
                <w:rFonts w:ascii="宋体" w:hAnsi="宋体" w:cs="宋体"/>
                <w:kern w:val="0"/>
              </w:rPr>
              <w:t>1.2</w:t>
            </w:r>
          </w:p>
        </w:tc>
        <w:tc>
          <w:tcPr>
            <w:tcW w:w="583" w:type="pct"/>
            <w:vAlign w:val="center"/>
          </w:tcPr>
          <w:p w14:paraId="1B14748F">
            <w:pPr>
              <w:widowControl/>
              <w:spacing w:line="400" w:lineRule="exact"/>
              <w:jc w:val="center"/>
              <w:textAlignment w:val="center"/>
              <w:rPr>
                <w:rFonts w:ascii="宋体"/>
                <w:kern w:val="0"/>
              </w:rPr>
            </w:pPr>
            <w:r>
              <w:rPr>
                <w:rFonts w:ascii="宋体" w:hAnsi="宋体" w:cs="宋体"/>
                <w:kern w:val="0"/>
              </w:rPr>
              <w:t>3.2</w:t>
            </w:r>
          </w:p>
        </w:tc>
        <w:tc>
          <w:tcPr>
            <w:tcW w:w="585" w:type="pct"/>
            <w:vAlign w:val="center"/>
          </w:tcPr>
          <w:p w14:paraId="209066DB">
            <w:pPr>
              <w:widowControl/>
              <w:spacing w:line="400" w:lineRule="exact"/>
              <w:jc w:val="center"/>
              <w:textAlignment w:val="center"/>
              <w:rPr>
                <w:rFonts w:ascii="宋体"/>
                <w:kern w:val="0"/>
              </w:rPr>
            </w:pPr>
            <w:r>
              <w:rPr>
                <w:rFonts w:ascii="宋体" w:cs="宋体"/>
                <w:kern w:val="0"/>
              </w:rPr>
              <w:t>-</w:t>
            </w:r>
          </w:p>
        </w:tc>
        <w:tc>
          <w:tcPr>
            <w:tcW w:w="426" w:type="pct"/>
            <w:vAlign w:val="center"/>
          </w:tcPr>
          <w:p w14:paraId="635606E1">
            <w:pPr>
              <w:widowControl/>
              <w:spacing w:line="400" w:lineRule="exact"/>
              <w:jc w:val="center"/>
              <w:textAlignment w:val="center"/>
              <w:rPr>
                <w:rFonts w:ascii="宋体"/>
                <w:kern w:val="0"/>
              </w:rPr>
            </w:pPr>
            <w:r>
              <w:rPr>
                <w:rFonts w:hint="eastAsia" w:ascii="宋体" w:hAnsi="宋体" w:cs="宋体"/>
                <w:kern w:val="0"/>
              </w:rPr>
              <w:t>预期性</w:t>
            </w:r>
          </w:p>
        </w:tc>
      </w:tr>
      <w:tr w14:paraId="34701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5000" w:type="pct"/>
            <w:gridSpan w:val="7"/>
            <w:vAlign w:val="center"/>
          </w:tcPr>
          <w:p w14:paraId="440B71D1">
            <w:pPr>
              <w:widowControl/>
              <w:spacing w:line="400" w:lineRule="exact"/>
              <w:jc w:val="left"/>
              <w:textAlignment w:val="center"/>
            </w:pPr>
            <w:r>
              <w:rPr>
                <w:rFonts w:hint="eastAsia" w:eastAsia="黑体" w:cs="黑体"/>
                <w:kern w:val="0"/>
              </w:rPr>
              <w:t>四、生态文明</w:t>
            </w:r>
          </w:p>
        </w:tc>
      </w:tr>
      <w:tr w14:paraId="201BD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93" w:type="pct"/>
            <w:gridSpan w:val="3"/>
            <w:vAlign w:val="center"/>
          </w:tcPr>
          <w:p w14:paraId="118F2FC9">
            <w:pPr>
              <w:widowControl/>
              <w:spacing w:line="400" w:lineRule="exact"/>
              <w:jc w:val="left"/>
              <w:textAlignment w:val="center"/>
              <w:rPr>
                <w:rFonts w:ascii="宋体"/>
                <w:kern w:val="0"/>
              </w:rPr>
            </w:pPr>
            <w:r>
              <w:rPr>
                <w:rFonts w:ascii="宋体" w:hAnsi="宋体" w:cs="宋体"/>
                <w:kern w:val="0"/>
              </w:rPr>
              <w:t>15</w:t>
            </w:r>
            <w:r>
              <w:rPr>
                <w:rFonts w:ascii="宋体" w:cs="宋体"/>
                <w:kern w:val="0"/>
              </w:rPr>
              <w:t>.</w:t>
            </w:r>
            <w:r>
              <w:rPr>
                <w:rFonts w:hint="eastAsia" w:ascii="宋体" w:hAnsi="宋体" w:cs="宋体"/>
                <w:kern w:val="0"/>
              </w:rPr>
              <w:t>空气质量指数（</w:t>
            </w:r>
            <w:r>
              <w:rPr>
                <w:rFonts w:ascii="宋体" w:hAnsi="宋体" w:cs="宋体"/>
                <w:kern w:val="0"/>
              </w:rPr>
              <w:t>AQI</w:t>
            </w:r>
            <w:r>
              <w:rPr>
                <w:rFonts w:hint="eastAsia" w:ascii="宋体" w:hAnsi="宋体" w:cs="宋体"/>
                <w:kern w:val="0"/>
              </w:rPr>
              <w:t>）达到优良天数占比（</w:t>
            </w:r>
            <w:r>
              <w:rPr>
                <w:rFonts w:ascii="宋体" w:hAnsi="宋体" w:cs="宋体"/>
                <w:kern w:val="0"/>
              </w:rPr>
              <w:t>%</w:t>
            </w:r>
            <w:r>
              <w:rPr>
                <w:rFonts w:hint="eastAsia" w:ascii="宋体" w:hAnsi="宋体" w:cs="宋体"/>
                <w:kern w:val="0"/>
              </w:rPr>
              <w:t>）</w:t>
            </w:r>
          </w:p>
        </w:tc>
        <w:tc>
          <w:tcPr>
            <w:tcW w:w="513" w:type="pct"/>
            <w:vAlign w:val="center"/>
          </w:tcPr>
          <w:p w14:paraId="4D535E0E">
            <w:pPr>
              <w:jc w:val="center"/>
              <w:rPr>
                <w:rFonts w:ascii="宋体"/>
                <w:kern w:val="0"/>
              </w:rPr>
            </w:pPr>
            <w:r>
              <w:rPr>
                <w:rFonts w:ascii="宋体" w:hAnsi="宋体" w:cs="宋体"/>
                <w:kern w:val="0"/>
              </w:rPr>
              <w:t>95</w:t>
            </w:r>
          </w:p>
        </w:tc>
        <w:tc>
          <w:tcPr>
            <w:tcW w:w="583" w:type="pct"/>
            <w:vAlign w:val="center"/>
          </w:tcPr>
          <w:p w14:paraId="7C1F2FAF">
            <w:pPr>
              <w:widowControl/>
              <w:spacing w:line="400" w:lineRule="exact"/>
              <w:jc w:val="center"/>
              <w:textAlignment w:val="center"/>
              <w:rPr>
                <w:rFonts w:ascii="宋体"/>
                <w:kern w:val="0"/>
              </w:rPr>
            </w:pPr>
            <w:r>
              <w:rPr>
                <w:rFonts w:ascii="宋体" w:hAnsi="宋体" w:cs="宋体"/>
                <w:kern w:val="0"/>
              </w:rPr>
              <w:t>95</w:t>
            </w:r>
          </w:p>
        </w:tc>
        <w:tc>
          <w:tcPr>
            <w:tcW w:w="585" w:type="pct"/>
            <w:vAlign w:val="center"/>
          </w:tcPr>
          <w:p w14:paraId="533119DE">
            <w:pPr>
              <w:jc w:val="center"/>
              <w:rPr>
                <w:rFonts w:ascii="宋体"/>
                <w:kern w:val="0"/>
              </w:rPr>
            </w:pPr>
            <w:r>
              <w:rPr>
                <w:rFonts w:ascii="宋体" w:cs="宋体"/>
                <w:kern w:val="0"/>
              </w:rPr>
              <w:t>-</w:t>
            </w:r>
          </w:p>
        </w:tc>
        <w:tc>
          <w:tcPr>
            <w:tcW w:w="426" w:type="pct"/>
            <w:vAlign w:val="center"/>
          </w:tcPr>
          <w:p w14:paraId="246CDE65">
            <w:pPr>
              <w:widowControl/>
              <w:spacing w:line="400" w:lineRule="exact"/>
              <w:jc w:val="center"/>
              <w:textAlignment w:val="center"/>
              <w:rPr>
                <w:rFonts w:ascii="宋体"/>
                <w:kern w:val="0"/>
              </w:rPr>
            </w:pPr>
            <w:r>
              <w:rPr>
                <w:rFonts w:hint="eastAsia" w:ascii="宋体" w:hAnsi="宋体" w:cs="宋体"/>
                <w:kern w:val="0"/>
              </w:rPr>
              <w:t>约束性</w:t>
            </w:r>
          </w:p>
        </w:tc>
      </w:tr>
      <w:tr w14:paraId="48790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93" w:type="pct"/>
            <w:gridSpan w:val="3"/>
            <w:vAlign w:val="center"/>
          </w:tcPr>
          <w:p w14:paraId="5A4064CD">
            <w:pPr>
              <w:widowControl/>
              <w:spacing w:line="400" w:lineRule="exact"/>
              <w:jc w:val="left"/>
              <w:textAlignment w:val="center"/>
              <w:rPr>
                <w:rFonts w:ascii="宋体"/>
                <w:kern w:val="0"/>
              </w:rPr>
            </w:pPr>
            <w:r>
              <w:rPr>
                <w:rFonts w:ascii="宋体" w:hAnsi="宋体" w:cs="宋体"/>
                <w:kern w:val="0"/>
              </w:rPr>
              <w:t>16</w:t>
            </w:r>
            <w:r>
              <w:rPr>
                <w:rFonts w:ascii="宋体" w:cs="宋体"/>
                <w:kern w:val="0"/>
              </w:rPr>
              <w:t>.</w:t>
            </w:r>
            <w:r>
              <w:rPr>
                <w:rFonts w:hint="eastAsia" w:ascii="宋体" w:hAnsi="宋体" w:cs="宋体"/>
                <w:kern w:val="0"/>
              </w:rPr>
              <w:t>森林覆盖率（</w:t>
            </w:r>
            <w:r>
              <w:rPr>
                <w:rFonts w:ascii="宋体" w:hAnsi="宋体" w:cs="宋体"/>
                <w:kern w:val="0"/>
              </w:rPr>
              <w:t>%</w:t>
            </w:r>
            <w:r>
              <w:rPr>
                <w:rFonts w:hint="eastAsia" w:ascii="宋体" w:hAnsi="宋体" w:cs="宋体"/>
                <w:kern w:val="0"/>
              </w:rPr>
              <w:t>）</w:t>
            </w:r>
          </w:p>
        </w:tc>
        <w:tc>
          <w:tcPr>
            <w:tcW w:w="513" w:type="pct"/>
            <w:vAlign w:val="center"/>
          </w:tcPr>
          <w:p w14:paraId="3C5A5E1E">
            <w:pPr>
              <w:widowControl/>
              <w:spacing w:line="400" w:lineRule="exact"/>
              <w:jc w:val="center"/>
              <w:textAlignment w:val="center"/>
              <w:rPr>
                <w:rFonts w:ascii="宋体"/>
                <w:kern w:val="0"/>
              </w:rPr>
            </w:pPr>
            <w:r>
              <w:rPr>
                <w:rFonts w:ascii="宋体" w:hAnsi="宋体" w:cs="宋体"/>
                <w:kern w:val="0"/>
              </w:rPr>
              <w:t>48.5</w:t>
            </w:r>
          </w:p>
        </w:tc>
        <w:tc>
          <w:tcPr>
            <w:tcW w:w="583" w:type="pct"/>
            <w:vAlign w:val="center"/>
          </w:tcPr>
          <w:p w14:paraId="457A2458">
            <w:pPr>
              <w:jc w:val="center"/>
              <w:rPr>
                <w:rFonts w:ascii="宋体"/>
                <w:kern w:val="0"/>
                <w:sz w:val="15"/>
                <w:szCs w:val="15"/>
              </w:rPr>
            </w:pPr>
            <w:r>
              <w:rPr>
                <w:rFonts w:ascii="宋体" w:hAnsi="宋体" w:cs="宋体"/>
                <w:kern w:val="0"/>
              </w:rPr>
              <w:t>50</w:t>
            </w:r>
          </w:p>
        </w:tc>
        <w:tc>
          <w:tcPr>
            <w:tcW w:w="585" w:type="pct"/>
            <w:vAlign w:val="center"/>
          </w:tcPr>
          <w:p w14:paraId="65D32800">
            <w:pPr>
              <w:widowControl/>
              <w:spacing w:line="400" w:lineRule="exact"/>
              <w:jc w:val="center"/>
              <w:textAlignment w:val="center"/>
              <w:rPr>
                <w:rFonts w:ascii="宋体"/>
                <w:kern w:val="0"/>
              </w:rPr>
            </w:pPr>
            <w:r>
              <w:rPr>
                <w:rFonts w:ascii="宋体" w:cs="宋体"/>
                <w:kern w:val="0"/>
              </w:rPr>
              <w:t>-</w:t>
            </w:r>
          </w:p>
        </w:tc>
        <w:tc>
          <w:tcPr>
            <w:tcW w:w="426" w:type="pct"/>
            <w:vAlign w:val="center"/>
          </w:tcPr>
          <w:p w14:paraId="66093AF1">
            <w:pPr>
              <w:widowControl/>
              <w:jc w:val="center"/>
              <w:textAlignment w:val="top"/>
              <w:rPr>
                <w:rFonts w:ascii="宋体"/>
                <w:kern w:val="0"/>
              </w:rPr>
            </w:pPr>
            <w:r>
              <w:rPr>
                <w:rFonts w:hint="eastAsia" w:ascii="宋体" w:hAnsi="宋体" w:cs="宋体"/>
                <w:kern w:val="0"/>
              </w:rPr>
              <w:t>约束性</w:t>
            </w:r>
          </w:p>
        </w:tc>
      </w:tr>
      <w:tr w14:paraId="06708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93" w:type="pct"/>
            <w:gridSpan w:val="3"/>
            <w:vAlign w:val="center"/>
          </w:tcPr>
          <w:p w14:paraId="0D999A86">
            <w:pPr>
              <w:widowControl/>
              <w:spacing w:line="400" w:lineRule="exact"/>
              <w:jc w:val="left"/>
              <w:textAlignment w:val="center"/>
              <w:rPr>
                <w:rFonts w:ascii="宋体"/>
                <w:kern w:val="0"/>
              </w:rPr>
            </w:pPr>
            <w:r>
              <w:rPr>
                <w:rFonts w:ascii="宋体" w:hAnsi="宋体" w:cs="宋体"/>
                <w:kern w:val="0"/>
              </w:rPr>
              <w:t>17</w:t>
            </w:r>
            <w:r>
              <w:rPr>
                <w:rFonts w:ascii="宋体" w:cs="宋体"/>
                <w:kern w:val="0"/>
              </w:rPr>
              <w:t>.</w:t>
            </w:r>
            <w:r>
              <w:rPr>
                <w:rFonts w:hint="eastAsia" w:ascii="宋体" w:hAnsi="宋体" w:cs="宋体"/>
                <w:kern w:val="0"/>
              </w:rPr>
              <w:t>耕地保有量（公顷）</w:t>
            </w:r>
          </w:p>
        </w:tc>
        <w:tc>
          <w:tcPr>
            <w:tcW w:w="513" w:type="pct"/>
            <w:vAlign w:val="center"/>
          </w:tcPr>
          <w:p w14:paraId="51CDC215">
            <w:pPr>
              <w:jc w:val="center"/>
              <w:rPr>
                <w:rFonts w:ascii="宋体"/>
                <w:kern w:val="0"/>
              </w:rPr>
            </w:pPr>
            <w:r>
              <w:rPr>
                <w:rFonts w:ascii="宋体" w:hAnsi="宋体" w:cs="宋体"/>
                <w:kern w:val="0"/>
              </w:rPr>
              <w:t>50008</w:t>
            </w:r>
          </w:p>
        </w:tc>
        <w:tc>
          <w:tcPr>
            <w:tcW w:w="583" w:type="pct"/>
            <w:vAlign w:val="center"/>
          </w:tcPr>
          <w:p w14:paraId="649012F4">
            <w:pPr>
              <w:jc w:val="center"/>
              <w:rPr>
                <w:rFonts w:ascii="宋体"/>
                <w:kern w:val="0"/>
              </w:rPr>
            </w:pPr>
            <w:r>
              <w:rPr>
                <w:rFonts w:ascii="宋体" w:hAnsi="宋体" w:cs="宋体"/>
                <w:kern w:val="0"/>
              </w:rPr>
              <w:t>48793</w:t>
            </w:r>
          </w:p>
        </w:tc>
        <w:tc>
          <w:tcPr>
            <w:tcW w:w="585" w:type="pct"/>
            <w:vAlign w:val="center"/>
          </w:tcPr>
          <w:p w14:paraId="2E504CDD">
            <w:pPr>
              <w:widowControl/>
              <w:spacing w:line="400" w:lineRule="exact"/>
              <w:jc w:val="center"/>
              <w:textAlignment w:val="center"/>
              <w:rPr>
                <w:rFonts w:ascii="宋体"/>
                <w:kern w:val="0"/>
              </w:rPr>
            </w:pPr>
            <w:r>
              <w:rPr>
                <w:rFonts w:ascii="宋体" w:cs="宋体"/>
                <w:kern w:val="0"/>
              </w:rPr>
              <w:t>-</w:t>
            </w:r>
          </w:p>
        </w:tc>
        <w:tc>
          <w:tcPr>
            <w:tcW w:w="426" w:type="pct"/>
            <w:vAlign w:val="center"/>
          </w:tcPr>
          <w:p w14:paraId="7431DEDB">
            <w:pPr>
              <w:jc w:val="center"/>
              <w:rPr>
                <w:rFonts w:ascii="宋体"/>
                <w:kern w:val="0"/>
              </w:rPr>
            </w:pPr>
            <w:r>
              <w:rPr>
                <w:rFonts w:hint="eastAsia" w:ascii="宋体" w:hAnsi="宋体" w:cs="宋体"/>
                <w:kern w:val="0"/>
              </w:rPr>
              <w:t>约束性</w:t>
            </w:r>
          </w:p>
        </w:tc>
      </w:tr>
      <w:tr w14:paraId="31945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93" w:type="pct"/>
            <w:gridSpan w:val="3"/>
            <w:vAlign w:val="center"/>
          </w:tcPr>
          <w:p w14:paraId="3CE86372">
            <w:pPr>
              <w:widowControl/>
              <w:spacing w:line="400" w:lineRule="exact"/>
              <w:jc w:val="left"/>
              <w:textAlignment w:val="center"/>
              <w:rPr>
                <w:rFonts w:ascii="宋体"/>
                <w:kern w:val="0"/>
              </w:rPr>
            </w:pPr>
            <w:r>
              <w:rPr>
                <w:rFonts w:ascii="宋体" w:hAnsi="宋体" w:cs="宋体"/>
                <w:kern w:val="0"/>
              </w:rPr>
              <w:t>18</w:t>
            </w:r>
            <w:r>
              <w:rPr>
                <w:rFonts w:ascii="宋体" w:cs="宋体"/>
                <w:kern w:val="0"/>
              </w:rPr>
              <w:t>.</w:t>
            </w:r>
            <w:r>
              <w:rPr>
                <w:rFonts w:hint="eastAsia" w:ascii="宋体" w:hAnsi="宋体" w:cs="宋体"/>
                <w:kern w:val="0"/>
              </w:rPr>
              <w:t>万元工业增加值用水量（吨）</w:t>
            </w:r>
          </w:p>
        </w:tc>
        <w:tc>
          <w:tcPr>
            <w:tcW w:w="513" w:type="pct"/>
            <w:vAlign w:val="center"/>
          </w:tcPr>
          <w:p w14:paraId="3EA280E6">
            <w:pPr>
              <w:jc w:val="center"/>
              <w:rPr>
                <w:rFonts w:ascii="宋体"/>
                <w:kern w:val="0"/>
              </w:rPr>
            </w:pPr>
            <w:r>
              <w:rPr>
                <w:rFonts w:ascii="宋体" w:hAnsi="宋体" w:cs="宋体"/>
                <w:kern w:val="0"/>
              </w:rPr>
              <w:t>60.6</w:t>
            </w:r>
          </w:p>
        </w:tc>
        <w:tc>
          <w:tcPr>
            <w:tcW w:w="583" w:type="pct"/>
            <w:vAlign w:val="center"/>
          </w:tcPr>
          <w:p w14:paraId="2FDADD3C">
            <w:pPr>
              <w:jc w:val="center"/>
              <w:rPr>
                <w:rFonts w:ascii="宋体"/>
                <w:kern w:val="0"/>
              </w:rPr>
            </w:pPr>
            <w:r>
              <w:rPr>
                <w:rFonts w:ascii="宋体" w:hAnsi="宋体" w:cs="宋体"/>
                <w:kern w:val="0"/>
              </w:rPr>
              <w:t>53</w:t>
            </w:r>
          </w:p>
        </w:tc>
        <w:tc>
          <w:tcPr>
            <w:tcW w:w="585" w:type="pct"/>
            <w:vAlign w:val="center"/>
          </w:tcPr>
          <w:p w14:paraId="367A7E1A">
            <w:pPr>
              <w:jc w:val="center"/>
              <w:rPr>
                <w:rFonts w:ascii="宋体"/>
                <w:kern w:val="0"/>
              </w:rPr>
            </w:pPr>
            <w:r>
              <w:rPr>
                <w:rFonts w:ascii="宋体" w:cs="宋体"/>
                <w:kern w:val="0"/>
              </w:rPr>
              <w:t>-</w:t>
            </w:r>
          </w:p>
        </w:tc>
        <w:tc>
          <w:tcPr>
            <w:tcW w:w="426" w:type="pct"/>
            <w:vAlign w:val="center"/>
          </w:tcPr>
          <w:p w14:paraId="4213A302">
            <w:pPr>
              <w:jc w:val="center"/>
              <w:rPr>
                <w:rFonts w:ascii="宋体"/>
                <w:kern w:val="0"/>
              </w:rPr>
            </w:pPr>
            <w:r>
              <w:rPr>
                <w:rFonts w:hint="eastAsia" w:ascii="宋体" w:hAnsi="宋体" w:cs="宋体"/>
                <w:kern w:val="0"/>
              </w:rPr>
              <w:t>约束性</w:t>
            </w:r>
          </w:p>
        </w:tc>
      </w:tr>
      <w:tr w14:paraId="08243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93" w:type="pct"/>
            <w:gridSpan w:val="3"/>
            <w:vAlign w:val="center"/>
          </w:tcPr>
          <w:p w14:paraId="4C403C54">
            <w:pPr>
              <w:widowControl/>
              <w:spacing w:line="400" w:lineRule="exact"/>
              <w:jc w:val="left"/>
              <w:textAlignment w:val="center"/>
              <w:rPr>
                <w:rFonts w:ascii="宋体"/>
                <w:kern w:val="0"/>
              </w:rPr>
            </w:pPr>
            <w:r>
              <w:rPr>
                <w:rFonts w:ascii="宋体" w:hAnsi="宋体" w:cs="宋体"/>
                <w:kern w:val="0"/>
              </w:rPr>
              <w:t>19.</w:t>
            </w:r>
            <w:r>
              <w:rPr>
                <w:rFonts w:hint="eastAsia" w:ascii="宋体" w:hAnsi="宋体" w:cs="宋体"/>
                <w:kern w:val="0"/>
              </w:rPr>
              <w:t>单位</w:t>
            </w:r>
            <w:r>
              <w:rPr>
                <w:rFonts w:ascii="宋体" w:hAnsi="宋体" w:cs="宋体"/>
                <w:kern w:val="0"/>
              </w:rPr>
              <w:t>GDP</w:t>
            </w:r>
            <w:r>
              <w:rPr>
                <w:rFonts w:hint="eastAsia" w:ascii="宋体" w:hAnsi="宋体" w:cs="宋体"/>
                <w:kern w:val="0"/>
              </w:rPr>
              <w:t>能耗降低（</w:t>
            </w:r>
            <w:r>
              <w:rPr>
                <w:rFonts w:ascii="宋体" w:hAnsi="宋体" w:cs="宋体"/>
                <w:kern w:val="0"/>
              </w:rPr>
              <w:t>%</w:t>
            </w:r>
            <w:r>
              <w:rPr>
                <w:rFonts w:hint="eastAsia" w:ascii="宋体" w:hAnsi="宋体" w:cs="宋体"/>
                <w:kern w:val="0"/>
              </w:rPr>
              <w:t>）</w:t>
            </w:r>
          </w:p>
        </w:tc>
        <w:tc>
          <w:tcPr>
            <w:tcW w:w="513" w:type="pct"/>
            <w:vAlign w:val="center"/>
          </w:tcPr>
          <w:p w14:paraId="5F9ABBC6">
            <w:pPr>
              <w:jc w:val="center"/>
            </w:pPr>
            <w:r>
              <w:rPr>
                <w:rFonts w:ascii="宋体" w:hAnsi="宋体" w:cs="宋体"/>
                <w:kern w:val="0"/>
              </w:rPr>
              <w:t>4</w:t>
            </w:r>
          </w:p>
        </w:tc>
        <w:tc>
          <w:tcPr>
            <w:tcW w:w="583" w:type="pct"/>
            <w:vAlign w:val="center"/>
          </w:tcPr>
          <w:p w14:paraId="1DBB925F">
            <w:pPr>
              <w:jc w:val="center"/>
            </w:pPr>
            <w:r>
              <w:rPr>
                <w:rFonts w:hint="eastAsia" w:cs="宋体"/>
              </w:rPr>
              <w:t>市控目标</w:t>
            </w:r>
          </w:p>
        </w:tc>
        <w:tc>
          <w:tcPr>
            <w:tcW w:w="585" w:type="pct"/>
            <w:vAlign w:val="center"/>
          </w:tcPr>
          <w:p w14:paraId="4B1F2F67">
            <w:pPr>
              <w:jc w:val="center"/>
            </w:pPr>
            <w:r>
              <w:rPr>
                <w:rFonts w:ascii="宋体" w:cs="宋体"/>
                <w:kern w:val="0"/>
              </w:rPr>
              <w:t>-</w:t>
            </w:r>
          </w:p>
        </w:tc>
        <w:tc>
          <w:tcPr>
            <w:tcW w:w="426" w:type="pct"/>
            <w:vAlign w:val="center"/>
          </w:tcPr>
          <w:p w14:paraId="1D2E5AF1">
            <w:pPr>
              <w:widowControl/>
              <w:spacing w:line="400" w:lineRule="exact"/>
              <w:jc w:val="center"/>
              <w:textAlignment w:val="center"/>
              <w:rPr>
                <w:rFonts w:ascii="宋体"/>
                <w:kern w:val="0"/>
              </w:rPr>
            </w:pPr>
            <w:r>
              <w:rPr>
                <w:rFonts w:hint="eastAsia" w:ascii="宋体" w:hAnsi="宋体" w:cs="宋体"/>
                <w:kern w:val="0"/>
              </w:rPr>
              <w:t>约束性</w:t>
            </w:r>
          </w:p>
        </w:tc>
      </w:tr>
      <w:tr w14:paraId="29B64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93" w:type="pct"/>
            <w:gridSpan w:val="3"/>
            <w:vAlign w:val="center"/>
          </w:tcPr>
          <w:p w14:paraId="6BED92F3">
            <w:pPr>
              <w:widowControl/>
              <w:spacing w:line="400" w:lineRule="exact"/>
              <w:jc w:val="left"/>
              <w:textAlignment w:val="center"/>
              <w:rPr>
                <w:rFonts w:ascii="宋体"/>
                <w:kern w:val="0"/>
              </w:rPr>
            </w:pPr>
            <w:r>
              <w:rPr>
                <w:rFonts w:ascii="宋体" w:hAnsi="宋体" w:cs="宋体"/>
                <w:kern w:val="0"/>
              </w:rPr>
              <w:t>20</w:t>
            </w:r>
            <w:r>
              <w:rPr>
                <w:rFonts w:ascii="宋体" w:cs="宋体"/>
                <w:kern w:val="0"/>
              </w:rPr>
              <w:t>.</w:t>
            </w:r>
            <w:r>
              <w:rPr>
                <w:rFonts w:hint="eastAsia" w:ascii="宋体" w:hAnsi="宋体" w:cs="宋体"/>
                <w:kern w:val="0"/>
              </w:rPr>
              <w:t>单位</w:t>
            </w:r>
            <w:r>
              <w:rPr>
                <w:rFonts w:ascii="宋体" w:hAnsi="宋体" w:cs="宋体"/>
                <w:kern w:val="0"/>
              </w:rPr>
              <w:t>GDP</w:t>
            </w:r>
            <w:r>
              <w:rPr>
                <w:rFonts w:hint="eastAsia" w:ascii="宋体" w:hAnsi="宋体" w:cs="宋体"/>
                <w:kern w:val="0"/>
              </w:rPr>
              <w:t>二氧化碳排放降低（</w:t>
            </w:r>
            <w:r>
              <w:rPr>
                <w:rFonts w:ascii="宋体" w:hAnsi="宋体" w:cs="宋体"/>
                <w:kern w:val="0"/>
              </w:rPr>
              <w:t>%</w:t>
            </w:r>
            <w:r>
              <w:rPr>
                <w:rFonts w:hint="eastAsia" w:ascii="宋体" w:hAnsi="宋体" w:cs="宋体"/>
                <w:kern w:val="0"/>
              </w:rPr>
              <w:t>）</w:t>
            </w:r>
          </w:p>
        </w:tc>
        <w:tc>
          <w:tcPr>
            <w:tcW w:w="513" w:type="pct"/>
            <w:vAlign w:val="center"/>
          </w:tcPr>
          <w:p w14:paraId="16B6B4B4">
            <w:pPr>
              <w:jc w:val="center"/>
              <w:rPr>
                <w:rFonts w:ascii="宋体"/>
                <w:kern w:val="0"/>
              </w:rPr>
            </w:pPr>
            <w:r>
              <w:rPr>
                <w:rFonts w:ascii="宋体" w:hAnsi="宋体" w:cs="宋体"/>
                <w:kern w:val="0"/>
              </w:rPr>
              <w:t>5.88</w:t>
            </w:r>
          </w:p>
        </w:tc>
        <w:tc>
          <w:tcPr>
            <w:tcW w:w="583" w:type="pct"/>
            <w:vAlign w:val="center"/>
          </w:tcPr>
          <w:p w14:paraId="65F89530">
            <w:pPr>
              <w:widowControl/>
              <w:spacing w:line="400" w:lineRule="exact"/>
              <w:jc w:val="center"/>
              <w:textAlignment w:val="center"/>
              <w:rPr>
                <w:rFonts w:ascii="宋体"/>
                <w:kern w:val="0"/>
              </w:rPr>
            </w:pPr>
            <w:r>
              <w:rPr>
                <w:rFonts w:hint="eastAsia" w:cs="宋体"/>
              </w:rPr>
              <w:t>市控目标</w:t>
            </w:r>
          </w:p>
        </w:tc>
        <w:tc>
          <w:tcPr>
            <w:tcW w:w="585" w:type="pct"/>
            <w:vAlign w:val="center"/>
          </w:tcPr>
          <w:p w14:paraId="4901D4B1">
            <w:pPr>
              <w:jc w:val="center"/>
              <w:rPr>
                <w:rFonts w:ascii="宋体"/>
                <w:kern w:val="0"/>
              </w:rPr>
            </w:pPr>
            <w:r>
              <w:rPr>
                <w:rFonts w:ascii="宋体" w:cs="宋体"/>
                <w:kern w:val="0"/>
              </w:rPr>
              <w:t>-</w:t>
            </w:r>
          </w:p>
        </w:tc>
        <w:tc>
          <w:tcPr>
            <w:tcW w:w="426" w:type="pct"/>
            <w:vAlign w:val="center"/>
          </w:tcPr>
          <w:p w14:paraId="0D8A5879">
            <w:pPr>
              <w:widowControl/>
              <w:spacing w:line="400" w:lineRule="exact"/>
              <w:jc w:val="center"/>
              <w:textAlignment w:val="center"/>
              <w:rPr>
                <w:rFonts w:ascii="宋体"/>
                <w:kern w:val="0"/>
              </w:rPr>
            </w:pPr>
            <w:r>
              <w:rPr>
                <w:rFonts w:hint="eastAsia" w:ascii="宋体" w:hAnsi="宋体" w:cs="宋体"/>
                <w:kern w:val="0"/>
              </w:rPr>
              <w:t>约束性</w:t>
            </w:r>
          </w:p>
        </w:tc>
      </w:tr>
      <w:tr w14:paraId="2C762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93" w:type="pct"/>
            <w:gridSpan w:val="3"/>
            <w:vAlign w:val="center"/>
          </w:tcPr>
          <w:p w14:paraId="5B8F9287">
            <w:pPr>
              <w:widowControl/>
              <w:spacing w:line="400" w:lineRule="exact"/>
              <w:jc w:val="left"/>
              <w:textAlignment w:val="center"/>
              <w:rPr>
                <w:rFonts w:ascii="宋体"/>
                <w:kern w:val="0"/>
              </w:rPr>
            </w:pPr>
            <w:r>
              <w:rPr>
                <w:rFonts w:ascii="宋体" w:hAnsi="宋体" w:cs="宋体"/>
                <w:kern w:val="0"/>
              </w:rPr>
              <w:t>21</w:t>
            </w:r>
            <w:r>
              <w:rPr>
                <w:rFonts w:ascii="宋体" w:cs="宋体"/>
                <w:kern w:val="0"/>
              </w:rPr>
              <w:t>.</w:t>
            </w:r>
            <w:r>
              <w:rPr>
                <w:rFonts w:hint="eastAsia" w:ascii="宋体" w:hAnsi="宋体" w:cs="宋体"/>
                <w:kern w:val="0"/>
              </w:rPr>
              <w:t>主要污染物排放总量（万吨）</w:t>
            </w:r>
          </w:p>
        </w:tc>
        <w:tc>
          <w:tcPr>
            <w:tcW w:w="513" w:type="pct"/>
            <w:vAlign w:val="center"/>
          </w:tcPr>
          <w:p w14:paraId="4CEFE8EC">
            <w:pPr>
              <w:jc w:val="center"/>
              <w:rPr>
                <w:rFonts w:ascii="宋体"/>
                <w:kern w:val="0"/>
              </w:rPr>
            </w:pPr>
            <w:r>
              <w:rPr>
                <w:rFonts w:ascii="宋体" w:hAnsi="宋体" w:cs="宋体"/>
                <w:kern w:val="0"/>
              </w:rPr>
              <w:t>4.4</w:t>
            </w:r>
          </w:p>
        </w:tc>
        <w:tc>
          <w:tcPr>
            <w:tcW w:w="583" w:type="pct"/>
            <w:vAlign w:val="center"/>
          </w:tcPr>
          <w:p w14:paraId="2AE74D81">
            <w:pPr>
              <w:widowControl/>
              <w:spacing w:line="400" w:lineRule="exact"/>
              <w:jc w:val="center"/>
              <w:textAlignment w:val="center"/>
              <w:rPr>
                <w:rFonts w:ascii="宋体"/>
                <w:kern w:val="0"/>
              </w:rPr>
            </w:pPr>
            <w:r>
              <w:rPr>
                <w:rFonts w:hint="eastAsia" w:cs="宋体"/>
              </w:rPr>
              <w:t>市控目标</w:t>
            </w:r>
          </w:p>
        </w:tc>
        <w:tc>
          <w:tcPr>
            <w:tcW w:w="585" w:type="pct"/>
            <w:vAlign w:val="center"/>
          </w:tcPr>
          <w:p w14:paraId="733CAB6C">
            <w:pPr>
              <w:jc w:val="center"/>
              <w:rPr>
                <w:rFonts w:ascii="宋体"/>
                <w:kern w:val="0"/>
              </w:rPr>
            </w:pPr>
            <w:r>
              <w:rPr>
                <w:rFonts w:ascii="宋体" w:cs="宋体"/>
                <w:kern w:val="0"/>
              </w:rPr>
              <w:t>-</w:t>
            </w:r>
          </w:p>
        </w:tc>
        <w:tc>
          <w:tcPr>
            <w:tcW w:w="426" w:type="pct"/>
          </w:tcPr>
          <w:p w14:paraId="0269FE8D">
            <w:pPr>
              <w:widowControl/>
              <w:spacing w:line="400" w:lineRule="exact"/>
              <w:jc w:val="center"/>
              <w:textAlignment w:val="center"/>
              <w:rPr>
                <w:rFonts w:ascii="宋体"/>
                <w:kern w:val="0"/>
              </w:rPr>
            </w:pPr>
            <w:r>
              <w:rPr>
                <w:rFonts w:hint="eastAsia" w:ascii="宋体" w:hAnsi="宋体" w:cs="宋体"/>
                <w:kern w:val="0"/>
              </w:rPr>
              <w:t>约束性</w:t>
            </w:r>
          </w:p>
        </w:tc>
      </w:tr>
      <w:tr w14:paraId="277B3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5000" w:type="pct"/>
            <w:gridSpan w:val="7"/>
            <w:vAlign w:val="center"/>
          </w:tcPr>
          <w:p w14:paraId="544593EF">
            <w:pPr>
              <w:widowControl/>
              <w:spacing w:line="400" w:lineRule="exact"/>
              <w:jc w:val="left"/>
              <w:textAlignment w:val="center"/>
            </w:pPr>
            <w:r>
              <w:rPr>
                <w:rFonts w:hint="eastAsia" w:eastAsia="黑体" w:cs="黑体"/>
                <w:kern w:val="0"/>
              </w:rPr>
              <w:t>五、社会民生</w:t>
            </w:r>
          </w:p>
        </w:tc>
      </w:tr>
      <w:tr w14:paraId="4FD89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165" w:type="pct"/>
            <w:vMerge w:val="restart"/>
            <w:vAlign w:val="center"/>
          </w:tcPr>
          <w:p w14:paraId="5E86869C">
            <w:pPr>
              <w:widowControl/>
              <w:spacing w:line="400" w:lineRule="exact"/>
              <w:jc w:val="left"/>
              <w:textAlignment w:val="center"/>
              <w:rPr>
                <w:rFonts w:ascii="宋体"/>
                <w:kern w:val="0"/>
              </w:rPr>
            </w:pPr>
            <w:r>
              <w:rPr>
                <w:rFonts w:ascii="宋体" w:hAnsi="宋体" w:cs="宋体"/>
                <w:kern w:val="0"/>
              </w:rPr>
              <w:t>22</w:t>
            </w:r>
            <w:r>
              <w:rPr>
                <w:rFonts w:ascii="宋体" w:cs="宋体"/>
                <w:kern w:val="0"/>
              </w:rPr>
              <w:t>.</w:t>
            </w:r>
            <w:r>
              <w:rPr>
                <w:rFonts w:hint="eastAsia" w:ascii="宋体" w:hAnsi="宋体" w:cs="宋体"/>
                <w:kern w:val="0"/>
              </w:rPr>
              <w:t>城镇居民人均可支配收入（元）</w:t>
            </w:r>
          </w:p>
        </w:tc>
        <w:tc>
          <w:tcPr>
            <w:tcW w:w="728" w:type="pct"/>
            <w:gridSpan w:val="2"/>
            <w:vAlign w:val="center"/>
          </w:tcPr>
          <w:p w14:paraId="1CAE3A15">
            <w:pPr>
              <w:widowControl/>
              <w:spacing w:line="400" w:lineRule="exact"/>
              <w:jc w:val="center"/>
              <w:textAlignment w:val="center"/>
              <w:rPr>
                <w:rFonts w:ascii="宋体"/>
                <w:kern w:val="0"/>
              </w:rPr>
            </w:pPr>
            <w:r>
              <w:rPr>
                <w:rFonts w:hint="eastAsia" w:ascii="宋体" w:hAnsi="宋体" w:cs="宋体"/>
                <w:kern w:val="0"/>
              </w:rPr>
              <w:t>城镇</w:t>
            </w:r>
          </w:p>
        </w:tc>
        <w:tc>
          <w:tcPr>
            <w:tcW w:w="513" w:type="pct"/>
            <w:vAlign w:val="center"/>
          </w:tcPr>
          <w:p w14:paraId="0495A82A">
            <w:pPr>
              <w:widowControl/>
              <w:spacing w:line="400" w:lineRule="exact"/>
              <w:jc w:val="center"/>
              <w:textAlignment w:val="center"/>
              <w:rPr>
                <w:rFonts w:ascii="宋体"/>
                <w:kern w:val="0"/>
              </w:rPr>
            </w:pPr>
            <w:r>
              <w:rPr>
                <w:rFonts w:ascii="宋体" w:hAnsi="宋体" w:cs="宋体"/>
                <w:kern w:val="0"/>
              </w:rPr>
              <w:t>25404</w:t>
            </w:r>
          </w:p>
        </w:tc>
        <w:tc>
          <w:tcPr>
            <w:tcW w:w="583" w:type="pct"/>
            <w:vAlign w:val="center"/>
          </w:tcPr>
          <w:p w14:paraId="531AB163">
            <w:pPr>
              <w:jc w:val="center"/>
            </w:pPr>
            <w:r>
              <w:rPr>
                <w:rFonts w:ascii="宋体" w:hAnsi="宋体" w:cs="宋体"/>
                <w:kern w:val="0"/>
              </w:rPr>
              <w:t>39</w:t>
            </w:r>
            <w:r>
              <w:rPr>
                <w:rFonts w:ascii="宋体" w:cs="宋体"/>
                <w:kern w:val="0"/>
              </w:rPr>
              <w:t>000</w:t>
            </w:r>
          </w:p>
        </w:tc>
        <w:tc>
          <w:tcPr>
            <w:tcW w:w="585" w:type="pct"/>
            <w:vAlign w:val="center"/>
          </w:tcPr>
          <w:p w14:paraId="222ED94B">
            <w:pPr>
              <w:jc w:val="center"/>
            </w:pPr>
            <w:r>
              <w:rPr>
                <w:rFonts w:ascii="宋体" w:hAnsi="宋体" w:cs="宋体"/>
                <w:kern w:val="0"/>
              </w:rPr>
              <w:t>9</w:t>
            </w:r>
          </w:p>
        </w:tc>
        <w:tc>
          <w:tcPr>
            <w:tcW w:w="426" w:type="pct"/>
            <w:vAlign w:val="center"/>
          </w:tcPr>
          <w:p w14:paraId="5CEE9595">
            <w:pPr>
              <w:widowControl/>
              <w:spacing w:line="400" w:lineRule="exact"/>
              <w:jc w:val="center"/>
              <w:textAlignment w:val="center"/>
              <w:rPr>
                <w:rFonts w:ascii="宋体"/>
                <w:kern w:val="0"/>
              </w:rPr>
            </w:pPr>
            <w:r>
              <w:rPr>
                <w:rFonts w:hint="eastAsia" w:ascii="宋体" w:hAnsi="宋体" w:cs="宋体"/>
                <w:kern w:val="0"/>
              </w:rPr>
              <w:t>预期性</w:t>
            </w:r>
          </w:p>
        </w:tc>
      </w:tr>
      <w:tr w14:paraId="7E3A8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165" w:type="pct"/>
            <w:vMerge w:val="continue"/>
            <w:vAlign w:val="center"/>
          </w:tcPr>
          <w:p w14:paraId="73CE65E9">
            <w:pPr>
              <w:widowControl/>
              <w:spacing w:line="400" w:lineRule="exact"/>
              <w:jc w:val="left"/>
              <w:textAlignment w:val="center"/>
              <w:rPr>
                <w:rFonts w:ascii="宋体"/>
                <w:kern w:val="0"/>
              </w:rPr>
            </w:pPr>
          </w:p>
        </w:tc>
        <w:tc>
          <w:tcPr>
            <w:tcW w:w="728" w:type="pct"/>
            <w:gridSpan w:val="2"/>
            <w:vAlign w:val="center"/>
          </w:tcPr>
          <w:p w14:paraId="03169EE4">
            <w:pPr>
              <w:widowControl/>
              <w:spacing w:line="400" w:lineRule="exact"/>
              <w:jc w:val="center"/>
              <w:textAlignment w:val="center"/>
              <w:rPr>
                <w:rFonts w:ascii="宋体"/>
                <w:kern w:val="0"/>
              </w:rPr>
            </w:pPr>
            <w:r>
              <w:rPr>
                <w:rFonts w:hint="eastAsia" w:ascii="宋体" w:hAnsi="宋体" w:cs="宋体"/>
                <w:kern w:val="0"/>
              </w:rPr>
              <w:t>农村</w:t>
            </w:r>
          </w:p>
        </w:tc>
        <w:tc>
          <w:tcPr>
            <w:tcW w:w="513" w:type="pct"/>
            <w:vAlign w:val="center"/>
          </w:tcPr>
          <w:p w14:paraId="4743C4DC">
            <w:pPr>
              <w:widowControl/>
              <w:spacing w:line="400" w:lineRule="exact"/>
              <w:jc w:val="center"/>
              <w:textAlignment w:val="center"/>
              <w:rPr>
                <w:rFonts w:ascii="宋体"/>
                <w:kern w:val="0"/>
              </w:rPr>
            </w:pPr>
            <w:r>
              <w:rPr>
                <w:rFonts w:ascii="宋体" w:hAnsi="宋体" w:cs="宋体"/>
                <w:kern w:val="0"/>
              </w:rPr>
              <w:t>12349</w:t>
            </w:r>
          </w:p>
        </w:tc>
        <w:tc>
          <w:tcPr>
            <w:tcW w:w="583" w:type="pct"/>
            <w:vAlign w:val="center"/>
          </w:tcPr>
          <w:p w14:paraId="186423BA">
            <w:pPr>
              <w:jc w:val="center"/>
            </w:pPr>
            <w:r>
              <w:rPr>
                <w:rFonts w:ascii="宋体" w:hAnsi="宋体" w:cs="宋体"/>
                <w:kern w:val="0"/>
              </w:rPr>
              <w:t>195</w:t>
            </w:r>
            <w:r>
              <w:rPr>
                <w:rFonts w:ascii="宋体" w:cs="宋体"/>
                <w:kern w:val="0"/>
              </w:rPr>
              <w:t>00</w:t>
            </w:r>
          </w:p>
        </w:tc>
        <w:tc>
          <w:tcPr>
            <w:tcW w:w="585" w:type="pct"/>
            <w:vAlign w:val="center"/>
          </w:tcPr>
          <w:p w14:paraId="598ECE57">
            <w:pPr>
              <w:jc w:val="center"/>
            </w:pPr>
            <w:r>
              <w:rPr>
                <w:rFonts w:ascii="宋体" w:hAnsi="宋体" w:cs="宋体"/>
                <w:kern w:val="0"/>
              </w:rPr>
              <w:t>9.5</w:t>
            </w:r>
          </w:p>
        </w:tc>
        <w:tc>
          <w:tcPr>
            <w:tcW w:w="426" w:type="pct"/>
            <w:vAlign w:val="center"/>
          </w:tcPr>
          <w:p w14:paraId="57C9E295">
            <w:pPr>
              <w:widowControl/>
              <w:spacing w:line="400" w:lineRule="exact"/>
              <w:jc w:val="center"/>
              <w:textAlignment w:val="center"/>
              <w:rPr>
                <w:rFonts w:ascii="宋体"/>
                <w:kern w:val="0"/>
              </w:rPr>
            </w:pPr>
            <w:r>
              <w:rPr>
                <w:rFonts w:hint="eastAsia" w:ascii="宋体" w:hAnsi="宋体" w:cs="宋体"/>
                <w:kern w:val="0"/>
              </w:rPr>
              <w:t>预期性</w:t>
            </w:r>
          </w:p>
        </w:tc>
      </w:tr>
      <w:tr w14:paraId="05AC1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0" w:hRule="atLeast"/>
          <w:jc w:val="center"/>
        </w:trPr>
        <w:tc>
          <w:tcPr>
            <w:tcW w:w="2893" w:type="pct"/>
            <w:gridSpan w:val="3"/>
            <w:vAlign w:val="center"/>
          </w:tcPr>
          <w:p w14:paraId="7B48B072">
            <w:pPr>
              <w:widowControl/>
              <w:spacing w:line="400" w:lineRule="exact"/>
              <w:jc w:val="left"/>
              <w:textAlignment w:val="center"/>
              <w:rPr>
                <w:rFonts w:ascii="宋体"/>
                <w:kern w:val="0"/>
              </w:rPr>
            </w:pPr>
            <w:r>
              <w:rPr>
                <w:rFonts w:ascii="宋体" w:hAnsi="宋体" w:cs="宋体"/>
                <w:kern w:val="0"/>
              </w:rPr>
              <w:t>23</w:t>
            </w:r>
            <w:r>
              <w:rPr>
                <w:rFonts w:ascii="宋体" w:cs="宋体"/>
                <w:kern w:val="0"/>
              </w:rPr>
              <w:t>.</w:t>
            </w:r>
            <w:r>
              <w:rPr>
                <w:rFonts w:hint="eastAsia" w:ascii="宋体" w:hAnsi="宋体" w:cs="宋体"/>
                <w:kern w:val="0"/>
              </w:rPr>
              <w:t>基本养老保险参保人数（万人）</w:t>
            </w:r>
          </w:p>
        </w:tc>
        <w:tc>
          <w:tcPr>
            <w:tcW w:w="513" w:type="pct"/>
            <w:vAlign w:val="center"/>
          </w:tcPr>
          <w:p w14:paraId="389AAABC">
            <w:pPr>
              <w:widowControl/>
              <w:spacing w:line="400" w:lineRule="exact"/>
              <w:jc w:val="center"/>
              <w:textAlignment w:val="center"/>
              <w:rPr>
                <w:rFonts w:ascii="宋体"/>
                <w:kern w:val="0"/>
              </w:rPr>
            </w:pPr>
            <w:r>
              <w:rPr>
                <w:rFonts w:ascii="宋体" w:hAnsi="宋体" w:cs="宋体"/>
                <w:kern w:val="0"/>
              </w:rPr>
              <w:t>33.68</w:t>
            </w:r>
          </w:p>
        </w:tc>
        <w:tc>
          <w:tcPr>
            <w:tcW w:w="583" w:type="pct"/>
            <w:vAlign w:val="center"/>
          </w:tcPr>
          <w:p w14:paraId="71FAF555">
            <w:pPr>
              <w:widowControl/>
              <w:spacing w:line="400" w:lineRule="exact"/>
              <w:jc w:val="center"/>
              <w:textAlignment w:val="center"/>
              <w:rPr>
                <w:rFonts w:ascii="宋体"/>
                <w:kern w:val="0"/>
              </w:rPr>
            </w:pPr>
            <w:r>
              <w:rPr>
                <w:rFonts w:ascii="宋体" w:hAnsi="宋体" w:cs="宋体"/>
                <w:kern w:val="0"/>
              </w:rPr>
              <w:t>36</w:t>
            </w:r>
          </w:p>
        </w:tc>
        <w:tc>
          <w:tcPr>
            <w:tcW w:w="585" w:type="pct"/>
            <w:vAlign w:val="center"/>
          </w:tcPr>
          <w:p w14:paraId="6B6F4802">
            <w:pPr>
              <w:widowControl/>
              <w:spacing w:line="400" w:lineRule="exact"/>
              <w:jc w:val="center"/>
              <w:textAlignment w:val="center"/>
              <w:rPr>
                <w:rFonts w:ascii="宋体"/>
                <w:kern w:val="0"/>
              </w:rPr>
            </w:pPr>
            <w:r>
              <w:rPr>
                <w:rFonts w:ascii="宋体" w:cs="宋体"/>
                <w:kern w:val="0"/>
              </w:rPr>
              <w:t>-</w:t>
            </w:r>
          </w:p>
        </w:tc>
        <w:tc>
          <w:tcPr>
            <w:tcW w:w="426" w:type="pct"/>
            <w:vAlign w:val="center"/>
          </w:tcPr>
          <w:p w14:paraId="42B965DC">
            <w:pPr>
              <w:widowControl/>
              <w:spacing w:line="400" w:lineRule="exact"/>
              <w:jc w:val="center"/>
              <w:textAlignment w:val="center"/>
              <w:rPr>
                <w:rFonts w:ascii="宋体"/>
                <w:kern w:val="0"/>
              </w:rPr>
            </w:pPr>
            <w:r>
              <w:rPr>
                <w:rFonts w:hint="eastAsia" w:ascii="宋体" w:hAnsi="宋体" w:cs="宋体"/>
                <w:kern w:val="0"/>
              </w:rPr>
              <w:t>约束性</w:t>
            </w:r>
          </w:p>
        </w:tc>
      </w:tr>
      <w:tr w14:paraId="00C49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2893" w:type="pct"/>
            <w:gridSpan w:val="3"/>
            <w:vAlign w:val="center"/>
          </w:tcPr>
          <w:p w14:paraId="0AA28C64">
            <w:pPr>
              <w:widowControl/>
              <w:spacing w:line="400" w:lineRule="exact"/>
              <w:jc w:val="left"/>
              <w:textAlignment w:val="center"/>
              <w:rPr>
                <w:rFonts w:ascii="宋体"/>
                <w:kern w:val="0"/>
              </w:rPr>
            </w:pPr>
            <w:r>
              <w:rPr>
                <w:rFonts w:ascii="宋体" w:hAnsi="宋体" w:cs="宋体"/>
                <w:kern w:val="0"/>
              </w:rPr>
              <w:t>24</w:t>
            </w:r>
            <w:r>
              <w:rPr>
                <w:rFonts w:ascii="宋体" w:cs="宋体"/>
                <w:kern w:val="0"/>
              </w:rPr>
              <w:t>.</w:t>
            </w:r>
            <w:r>
              <w:rPr>
                <w:rFonts w:hint="eastAsia" w:ascii="宋体" w:hAnsi="宋体" w:cs="宋体"/>
                <w:kern w:val="0"/>
              </w:rPr>
              <w:t>基本医疗保险参保人数（人）</w:t>
            </w:r>
          </w:p>
        </w:tc>
        <w:tc>
          <w:tcPr>
            <w:tcW w:w="513" w:type="pct"/>
            <w:vAlign w:val="center"/>
          </w:tcPr>
          <w:p w14:paraId="198E3746">
            <w:pPr>
              <w:widowControl/>
              <w:spacing w:line="400" w:lineRule="exact"/>
              <w:jc w:val="center"/>
              <w:textAlignment w:val="center"/>
              <w:rPr>
                <w:rFonts w:ascii="宋体"/>
                <w:kern w:val="0"/>
              </w:rPr>
            </w:pPr>
            <w:r>
              <w:rPr>
                <w:rFonts w:ascii="宋体" w:hAnsi="宋体" w:cs="宋体"/>
                <w:kern w:val="0"/>
              </w:rPr>
              <w:t>64.2</w:t>
            </w:r>
          </w:p>
        </w:tc>
        <w:tc>
          <w:tcPr>
            <w:tcW w:w="583" w:type="pct"/>
            <w:vAlign w:val="center"/>
          </w:tcPr>
          <w:p w14:paraId="5F605261">
            <w:pPr>
              <w:widowControl/>
              <w:spacing w:line="400" w:lineRule="exact"/>
              <w:jc w:val="center"/>
              <w:textAlignment w:val="center"/>
              <w:rPr>
                <w:rFonts w:ascii="宋体"/>
                <w:kern w:val="0"/>
              </w:rPr>
            </w:pPr>
            <w:r>
              <w:rPr>
                <w:rFonts w:ascii="宋体" w:hAnsi="宋体" w:cs="宋体"/>
                <w:kern w:val="0"/>
              </w:rPr>
              <w:t>67</w:t>
            </w:r>
          </w:p>
        </w:tc>
        <w:tc>
          <w:tcPr>
            <w:tcW w:w="585" w:type="pct"/>
            <w:vAlign w:val="center"/>
          </w:tcPr>
          <w:p w14:paraId="6EF3808D">
            <w:pPr>
              <w:widowControl/>
              <w:spacing w:line="400" w:lineRule="exact"/>
              <w:jc w:val="center"/>
              <w:textAlignment w:val="center"/>
              <w:rPr>
                <w:rFonts w:ascii="宋体"/>
                <w:kern w:val="0"/>
              </w:rPr>
            </w:pPr>
            <w:r>
              <w:rPr>
                <w:rFonts w:ascii="宋体" w:cs="宋体"/>
                <w:kern w:val="0"/>
              </w:rPr>
              <w:t>-</w:t>
            </w:r>
          </w:p>
        </w:tc>
        <w:tc>
          <w:tcPr>
            <w:tcW w:w="426" w:type="pct"/>
            <w:vAlign w:val="center"/>
          </w:tcPr>
          <w:p w14:paraId="4BEEC99E">
            <w:pPr>
              <w:widowControl/>
              <w:spacing w:line="400" w:lineRule="exact"/>
              <w:jc w:val="center"/>
              <w:textAlignment w:val="center"/>
              <w:rPr>
                <w:rFonts w:ascii="宋体"/>
                <w:kern w:val="0"/>
              </w:rPr>
            </w:pPr>
            <w:r>
              <w:rPr>
                <w:rFonts w:hint="eastAsia" w:ascii="宋体" w:hAnsi="宋体" w:cs="宋体"/>
                <w:kern w:val="0"/>
              </w:rPr>
              <w:t>约束性</w:t>
            </w:r>
          </w:p>
        </w:tc>
      </w:tr>
    </w:tbl>
    <w:p w14:paraId="198DE65D">
      <w:bookmarkStart w:id="36" w:name="_Toc11558"/>
      <w:bookmarkStart w:id="37" w:name="_Toc432405437"/>
      <w:bookmarkStart w:id="38" w:name="_Toc2181"/>
      <w:bookmarkStart w:id="39" w:name="_Toc432670934"/>
    </w:p>
    <w:p w14:paraId="416EC90B">
      <w:pPr>
        <w:pStyle w:val="3"/>
        <w:spacing w:after="120" w:line="480" w:lineRule="auto"/>
        <w:ind w:firstLine="640" w:firstLineChars="200"/>
        <w:jc w:val="left"/>
        <w:rPr>
          <w:rFonts w:ascii="方正黑体简体" w:hAnsi="黑体" w:eastAsia="方正黑体简体" w:cs="Times New Roman"/>
          <w:b w:val="0"/>
          <w:bCs w:val="0"/>
        </w:rPr>
      </w:pPr>
      <w:bookmarkStart w:id="40" w:name="_Toc449037210"/>
      <w:r>
        <w:rPr>
          <w:rFonts w:hint="eastAsia" w:ascii="方正黑体简体" w:hAnsi="黑体" w:eastAsia="方正黑体简体" w:cs="方正黑体简体"/>
          <w:b w:val="0"/>
          <w:bCs w:val="0"/>
        </w:rPr>
        <w:t>第三章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发展空间和布局</w:t>
      </w:r>
      <w:bookmarkEnd w:id="36"/>
      <w:bookmarkEnd w:id="37"/>
      <w:bookmarkEnd w:id="38"/>
      <w:bookmarkEnd w:id="39"/>
      <w:bookmarkEnd w:id="40"/>
    </w:p>
    <w:p w14:paraId="2470A0BA">
      <w:pPr>
        <w:spacing w:line="62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按照科学布局引导的要求，统筹考虑贵池区未来区域人口分布、生产力布局、国土利用和城镇化格局，形成主体功能区。积极推进生产要素和社会资源的高效利用，促进生产力布局调整和区域经济一体化协调发展，形成“一线两核三区四带”区域产业布局。</w:t>
      </w:r>
    </w:p>
    <w:p w14:paraId="716331EB">
      <w:pPr>
        <w:pStyle w:val="4"/>
        <w:spacing w:after="60" w:line="480" w:lineRule="auto"/>
        <w:ind w:firstLine="643" w:firstLineChars="200"/>
        <w:jc w:val="left"/>
        <w:rPr>
          <w:rFonts w:ascii="方正仿宋简体" w:hAnsi="黑体" w:eastAsia="方正仿宋简体"/>
        </w:rPr>
      </w:pPr>
      <w:bookmarkStart w:id="41" w:name="_Toc432670935"/>
      <w:bookmarkStart w:id="42" w:name="_Toc449037211"/>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确立城镇农业生态三类空间</w:t>
      </w:r>
      <w:bookmarkEnd w:id="41"/>
      <w:bookmarkEnd w:id="42"/>
    </w:p>
    <w:p w14:paraId="222BC3B4">
      <w:pPr>
        <w:spacing w:line="62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落实国家发改委有关市县“十三五”规划改革创新精神和省、市主体功能区规划，强化政府空间管控能力，实现经济、人口、生态的有机协调。在全区土地利用总体规划资料的基础上，到</w:t>
      </w:r>
      <w:r>
        <w:rPr>
          <w:rFonts w:ascii="方正仿宋简体" w:hAnsi="仿宋" w:eastAsia="方正仿宋简体" w:cs="方正仿宋简体"/>
          <w:sz w:val="32"/>
          <w:szCs w:val="32"/>
        </w:rPr>
        <w:t>2020</w:t>
      </w:r>
      <w:r>
        <w:rPr>
          <w:rFonts w:hint="eastAsia" w:ascii="方正仿宋简体" w:hAnsi="仿宋" w:eastAsia="方正仿宋简体" w:cs="方正仿宋简体"/>
          <w:sz w:val="32"/>
          <w:szCs w:val="32"/>
        </w:rPr>
        <w:t>年，全区城镇、生态、农业三类空间比例为</w:t>
      </w:r>
      <w:r>
        <w:rPr>
          <w:rFonts w:ascii="方正仿宋简体" w:hAnsi="仿宋" w:eastAsia="方正仿宋简体" w:cs="方正仿宋简体"/>
          <w:sz w:val="32"/>
          <w:szCs w:val="32"/>
        </w:rPr>
        <w:t>2.7:72.6:24.7</w:t>
      </w:r>
      <w:r>
        <w:rPr>
          <w:rFonts w:hint="eastAsia" w:ascii="方正仿宋简体" w:hAnsi="仿宋" w:eastAsia="方正仿宋简体" w:cs="方正仿宋简体"/>
          <w:sz w:val="32"/>
          <w:szCs w:val="32"/>
        </w:rPr>
        <w:t>。</w:t>
      </w:r>
    </w:p>
    <w:p w14:paraId="423FDCC4">
      <w:pPr>
        <w:spacing w:line="620" w:lineRule="exact"/>
        <w:ind w:firstLine="643" w:firstLineChars="200"/>
        <w:rPr>
          <w:rFonts w:ascii="方正仿宋简体" w:hAnsi="仿宋" w:eastAsia="方正仿宋简体"/>
          <w:sz w:val="32"/>
          <w:szCs w:val="32"/>
        </w:rPr>
      </w:pPr>
      <w:r>
        <w:rPr>
          <w:rFonts w:hint="eastAsia" w:ascii="方正楷体简体" w:hAnsi="宋体" w:eastAsia="方正楷体简体" w:cs="方正楷体简体"/>
          <w:b/>
          <w:bCs/>
          <w:kern w:val="0"/>
          <w:sz w:val="32"/>
          <w:szCs w:val="32"/>
        </w:rPr>
        <w:t>城镇空间。</w:t>
      </w:r>
      <w:r>
        <w:rPr>
          <w:rFonts w:hint="eastAsia" w:ascii="方正仿宋简体" w:hAnsi="仿宋" w:eastAsia="方正仿宋简体" w:cs="方正仿宋简体"/>
          <w:sz w:val="32"/>
          <w:szCs w:val="32"/>
        </w:rPr>
        <w:t>城镇空间包括城镇建设区、独立工矿区以及一定规模的开发园区，相应空间用地规模为</w:t>
      </w:r>
      <w:r>
        <w:rPr>
          <w:rFonts w:ascii="方正仿宋简体" w:hAnsi="仿宋" w:eastAsia="方正仿宋简体" w:cs="方正仿宋简体"/>
          <w:sz w:val="32"/>
          <w:szCs w:val="32"/>
        </w:rPr>
        <w:t>6747.6</w:t>
      </w:r>
      <w:r>
        <w:rPr>
          <w:rFonts w:hint="eastAsia" w:ascii="方正仿宋简体" w:hAnsi="仿宋" w:eastAsia="方正仿宋简体" w:cs="方正仿宋简体"/>
          <w:sz w:val="32"/>
          <w:szCs w:val="32"/>
        </w:rPr>
        <w:t>公顷。依托池州主城区，建设以池州高新区为中心的东部新区、以前江工业园区为中心的西部新城，重点引导牛头山镇、殷汇镇、乌沙镇、梅街镇、马衙街道、梅村镇发展。优化铁矿、铜矿等矿产资源配置，有序开发矿产区。城镇拓展必须严格按规划管控，禁止开发城镇生态环境保护空间和与主导功能不相符的建设项目，严禁侵占生态林保护区、湿地保护区和自然保护区，严格规划红线管控。</w:t>
      </w:r>
    </w:p>
    <w:p w14:paraId="69982457">
      <w:pPr>
        <w:spacing w:line="620" w:lineRule="exact"/>
        <w:ind w:firstLine="643" w:firstLineChars="200"/>
        <w:rPr>
          <w:rFonts w:ascii="方正仿宋简体" w:hAnsi="仿宋" w:eastAsia="方正仿宋简体"/>
          <w:sz w:val="32"/>
          <w:szCs w:val="32"/>
        </w:rPr>
      </w:pPr>
      <w:r>
        <w:rPr>
          <w:rFonts w:hint="eastAsia" w:ascii="方正楷体简体" w:hAnsi="宋体" w:eastAsia="方正楷体简体" w:cs="方正楷体简体"/>
          <w:b/>
          <w:bCs/>
          <w:kern w:val="0"/>
          <w:sz w:val="32"/>
          <w:szCs w:val="32"/>
        </w:rPr>
        <w:t>农业空间。</w:t>
      </w:r>
      <w:r>
        <w:rPr>
          <w:rFonts w:hint="eastAsia" w:ascii="方正仿宋简体" w:hAnsi="仿宋" w:eastAsia="方正仿宋简体" w:cs="方正仿宋简体"/>
          <w:sz w:val="32"/>
          <w:szCs w:val="32"/>
        </w:rPr>
        <w:t>农业空间包括基本农田保护区和一般农田地区以及农村居民点等，相应空间用地规模为</w:t>
      </w:r>
      <w:r>
        <w:rPr>
          <w:rFonts w:ascii="方正仿宋简体" w:hAnsi="仿宋" w:eastAsia="方正仿宋简体" w:cs="方正仿宋简体"/>
          <w:sz w:val="32"/>
          <w:szCs w:val="32"/>
        </w:rPr>
        <w:t>62602.0</w:t>
      </w:r>
      <w:r>
        <w:rPr>
          <w:rFonts w:hint="eastAsia" w:ascii="方正仿宋简体" w:hAnsi="仿宋" w:eastAsia="方正仿宋简体" w:cs="方正仿宋简体"/>
          <w:sz w:val="32"/>
          <w:szCs w:val="32"/>
        </w:rPr>
        <w:t>公顷。重点加强我区东北部和西北部基本农田保护，在墩上街道、马衙街道、秋江街道、乌沙镇、殷汇镇、牛头山镇等粮食主产区，集中连片建设高标准农田，实行田、土、水、路、林、电、技、管综合治理。到</w:t>
      </w:r>
      <w:r>
        <w:rPr>
          <w:rFonts w:ascii="方正仿宋简体" w:hAnsi="仿宋" w:eastAsia="方正仿宋简体" w:cs="方正仿宋简体"/>
          <w:sz w:val="32"/>
          <w:szCs w:val="32"/>
        </w:rPr>
        <w:t>2020</w:t>
      </w:r>
      <w:r>
        <w:rPr>
          <w:rFonts w:hint="eastAsia" w:ascii="方正仿宋简体" w:hAnsi="仿宋" w:eastAsia="方正仿宋简体" w:cs="方正仿宋简体"/>
          <w:sz w:val="32"/>
          <w:szCs w:val="32"/>
        </w:rPr>
        <w:t>年，力争全区高标准农田占基本农田面积比例达到</w:t>
      </w:r>
      <w:r>
        <w:rPr>
          <w:rFonts w:ascii="方正仿宋简体" w:hAnsi="仿宋" w:eastAsia="方正仿宋简体" w:cs="方正仿宋简体"/>
          <w:sz w:val="32"/>
          <w:szCs w:val="32"/>
        </w:rPr>
        <w:t>70%</w:t>
      </w:r>
      <w:r>
        <w:rPr>
          <w:rFonts w:hint="eastAsia" w:ascii="方正仿宋简体" w:hAnsi="仿宋" w:eastAsia="方正仿宋简体" w:cs="方正仿宋简体"/>
          <w:sz w:val="32"/>
          <w:szCs w:val="32"/>
        </w:rPr>
        <w:t>以上。优化农村居民点集约用地，通过村庄改造整治，充分利用“空心村”土地，减少农村居民点用地。对居民点分散、规模小的村庄重新规划改造，建设中心村，迁并自然村，消除零星村。提升繁荣历史文化村落，保护农村田园景观。加强农村建房管理，严禁占用耕地。</w:t>
      </w:r>
      <w:r>
        <w:rPr>
          <w:rFonts w:ascii="方正仿宋简体" w:hAnsi="仿宋" w:eastAsia="方正仿宋简体" w:cs="方正仿宋简体"/>
          <w:sz w:val="32"/>
          <w:szCs w:val="32"/>
        </w:rPr>
        <w:t xml:space="preserve"> </w:t>
      </w:r>
    </w:p>
    <w:p w14:paraId="577C3EAA">
      <w:pPr>
        <w:spacing w:line="620" w:lineRule="exact"/>
        <w:ind w:firstLine="643" w:firstLineChars="200"/>
        <w:rPr>
          <w:rFonts w:ascii="方正仿宋简体" w:hAnsi="仿宋" w:eastAsia="方正仿宋简体"/>
          <w:sz w:val="32"/>
          <w:szCs w:val="32"/>
        </w:rPr>
      </w:pPr>
      <w:r>
        <w:rPr>
          <w:rFonts w:hint="eastAsia" w:ascii="方正楷体简体" w:hAnsi="宋体" w:eastAsia="方正楷体简体" w:cs="方正楷体简体"/>
          <w:b/>
          <w:bCs/>
          <w:kern w:val="0"/>
          <w:sz w:val="32"/>
          <w:szCs w:val="32"/>
        </w:rPr>
        <w:t>生态空间。</w:t>
      </w:r>
      <w:r>
        <w:rPr>
          <w:rFonts w:hint="eastAsia" w:ascii="方正仿宋简体" w:hAnsi="仿宋" w:eastAsia="方正仿宋简体" w:cs="方正仿宋简体"/>
          <w:sz w:val="32"/>
          <w:szCs w:val="32"/>
        </w:rPr>
        <w:t>生态空间包括林地、草地、自然保护区、水面湿地等，相应空间用地规模为</w:t>
      </w:r>
      <w:r>
        <w:rPr>
          <w:rFonts w:ascii="方正仿宋简体" w:hAnsi="仿宋" w:eastAsia="方正仿宋简体" w:cs="方正仿宋简体"/>
          <w:sz w:val="32"/>
          <w:szCs w:val="32"/>
        </w:rPr>
        <w:t>183887.3</w:t>
      </w:r>
      <w:r>
        <w:rPr>
          <w:rFonts w:hint="eastAsia" w:ascii="方正仿宋简体" w:hAnsi="仿宋" w:eastAsia="方正仿宋简体" w:cs="方正仿宋简体"/>
          <w:sz w:val="32"/>
          <w:szCs w:val="32"/>
        </w:rPr>
        <w:t>公顷。协调土地利用和生态环境建设的关系，合理布局各类产业，建设生态环境友好型社会。加强生态公益林、长江流域防护林及商品经济林建设。重点建设老山自然保护区、十八索湿地保护区和升金湖国家级保护区。重点治理北部洲圩区、中部低山丘岗区和采矿废弃区，减少水土流失。维系河道、湖泊及滨水地带的自然形态，沿主要河流岸线、交通干线建设绿色长廊。对石山裸露地和江河两岸、水库周围、重要水源地周边的陡坡地以及容易发生崩塌、滑坡等地质灾害、造成水土流失的林地实行禁垦、禁伐或者封山育林。</w:t>
      </w:r>
    </w:p>
    <w:p w14:paraId="7BD5C82E">
      <w:bookmarkStart w:id="43" w:name="_Toc432405439"/>
      <w:bookmarkStart w:id="44" w:name="_Toc20971"/>
      <w:bookmarkStart w:id="45" w:name="_Toc432670936"/>
      <w:bookmarkStart w:id="46" w:name="_Toc430532482"/>
      <w:bookmarkStart w:id="47" w:name="_Toc11590"/>
      <w:bookmarkStart w:id="48" w:name="_Toc14029"/>
    </w:p>
    <w:p w14:paraId="48F20C21">
      <w:pPr>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附：贵池区“十三五”三类空间布局图</w:t>
      </w:r>
    </w:p>
    <w:p w14:paraId="28E51436">
      <w:pPr>
        <w:ind w:firstLine="640" w:firstLineChars="200"/>
        <w:rPr>
          <w:rFonts w:ascii="方正仿宋简体" w:hAnsi="仿宋" w:eastAsia="方正仿宋简体"/>
          <w:sz w:val="32"/>
          <w:szCs w:val="32"/>
        </w:rPr>
      </w:pPr>
    </w:p>
    <w:p w14:paraId="591FF1A2">
      <w:r>
        <w:pict>
          <v:shape id="_x0000_i1029" o:spt="75" alt="三类空间" type="#_x0000_t75" style="height:429.75pt;width:441pt;" filled="f" o:preferrelative="t" stroked="f" coordsize="21600,21600">
            <v:path/>
            <v:fill on="f" focussize="0,0"/>
            <v:stroke on="f" joinstyle="miter"/>
            <v:imagedata r:id="rId15" o:title=""/>
            <o:lock v:ext="edit" aspectratio="t"/>
            <w10:wrap type="none"/>
            <w10:anchorlock/>
          </v:shape>
        </w:pict>
      </w:r>
    </w:p>
    <w:p w14:paraId="24F37CF2"/>
    <w:bookmarkEnd w:id="43"/>
    <w:bookmarkEnd w:id="44"/>
    <w:bookmarkEnd w:id="45"/>
    <w:bookmarkEnd w:id="46"/>
    <w:bookmarkEnd w:id="47"/>
    <w:bookmarkEnd w:id="48"/>
    <w:p w14:paraId="105044C5">
      <w:pPr>
        <w:pStyle w:val="4"/>
        <w:spacing w:after="60" w:line="480" w:lineRule="auto"/>
        <w:ind w:firstLine="643" w:firstLineChars="200"/>
        <w:jc w:val="left"/>
        <w:rPr>
          <w:rFonts w:ascii="方正仿宋简体" w:hAnsi="黑体" w:eastAsia="方正仿宋简体"/>
        </w:rPr>
      </w:pPr>
      <w:bookmarkStart w:id="49" w:name="_Toc281646562"/>
      <w:bookmarkStart w:id="50" w:name="_Toc432670937"/>
      <w:bookmarkStart w:id="51" w:name="_Toc449037212"/>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构筑“一线两核三区四带”</w:t>
      </w:r>
      <w:bookmarkEnd w:id="49"/>
      <w:bookmarkEnd w:id="50"/>
      <w:r>
        <w:rPr>
          <w:rFonts w:hint="eastAsia" w:ascii="方正仿宋简体" w:hAnsi="黑体" w:eastAsia="方正仿宋简体" w:cs="方正仿宋简体"/>
        </w:rPr>
        <w:t>产业布局</w:t>
      </w:r>
      <w:bookmarkEnd w:id="51"/>
    </w:p>
    <w:p w14:paraId="62EAD76D">
      <w:pPr>
        <w:pStyle w:val="23"/>
        <w:adjustRightInd w:val="0"/>
        <w:snapToGrid w:val="0"/>
        <w:spacing w:before="0" w:after="0" w:line="620" w:lineRule="exact"/>
        <w:ind w:firstLine="640" w:firstLineChars="200"/>
        <w:rPr>
          <w:rFonts w:ascii="方正仿宋简体" w:hAnsi="仿宋" w:eastAsia="方正仿宋简体" w:cs="Times New Roman"/>
          <w:color w:val="auto"/>
          <w:sz w:val="32"/>
          <w:szCs w:val="32"/>
        </w:rPr>
      </w:pPr>
      <w:r>
        <w:rPr>
          <w:rFonts w:hint="eastAsia" w:ascii="方正仿宋简体" w:hAnsi="仿宋" w:eastAsia="方正仿宋简体" w:cs="方正仿宋简体"/>
          <w:color w:val="auto"/>
          <w:sz w:val="32"/>
          <w:szCs w:val="32"/>
        </w:rPr>
        <w:t>统筹部署区域内各项空间开发要素，结合主体功能区划，“十三五”期间制定“重点开发一线、集聚强化两核、培育发展三区、优化提升四带”的空间发展战略，形成“一线两核三区四带”的产业布局。</w:t>
      </w:r>
    </w:p>
    <w:p w14:paraId="78177B1C">
      <w:pPr>
        <w:pStyle w:val="23"/>
        <w:adjustRightInd w:val="0"/>
        <w:snapToGrid w:val="0"/>
        <w:spacing w:before="0" w:after="0" w:line="620" w:lineRule="exact"/>
        <w:ind w:firstLine="643" w:firstLineChars="200"/>
        <w:rPr>
          <w:rFonts w:ascii="方正仿宋简体" w:hAnsi="仿宋" w:eastAsia="方正仿宋简体" w:cs="Times New Roman"/>
          <w:color w:val="auto"/>
          <w:sz w:val="32"/>
          <w:szCs w:val="32"/>
        </w:rPr>
      </w:pPr>
      <w:r>
        <w:rPr>
          <w:rFonts w:hint="eastAsia" w:ascii="方正楷体简体" w:eastAsia="方正楷体简体" w:cs="方正楷体简体"/>
          <w:b/>
          <w:bCs/>
          <w:color w:val="auto"/>
          <w:sz w:val="32"/>
          <w:szCs w:val="32"/>
        </w:rPr>
        <w:t>重点开发沿江一线。</w:t>
      </w:r>
      <w:r>
        <w:rPr>
          <w:rFonts w:hint="eastAsia" w:ascii="方正仿宋简体" w:hAnsi="仿宋" w:eastAsia="方正仿宋简体" w:cs="方正仿宋简体"/>
          <w:color w:val="auto"/>
          <w:sz w:val="32"/>
          <w:szCs w:val="32"/>
        </w:rPr>
        <w:t>紧抓长江经济带建设的战略机遇，以池州高新区、前江工业园区、杏花村文化旅游区三个园区为重点，以梅龙、秋江、乌沙、牛头山等重点镇街为支撑，优化空间布局，积极承接产业转移，集约利用长江岸线资源，做大做强产业规模，打造沿江一线产业发展高地。</w:t>
      </w:r>
    </w:p>
    <w:p w14:paraId="27B4CFB9">
      <w:pPr>
        <w:pStyle w:val="23"/>
        <w:adjustRightInd w:val="0"/>
        <w:snapToGrid w:val="0"/>
        <w:spacing w:before="0" w:after="0" w:line="620" w:lineRule="exact"/>
        <w:ind w:firstLine="643" w:firstLineChars="200"/>
        <w:rPr>
          <w:rFonts w:ascii="方正仿宋简体" w:hAnsi="仿宋" w:eastAsia="方正仿宋简体" w:cs="Times New Roman"/>
          <w:color w:val="auto"/>
          <w:sz w:val="32"/>
          <w:szCs w:val="32"/>
        </w:rPr>
      </w:pPr>
      <w:r>
        <w:rPr>
          <w:rFonts w:hint="eastAsia" w:ascii="方正楷体简体" w:eastAsia="方正楷体简体" w:cs="方正楷体简体"/>
          <w:b/>
          <w:bCs/>
          <w:color w:val="auto"/>
          <w:sz w:val="32"/>
          <w:szCs w:val="32"/>
        </w:rPr>
        <w:t>集聚强化东西两核。</w:t>
      </w:r>
      <w:r>
        <w:rPr>
          <w:rFonts w:hint="eastAsia" w:ascii="方正仿宋简体" w:hAnsi="仿宋" w:eastAsia="方正仿宋简体" w:cs="方正仿宋简体"/>
          <w:color w:val="auto"/>
          <w:sz w:val="32"/>
          <w:szCs w:val="32"/>
        </w:rPr>
        <w:t>充分利用国家新型城镇化试点省建设契机，坚持以城聚产、以产兴城、产城联动、融合发展的理念，以池州高新区为依托，立足于发展电子信息、机械制造、现代服务业和建设池州市区级中心的功能定位，全力打造东部新区。以前江工业园区为依托，立足于发展金属材料、新型功能材料、临港配套和循环化改造相关的绿色环保型的产业定位，不断完善城市功能，全力打造西部新城。</w:t>
      </w:r>
    </w:p>
    <w:p w14:paraId="21E24750">
      <w:pPr>
        <w:spacing w:line="620" w:lineRule="exact"/>
        <w:ind w:firstLine="687" w:firstLineChars="214"/>
        <w:rPr>
          <w:rFonts w:ascii="方正仿宋简体" w:hAnsi="仿宋" w:eastAsia="方正仿宋简体"/>
          <w:sz w:val="32"/>
          <w:szCs w:val="32"/>
        </w:rPr>
      </w:pPr>
      <w:r>
        <w:rPr>
          <w:rFonts w:hint="eastAsia" w:ascii="方正楷体简体" w:hAnsi="宋体" w:eastAsia="方正楷体简体" w:cs="方正楷体简体"/>
          <w:b/>
          <w:bCs/>
          <w:kern w:val="0"/>
          <w:sz w:val="32"/>
          <w:szCs w:val="32"/>
        </w:rPr>
        <w:t>培育发展生态三区。</w:t>
      </w:r>
      <w:r>
        <w:rPr>
          <w:rFonts w:hint="eastAsia" w:ascii="方正仿宋简体" w:hAnsi="仿宋" w:eastAsia="方正仿宋简体" w:cs="方正仿宋简体"/>
          <w:sz w:val="32"/>
          <w:szCs w:val="32"/>
        </w:rPr>
        <w:t>围绕全国生态文明示范区建设，大力发展现代农业，加强环境保护和生态修复，优化城镇布点，构建沿江沿岸湿地保护片区、中部生态农业发展片区、南部中低山林地保育片区，促进人与自然和谐共生、城市与乡村和谐发展。</w:t>
      </w:r>
    </w:p>
    <w:p w14:paraId="4F807AB6">
      <w:pPr>
        <w:spacing w:line="620" w:lineRule="exact"/>
        <w:ind w:firstLine="642" w:firstLineChars="214"/>
        <w:rPr>
          <w:rFonts w:ascii="仿宋_GB2312" w:hAnsi="宋体" w:eastAsia="仿宋_GB2312"/>
          <w:color w:val="000000"/>
          <w:kern w:val="0"/>
          <w:sz w:val="30"/>
          <w:szCs w:val="30"/>
        </w:rPr>
      </w:pPr>
    </w:p>
    <w:p w14:paraId="6882D651">
      <w:pPr>
        <w:spacing w:line="620" w:lineRule="exact"/>
        <w:jc w:val="center"/>
        <w:rPr>
          <w:rFonts w:ascii="方正仿宋简体" w:hAnsi="宋体" w:eastAsia="方正仿宋简体"/>
          <w:b/>
          <w:bCs/>
          <w:color w:val="000000"/>
          <w:kern w:val="0"/>
          <w:sz w:val="28"/>
          <w:szCs w:val="28"/>
        </w:rPr>
      </w:pPr>
      <w:r>
        <w:rPr>
          <w:rFonts w:hint="eastAsia" w:ascii="方正仿宋简体" w:hAnsi="宋体" w:eastAsia="方正仿宋简体" w:cs="方正仿宋简体"/>
          <w:b/>
          <w:bCs/>
          <w:color w:val="000000"/>
          <w:kern w:val="0"/>
          <w:sz w:val="28"/>
          <w:szCs w:val="28"/>
        </w:rPr>
        <w:t>专栏</w:t>
      </w:r>
      <w:r>
        <w:rPr>
          <w:rFonts w:ascii="方正仿宋简体" w:hAnsi="宋体" w:eastAsia="方正仿宋简体" w:cs="方正仿宋简体"/>
          <w:b/>
          <w:bCs/>
          <w:color w:val="000000"/>
          <w:kern w:val="0"/>
          <w:sz w:val="28"/>
          <w:szCs w:val="28"/>
        </w:rPr>
        <w:t xml:space="preserve">3  </w:t>
      </w:r>
      <w:r>
        <w:rPr>
          <w:rFonts w:hint="eastAsia" w:ascii="方正仿宋简体" w:hAnsi="宋体" w:eastAsia="方正仿宋简体" w:cs="方正仿宋简体"/>
          <w:b/>
          <w:bCs/>
          <w:color w:val="000000"/>
          <w:kern w:val="0"/>
          <w:sz w:val="28"/>
          <w:szCs w:val="28"/>
        </w:rPr>
        <w:t>产业发展空间布局之三区</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3353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DF107ED">
            <w:pPr>
              <w:spacing w:line="560" w:lineRule="exact"/>
              <w:ind w:firstLine="602" w:firstLineChars="214"/>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沿江沿湖湿地保护区。</w:t>
            </w:r>
            <w:r>
              <w:rPr>
                <w:rFonts w:hint="eastAsia" w:ascii="方正仿宋简体" w:hAnsi="宋体" w:eastAsia="方正仿宋简体" w:cs="方正仿宋简体"/>
                <w:color w:val="000000"/>
                <w:kern w:val="0"/>
                <w:sz w:val="28"/>
                <w:szCs w:val="28"/>
              </w:rPr>
              <w:t>根据沿江沿湖生态环境特征和生态保护要求，实施长江防护林、天然林保护、秋浦河综合治理、十八索和升金湖湿地保护区等重点项目建设，构建沿江沿河生态功能保护结构体系。加强城镇环境综合治理，加强全区生物多样性丰富区域的保育，建立保护区、保护小区等功能区，为生物多样性延续繁衍提供良好的生态空间。</w:t>
            </w:r>
          </w:p>
          <w:p w14:paraId="2A89DDB3">
            <w:pPr>
              <w:spacing w:line="560" w:lineRule="exact"/>
              <w:ind w:firstLine="602" w:firstLineChars="214"/>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中部生态农业发展区。</w:t>
            </w:r>
            <w:r>
              <w:rPr>
                <w:rFonts w:hint="eastAsia" w:ascii="方正仿宋简体" w:hAnsi="宋体" w:eastAsia="方正仿宋简体" w:cs="方正仿宋简体"/>
                <w:color w:val="000000"/>
                <w:kern w:val="0"/>
                <w:sz w:val="28"/>
                <w:szCs w:val="28"/>
              </w:rPr>
              <w:t>加强秋江、乌沙、涓桥、殷汇等农产品的主产区农业基础设施建设，完善丘岗地区灌溉系统，增加地表径流拦蓄量，提高水资源利用率，增强防汛抗旱能力。坚持特色发展之路，积极创建国家级、省级现代农业示范区，着力推动安全优质农产品标准化生产基地建设，大力发展农业产业化经营，带动现代农业加快发展。</w:t>
            </w:r>
          </w:p>
          <w:p w14:paraId="55DB05EF">
            <w:pPr>
              <w:pStyle w:val="23"/>
              <w:adjustRightInd w:val="0"/>
              <w:snapToGrid w:val="0"/>
              <w:spacing w:before="0" w:after="0" w:line="560" w:lineRule="exact"/>
              <w:ind w:firstLine="562" w:firstLineChars="200"/>
              <w:rPr>
                <w:rFonts w:ascii="仿宋_GB2312" w:eastAsia="仿宋_GB2312" w:cs="Times New Roman"/>
                <w:b/>
                <w:bCs/>
                <w:sz w:val="30"/>
                <w:szCs w:val="30"/>
              </w:rPr>
            </w:pPr>
            <w:r>
              <w:rPr>
                <w:rFonts w:hint="eastAsia" w:ascii="方正楷体简体" w:eastAsia="方正楷体简体" w:cs="方正楷体简体"/>
                <w:b/>
                <w:bCs/>
                <w:sz w:val="28"/>
                <w:szCs w:val="28"/>
              </w:rPr>
              <w:t>南部中低山林地保育区。</w:t>
            </w:r>
            <w:r>
              <w:rPr>
                <w:rFonts w:hint="eastAsia" w:ascii="方正仿宋简体" w:eastAsia="方正仿宋简体" w:cs="方正仿宋简体"/>
                <w:sz w:val="28"/>
                <w:szCs w:val="28"/>
              </w:rPr>
              <w:t>坚持“保育为主、适度开发、持续发展”的战略，加强梅街、棠溪、牌楼、梅村等南部山区生态环境建设，严格保护重要生态功能区、水源涵养地和特色农产品原产地，实施山体绿化美化、山体生态修复工程，增加山坡绿地。对条件具备的区块适度进行开发，促进保护与开发的良性互动。</w:t>
            </w:r>
          </w:p>
        </w:tc>
      </w:tr>
    </w:tbl>
    <w:p w14:paraId="29BD0238">
      <w:pPr>
        <w:snapToGrid w:val="0"/>
        <w:spacing w:line="620" w:lineRule="exact"/>
        <w:ind w:firstLine="643" w:firstLineChars="200"/>
        <w:rPr>
          <w:rFonts w:ascii="方正仿宋简体" w:hAnsi="仿宋" w:eastAsia="方正仿宋简体"/>
          <w:sz w:val="32"/>
          <w:szCs w:val="32"/>
        </w:rPr>
      </w:pPr>
      <w:r>
        <w:rPr>
          <w:rFonts w:hint="eastAsia" w:ascii="方正楷体简体" w:hAnsi="宋体" w:eastAsia="方正楷体简体" w:cs="方正楷体简体"/>
          <w:b/>
          <w:bCs/>
          <w:kern w:val="0"/>
          <w:sz w:val="32"/>
          <w:szCs w:val="32"/>
        </w:rPr>
        <w:t>优化提升特色四带。</w:t>
      </w:r>
      <w:r>
        <w:rPr>
          <w:rFonts w:hint="eastAsia" w:ascii="方正仿宋简体" w:hAnsi="仿宋" w:eastAsia="方正仿宋简体" w:cs="方正仿宋简体"/>
          <w:sz w:val="32"/>
          <w:szCs w:val="32"/>
        </w:rPr>
        <w:t>依托快速交通走廊和丰富的自然及文化资源，联结主要城镇，突出经济关联性，形成齐石线矿产品开采及精深加工产业带、</w:t>
      </w:r>
      <w:r>
        <w:rPr>
          <w:rFonts w:hint="eastAsia" w:ascii="方正仿宋简体" w:hAnsi="仿宋" w:eastAsia="方正仿宋简体" w:cs="方正仿宋简体"/>
          <w:color w:val="FF0000"/>
          <w:sz w:val="32"/>
          <w:szCs w:val="32"/>
        </w:rPr>
        <w:t>池青九线佛文化旅游产业带、青十线民俗文化旅游产业带、秋浦河沿线诗文化旅游产业带。</w:t>
      </w:r>
    </w:p>
    <w:p w14:paraId="00AE9AC2">
      <w:pPr>
        <w:snapToGrid w:val="0"/>
        <w:spacing w:line="620" w:lineRule="exact"/>
        <w:ind w:firstLine="640" w:firstLineChars="200"/>
        <w:rPr>
          <w:rFonts w:ascii="方正仿宋简体" w:hAnsi="仿宋" w:eastAsia="方正仿宋简体"/>
          <w:sz w:val="32"/>
          <w:szCs w:val="32"/>
        </w:rPr>
      </w:pPr>
    </w:p>
    <w:p w14:paraId="7E32C849">
      <w:pPr>
        <w:spacing w:line="620" w:lineRule="exact"/>
        <w:jc w:val="center"/>
        <w:rPr>
          <w:rFonts w:ascii="方正仿宋简体" w:hAnsi="宋体" w:eastAsia="方正仿宋简体"/>
          <w:b/>
          <w:bCs/>
          <w:color w:val="000000"/>
          <w:kern w:val="0"/>
          <w:sz w:val="28"/>
          <w:szCs w:val="28"/>
        </w:rPr>
      </w:pPr>
      <w:r>
        <w:rPr>
          <w:rFonts w:hint="eastAsia" w:ascii="方正仿宋简体" w:hAnsi="宋体" w:eastAsia="方正仿宋简体" w:cs="方正仿宋简体"/>
          <w:b/>
          <w:bCs/>
          <w:color w:val="000000"/>
          <w:kern w:val="0"/>
          <w:sz w:val="28"/>
          <w:szCs w:val="28"/>
        </w:rPr>
        <w:t>专栏</w:t>
      </w:r>
      <w:r>
        <w:rPr>
          <w:rFonts w:ascii="方正仿宋简体" w:hAnsi="宋体" w:eastAsia="方正仿宋简体" w:cs="方正仿宋简体"/>
          <w:b/>
          <w:bCs/>
          <w:color w:val="000000"/>
          <w:kern w:val="0"/>
          <w:sz w:val="28"/>
          <w:szCs w:val="28"/>
        </w:rPr>
        <w:t xml:space="preserve">4  </w:t>
      </w:r>
      <w:r>
        <w:rPr>
          <w:rFonts w:hint="eastAsia" w:ascii="方正仿宋简体" w:hAnsi="宋体" w:eastAsia="方正仿宋简体" w:cs="方正仿宋简体"/>
          <w:b/>
          <w:bCs/>
          <w:color w:val="000000"/>
          <w:kern w:val="0"/>
          <w:sz w:val="28"/>
          <w:szCs w:val="28"/>
        </w:rPr>
        <w:t>产业发展空间布局之四带</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67AD0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5000" w:type="pct"/>
          </w:tcPr>
          <w:p w14:paraId="4D6D87DC">
            <w:pPr>
              <w:snapToGrid w:val="0"/>
              <w:spacing w:line="560" w:lineRule="exact"/>
              <w:ind w:firstLine="562" w:firstLineChars="200"/>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齐石线矿产品开采及精深加工产业带：</w:t>
            </w:r>
            <w:r>
              <w:rPr>
                <w:rFonts w:hint="eastAsia" w:ascii="方正仿宋简体" w:hAnsi="宋体" w:eastAsia="方正仿宋简体" w:cs="方正仿宋简体"/>
                <w:color w:val="000000"/>
                <w:kern w:val="0"/>
                <w:sz w:val="28"/>
                <w:szCs w:val="28"/>
              </w:rPr>
              <w:t>按照“技术引领</w:t>
            </w:r>
            <w:r>
              <w:rPr>
                <w:rFonts w:ascii="方正仿宋简体" w:hAnsi="宋体" w:eastAsia="方正仿宋简体" w:cs="方正仿宋简体"/>
                <w:color w:val="000000"/>
                <w:kern w:val="0"/>
                <w:sz w:val="28"/>
                <w:szCs w:val="28"/>
              </w:rPr>
              <w:t>—</w:t>
            </w:r>
            <w:r>
              <w:rPr>
                <w:rFonts w:hint="eastAsia" w:ascii="方正仿宋简体" w:hAnsi="宋体" w:eastAsia="方正仿宋简体" w:cs="方正仿宋简体"/>
                <w:color w:val="000000"/>
                <w:kern w:val="0"/>
                <w:sz w:val="28"/>
                <w:szCs w:val="28"/>
              </w:rPr>
              <w:t>规模培育</w:t>
            </w:r>
            <w:r>
              <w:rPr>
                <w:rFonts w:ascii="方正仿宋简体" w:hAnsi="宋体" w:eastAsia="方正仿宋简体" w:cs="方正仿宋简体"/>
                <w:color w:val="000000"/>
                <w:kern w:val="0"/>
                <w:sz w:val="28"/>
                <w:szCs w:val="28"/>
              </w:rPr>
              <w:t>—</w:t>
            </w:r>
            <w:r>
              <w:rPr>
                <w:rFonts w:hint="eastAsia" w:ascii="方正仿宋简体" w:hAnsi="宋体" w:eastAsia="方正仿宋简体" w:cs="方正仿宋简体"/>
                <w:color w:val="000000"/>
                <w:kern w:val="0"/>
                <w:sz w:val="28"/>
                <w:szCs w:val="28"/>
              </w:rPr>
              <w:t>下游拓展”的思路，充分利用里山、梅街、棠溪等镇街丰富的金属和非金属矿资源，加强资源整合，加快推进矿产品科学开采及精深加工，着力强化省级非金属矿及精深加工产业集群专业镇建设，打造非金属矿物深加工及应用产业基地。</w:t>
            </w:r>
          </w:p>
          <w:p w14:paraId="79F67F92">
            <w:pPr>
              <w:pStyle w:val="8"/>
              <w:adjustRightInd w:val="0"/>
              <w:snapToGrid w:val="0"/>
              <w:spacing w:after="0" w:line="560" w:lineRule="exact"/>
              <w:ind w:left="0" w:leftChars="0" w:firstLine="562" w:firstLineChars="200"/>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池青九线佛文化旅游产业带：</w:t>
            </w:r>
            <w:r>
              <w:rPr>
                <w:rFonts w:hint="eastAsia" w:ascii="方正仿宋简体" w:hAnsi="宋体" w:eastAsia="方正仿宋简体" w:cs="方正仿宋简体"/>
                <w:color w:val="000000"/>
                <w:kern w:val="0"/>
                <w:sz w:val="28"/>
                <w:szCs w:val="28"/>
              </w:rPr>
              <w:t>利用墩上、马衙、里山等镇街丰富的自然生态资源、独特的贵池民歌、诗酒茶</w:t>
            </w:r>
            <w:r>
              <w:rPr>
                <w:rFonts w:hint="eastAsia" w:ascii="方正仿宋简体" w:hAnsi="宋体" w:eastAsia="方正仿宋简体" w:cs="方正仿宋简体"/>
                <w:color w:val="FF0000"/>
                <w:kern w:val="0"/>
                <w:sz w:val="28"/>
                <w:szCs w:val="28"/>
              </w:rPr>
              <w:t>和佛文化</w:t>
            </w:r>
            <w:r>
              <w:rPr>
                <w:rFonts w:hint="eastAsia" w:ascii="方正仿宋简体" w:hAnsi="宋体" w:eastAsia="方正仿宋简体" w:cs="方正仿宋简体"/>
                <w:color w:val="000000"/>
                <w:kern w:val="0"/>
                <w:sz w:val="28"/>
                <w:szCs w:val="28"/>
              </w:rPr>
              <w:t>等旅游资源，突出抓好九华天池、万罗山</w:t>
            </w:r>
            <w:r>
              <w:rPr>
                <w:rFonts w:hint="eastAsia" w:ascii="方正仿宋简体" w:hAnsi="宋体" w:eastAsia="方正仿宋简体" w:cs="方正仿宋简体"/>
                <w:color w:val="FF0000"/>
                <w:kern w:val="0"/>
                <w:sz w:val="28"/>
                <w:szCs w:val="28"/>
              </w:rPr>
              <w:t>、墩上观音茅蓬等主要景点开发，积极承接九华山旅游景区的辐射、带动，打造池青九线佛文化旅游产业带</w:t>
            </w:r>
            <w:r>
              <w:rPr>
                <w:rFonts w:hint="eastAsia" w:ascii="方正仿宋简体" w:hAnsi="宋体" w:eastAsia="方正仿宋简体" w:cs="方正仿宋简体"/>
                <w:color w:val="000000"/>
                <w:kern w:val="0"/>
                <w:sz w:val="28"/>
                <w:szCs w:val="28"/>
              </w:rPr>
              <w:t>。</w:t>
            </w:r>
          </w:p>
          <w:p w14:paraId="42A1B56C">
            <w:pPr>
              <w:pStyle w:val="8"/>
              <w:adjustRightInd w:val="0"/>
              <w:snapToGrid w:val="0"/>
              <w:spacing w:after="0" w:line="560" w:lineRule="exact"/>
              <w:ind w:left="0" w:leftChars="0" w:firstLine="562" w:firstLineChars="200"/>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青十线</w:t>
            </w:r>
            <w:r>
              <w:rPr>
                <w:rFonts w:hint="eastAsia" w:ascii="方正楷体简体" w:hAnsi="宋体" w:eastAsia="方正楷体简体" w:cs="方正楷体简体"/>
                <w:b/>
                <w:bCs/>
                <w:color w:val="FF0000"/>
                <w:kern w:val="0"/>
                <w:sz w:val="28"/>
                <w:szCs w:val="28"/>
              </w:rPr>
              <w:t>民俗文化</w:t>
            </w:r>
            <w:r>
              <w:rPr>
                <w:rFonts w:hint="eastAsia" w:ascii="方正楷体简体" w:hAnsi="宋体" w:eastAsia="方正楷体简体" w:cs="方正楷体简体"/>
                <w:b/>
                <w:bCs/>
                <w:color w:val="000000"/>
                <w:kern w:val="0"/>
                <w:sz w:val="28"/>
                <w:szCs w:val="28"/>
              </w:rPr>
              <w:t>旅游产业带：</w:t>
            </w:r>
            <w:r>
              <w:rPr>
                <w:rFonts w:hint="eastAsia" w:ascii="方正仿宋简体" w:hAnsi="宋体" w:eastAsia="方正仿宋简体" w:cs="方正仿宋简体"/>
                <w:color w:val="000000"/>
                <w:kern w:val="0"/>
                <w:sz w:val="28"/>
                <w:szCs w:val="28"/>
              </w:rPr>
              <w:t>依托棠溪、梅街、梅村、牌楼等镇街南部腹地山区自然风</w:t>
            </w:r>
            <w:r>
              <w:rPr>
                <w:rFonts w:hint="eastAsia" w:ascii="方正仿宋简体" w:hAnsi="宋体" w:eastAsia="方正仿宋简体" w:cs="方正仿宋简体"/>
                <w:color w:val="FF0000"/>
                <w:kern w:val="0"/>
                <w:sz w:val="28"/>
                <w:szCs w:val="28"/>
              </w:rPr>
              <w:t>光和傩文化、魁文化、茶文化等资</w:t>
            </w:r>
            <w:r>
              <w:rPr>
                <w:rFonts w:hint="eastAsia" w:ascii="方正仿宋简体" w:hAnsi="宋体" w:eastAsia="方正仿宋简体" w:cs="方正仿宋简体"/>
                <w:color w:val="000000"/>
                <w:kern w:val="0"/>
                <w:sz w:val="28"/>
                <w:szCs w:val="28"/>
              </w:rPr>
              <w:t>源，加强与九华山</w:t>
            </w:r>
            <w:r>
              <w:rPr>
                <w:rFonts w:ascii="方正仿宋简体" w:hAnsi="宋体" w:eastAsia="方正仿宋简体" w:cs="方正仿宋简体"/>
                <w:color w:val="000000"/>
                <w:kern w:val="0"/>
                <w:sz w:val="28"/>
                <w:szCs w:val="28"/>
              </w:rPr>
              <w:t>-</w:t>
            </w:r>
            <w:r>
              <w:rPr>
                <w:rFonts w:hint="eastAsia" w:ascii="方正仿宋简体" w:hAnsi="宋体" w:eastAsia="方正仿宋简体" w:cs="方正仿宋简体"/>
                <w:color w:val="000000"/>
                <w:kern w:val="0"/>
                <w:sz w:val="28"/>
                <w:szCs w:val="28"/>
              </w:rPr>
              <w:t>牯牛降等旅游线路的衔接融合，重点抓好老山省级自然保护区、霄坑大峡谷、九华漂流、古村石门高等主要景区开发建设，打造青十线</w:t>
            </w:r>
            <w:r>
              <w:rPr>
                <w:rFonts w:hint="eastAsia" w:ascii="方正仿宋简体" w:hAnsi="宋体" w:eastAsia="方正仿宋简体" w:cs="方正仿宋简体"/>
                <w:color w:val="FF0000"/>
                <w:kern w:val="0"/>
                <w:sz w:val="28"/>
                <w:szCs w:val="28"/>
              </w:rPr>
              <w:t>民俗文化</w:t>
            </w:r>
            <w:r>
              <w:rPr>
                <w:rFonts w:hint="eastAsia" w:ascii="方正仿宋简体" w:hAnsi="宋体" w:eastAsia="方正仿宋简体" w:cs="方正仿宋简体"/>
                <w:color w:val="000000"/>
                <w:kern w:val="0"/>
                <w:sz w:val="28"/>
                <w:szCs w:val="28"/>
              </w:rPr>
              <w:t>旅游产业带。</w:t>
            </w:r>
          </w:p>
          <w:p w14:paraId="1F0E4450">
            <w:pPr>
              <w:pStyle w:val="8"/>
              <w:adjustRightInd w:val="0"/>
              <w:snapToGrid w:val="0"/>
              <w:spacing w:after="0" w:line="560" w:lineRule="exact"/>
              <w:ind w:left="0" w:leftChars="0" w:firstLine="562" w:firstLineChars="200"/>
              <w:rPr>
                <w:rFonts w:ascii="仿宋_GB2312" w:hAnsi="宋体" w:eastAsia="仿宋_GB2312"/>
                <w:b/>
                <w:bCs/>
                <w:color w:val="000000"/>
                <w:kern w:val="0"/>
                <w:sz w:val="30"/>
                <w:szCs w:val="30"/>
              </w:rPr>
            </w:pPr>
            <w:r>
              <w:rPr>
                <w:rFonts w:hint="eastAsia" w:ascii="方正楷体简体" w:hAnsi="宋体" w:eastAsia="方正楷体简体" w:cs="方正楷体简体"/>
                <w:b/>
                <w:bCs/>
                <w:color w:val="000000"/>
                <w:kern w:val="0"/>
                <w:sz w:val="28"/>
                <w:szCs w:val="28"/>
              </w:rPr>
              <w:t>秋浦河沿线</w:t>
            </w:r>
            <w:r>
              <w:rPr>
                <w:rFonts w:hint="eastAsia" w:ascii="方正楷体简体" w:hAnsi="宋体" w:eastAsia="方正楷体简体" w:cs="方正楷体简体"/>
                <w:b/>
                <w:bCs/>
                <w:color w:val="FF0000"/>
                <w:kern w:val="0"/>
                <w:sz w:val="28"/>
                <w:szCs w:val="28"/>
              </w:rPr>
              <w:t>诗文化旅游</w:t>
            </w:r>
            <w:r>
              <w:rPr>
                <w:rFonts w:hint="eastAsia" w:ascii="方正楷体简体" w:hAnsi="宋体" w:eastAsia="方正楷体简体" w:cs="方正楷体简体"/>
                <w:b/>
                <w:bCs/>
                <w:color w:val="000000"/>
                <w:kern w:val="0"/>
                <w:sz w:val="28"/>
                <w:szCs w:val="28"/>
              </w:rPr>
              <w:t>产业带：</w:t>
            </w:r>
            <w:r>
              <w:rPr>
                <w:rFonts w:hint="eastAsia" w:ascii="方正仿宋简体" w:hAnsi="宋体" w:eastAsia="方正仿宋简体" w:cs="方正仿宋简体"/>
                <w:color w:val="000000"/>
                <w:kern w:val="0"/>
                <w:sz w:val="28"/>
                <w:szCs w:val="28"/>
              </w:rPr>
              <w:t>以杏化村文化旅游区为带动，按照“生态、文化旅游、美丽乡村”三位一体的要求，深入挖掘盛唐诗酒、山水农耕、传统民俗和江南村落文化内涵，创建国家级文化产业示范园区，发展特色文化旅游线路，着力打</w:t>
            </w:r>
            <w:r>
              <w:rPr>
                <w:rFonts w:hint="eastAsia" w:ascii="方正仿宋简体" w:hAnsi="宋体" w:eastAsia="方正仿宋简体" w:cs="方正仿宋简体"/>
                <w:color w:val="FF0000"/>
                <w:kern w:val="0"/>
                <w:sz w:val="28"/>
                <w:szCs w:val="28"/>
              </w:rPr>
              <w:t>造秋浦河沿线诗文化旅游产</w:t>
            </w:r>
            <w:r>
              <w:rPr>
                <w:rFonts w:hint="eastAsia" w:ascii="方正仿宋简体" w:hAnsi="宋体" w:eastAsia="方正仿宋简体" w:cs="方正仿宋简体"/>
                <w:color w:val="000000"/>
                <w:kern w:val="0"/>
                <w:sz w:val="28"/>
                <w:szCs w:val="28"/>
              </w:rPr>
              <w:t>业带。</w:t>
            </w:r>
          </w:p>
        </w:tc>
      </w:tr>
    </w:tbl>
    <w:p w14:paraId="1829216B"/>
    <w:p w14:paraId="6A598865">
      <w:pPr>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附：贵池区“十三五”产业发展空间布局图</w:t>
      </w:r>
    </w:p>
    <w:p w14:paraId="1E1D51F3">
      <w:r>
        <w:pict>
          <v:shape id="_x0000_i1030" o:spt="75" alt="贵池区空间开发布局(4)" type="#_x0000_t75" style="height:440.25pt;width:447pt;" filled="f" o:preferrelative="t" stroked="f" coordsize="21600,21600">
            <v:path/>
            <v:fill on="f" focussize="0,0"/>
            <v:stroke on="f" joinstyle="miter"/>
            <v:imagedata r:id="rId16" o:title=""/>
            <o:lock v:ext="edit" aspectratio="t"/>
            <w10:wrap type="none"/>
            <w10:anchorlock/>
          </v:shape>
        </w:pict>
      </w:r>
    </w:p>
    <w:p w14:paraId="7C83D4C7"/>
    <w:p w14:paraId="525ED41C">
      <w:pPr>
        <w:pStyle w:val="4"/>
        <w:spacing w:after="60" w:line="480" w:lineRule="auto"/>
        <w:ind w:firstLine="643" w:firstLineChars="200"/>
        <w:jc w:val="left"/>
        <w:rPr>
          <w:rFonts w:ascii="方正仿宋简体" w:hAnsi="黑体" w:eastAsia="方正仿宋简体"/>
        </w:rPr>
      </w:pPr>
      <w:bookmarkStart w:id="52" w:name="_Toc449037213"/>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推进“多规合一”</w:t>
      </w:r>
      <w:bookmarkEnd w:id="52"/>
    </w:p>
    <w:p w14:paraId="4E394E66">
      <w:pPr>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根据国家、省、市有关文件精神，“十三五”期间，推动贵池区国民经济和社会发展规划、城乡规划、土地利用规划、生态环境保护规划等“多规合一”，形成全区综合规划和蓝图。</w:t>
      </w:r>
    </w:p>
    <w:p w14:paraId="79A7198E">
      <w:pPr>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以城镇、农业、生态三类空间作为规划衔接的平台，为相关规划的编制提供依据和接口。相关空间规划的管理分区和边界划定，在三类空间布局的框架下进一步细化，形成更具体的空间管制分区。通过三类空间和细化的管制分区，形成综合与专项相结合的空间管控体系。</w:t>
      </w:r>
    </w:p>
    <w:p w14:paraId="1306A204">
      <w:pPr>
        <w:ind w:firstLine="640" w:firstLineChars="200"/>
        <w:rPr>
          <w:rFonts w:ascii="方正仿宋简体" w:hAnsi="仿宋" w:eastAsia="方正仿宋简体"/>
          <w:sz w:val="32"/>
          <w:szCs w:val="32"/>
        </w:rPr>
      </w:pPr>
    </w:p>
    <w:p w14:paraId="479C0C69">
      <w:pPr>
        <w:ind w:firstLine="640" w:firstLineChars="200"/>
        <w:rPr>
          <w:rFonts w:ascii="方正仿宋简体" w:hAnsi="仿宋" w:eastAsia="方正仿宋简体"/>
          <w:sz w:val="32"/>
          <w:szCs w:val="32"/>
        </w:rPr>
      </w:pPr>
    </w:p>
    <w:p w14:paraId="6AAF6BBA">
      <w:pPr>
        <w:ind w:firstLine="640" w:firstLineChars="200"/>
        <w:rPr>
          <w:rFonts w:ascii="方正仿宋简体" w:hAnsi="仿宋" w:eastAsia="方正仿宋简体"/>
          <w:sz w:val="32"/>
          <w:szCs w:val="32"/>
        </w:rPr>
      </w:pPr>
    </w:p>
    <w:p w14:paraId="4433DC7B">
      <w:pPr>
        <w:ind w:firstLine="640" w:firstLineChars="200"/>
        <w:rPr>
          <w:rFonts w:ascii="方正仿宋简体" w:hAnsi="仿宋" w:eastAsia="方正仿宋简体"/>
          <w:sz w:val="32"/>
          <w:szCs w:val="32"/>
        </w:rPr>
      </w:pPr>
    </w:p>
    <w:p w14:paraId="4647717E">
      <w:pPr>
        <w:ind w:firstLine="640" w:firstLineChars="200"/>
        <w:rPr>
          <w:rFonts w:ascii="方正仿宋简体" w:hAnsi="仿宋" w:eastAsia="方正仿宋简体"/>
          <w:sz w:val="32"/>
          <w:szCs w:val="32"/>
        </w:rPr>
      </w:pPr>
    </w:p>
    <w:p w14:paraId="2A193678">
      <w:pPr>
        <w:ind w:firstLine="640" w:firstLineChars="200"/>
        <w:rPr>
          <w:rFonts w:ascii="方正仿宋简体" w:hAnsi="仿宋" w:eastAsia="方正仿宋简体"/>
          <w:sz w:val="32"/>
          <w:szCs w:val="32"/>
        </w:rPr>
      </w:pPr>
    </w:p>
    <w:p w14:paraId="3900B2AE">
      <w:pPr>
        <w:ind w:firstLine="640" w:firstLineChars="200"/>
        <w:rPr>
          <w:rFonts w:ascii="方正仿宋简体" w:hAnsi="仿宋" w:eastAsia="方正仿宋简体"/>
          <w:sz w:val="32"/>
          <w:szCs w:val="32"/>
        </w:rPr>
      </w:pPr>
    </w:p>
    <w:p w14:paraId="6971D80B">
      <w:pPr>
        <w:ind w:firstLine="640" w:firstLineChars="200"/>
        <w:rPr>
          <w:rFonts w:ascii="方正仿宋简体" w:hAnsi="仿宋" w:eastAsia="方正仿宋简体"/>
          <w:sz w:val="32"/>
          <w:szCs w:val="32"/>
        </w:rPr>
      </w:pPr>
    </w:p>
    <w:p w14:paraId="70AAE0A6">
      <w:pPr>
        <w:ind w:firstLine="640" w:firstLineChars="200"/>
        <w:rPr>
          <w:rFonts w:ascii="方正仿宋简体" w:hAnsi="仿宋" w:eastAsia="方正仿宋简体"/>
          <w:sz w:val="32"/>
          <w:szCs w:val="32"/>
        </w:rPr>
      </w:pPr>
    </w:p>
    <w:p w14:paraId="59A87695">
      <w:pPr>
        <w:ind w:firstLine="640" w:firstLineChars="200"/>
        <w:rPr>
          <w:rFonts w:ascii="方正仿宋简体" w:hAnsi="仿宋" w:eastAsia="方正仿宋简体"/>
          <w:sz w:val="32"/>
          <w:szCs w:val="32"/>
        </w:rPr>
      </w:pPr>
    </w:p>
    <w:p w14:paraId="21B0FC92">
      <w:pPr>
        <w:ind w:firstLine="640" w:firstLineChars="200"/>
        <w:rPr>
          <w:rFonts w:ascii="方正仿宋简体" w:hAnsi="仿宋" w:eastAsia="方正仿宋简体"/>
          <w:sz w:val="32"/>
          <w:szCs w:val="32"/>
        </w:rPr>
      </w:pPr>
    </w:p>
    <w:p w14:paraId="4E955A5D">
      <w:pPr>
        <w:ind w:firstLine="640" w:firstLineChars="200"/>
        <w:rPr>
          <w:rFonts w:ascii="方正仿宋简体" w:hAnsi="仿宋" w:eastAsia="方正仿宋简体"/>
          <w:sz w:val="32"/>
          <w:szCs w:val="32"/>
        </w:rPr>
      </w:pPr>
    </w:p>
    <w:p w14:paraId="1C830542">
      <w:pPr>
        <w:ind w:firstLine="640" w:firstLineChars="200"/>
        <w:rPr>
          <w:rFonts w:ascii="方正仿宋简体" w:hAnsi="仿宋" w:eastAsia="方正仿宋简体"/>
          <w:sz w:val="32"/>
          <w:szCs w:val="32"/>
        </w:rPr>
      </w:pPr>
    </w:p>
    <w:p w14:paraId="13782E71">
      <w:pPr>
        <w:ind w:firstLine="640" w:firstLineChars="200"/>
        <w:rPr>
          <w:rFonts w:ascii="方正仿宋简体" w:hAnsi="仿宋" w:eastAsia="方正仿宋简体"/>
          <w:sz w:val="32"/>
          <w:szCs w:val="32"/>
        </w:rPr>
      </w:pPr>
    </w:p>
    <w:p w14:paraId="6A0EA7E2">
      <w:pPr>
        <w:ind w:firstLine="640" w:firstLineChars="200"/>
        <w:rPr>
          <w:rFonts w:ascii="方正仿宋简体" w:hAnsi="仿宋" w:eastAsia="方正仿宋简体"/>
          <w:sz w:val="32"/>
          <w:szCs w:val="32"/>
        </w:rPr>
      </w:pPr>
    </w:p>
    <w:p w14:paraId="1CFB75B8">
      <w:pPr>
        <w:ind w:firstLine="640" w:firstLineChars="200"/>
        <w:rPr>
          <w:rFonts w:ascii="方正仿宋简体" w:hAnsi="仿宋" w:eastAsia="方正仿宋简体"/>
          <w:sz w:val="32"/>
          <w:szCs w:val="32"/>
        </w:rPr>
      </w:pPr>
    </w:p>
    <w:p w14:paraId="3ABB886B">
      <w:pPr>
        <w:pStyle w:val="2"/>
        <w:spacing w:before="260" w:after="260" w:line="480" w:lineRule="auto"/>
        <w:jc w:val="center"/>
        <w:rPr>
          <w:rFonts w:ascii="方正小标宋简体" w:hAnsi="黑体" w:eastAsia="方正小标宋简体"/>
          <w:b w:val="0"/>
          <w:bCs w:val="0"/>
          <w:color w:val="000000"/>
        </w:rPr>
      </w:pPr>
      <w:bookmarkStart w:id="53" w:name="_Toc449037214"/>
      <w:bookmarkStart w:id="54" w:name="_Toc281646564"/>
      <w:r>
        <w:rPr>
          <w:rFonts w:hint="eastAsia" w:ascii="方正小标宋简体" w:hAnsi="黑体" w:eastAsia="方正小标宋简体" w:cs="方正小标宋简体"/>
          <w:b w:val="0"/>
          <w:bCs w:val="0"/>
          <w:color w:val="000000"/>
        </w:rPr>
        <w:t>第二篇</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强化创新发展</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推动质量效益新提升</w:t>
      </w:r>
      <w:bookmarkEnd w:id="53"/>
    </w:p>
    <w:p w14:paraId="645DD69D">
      <w:pPr>
        <w:pStyle w:val="3"/>
        <w:spacing w:after="120" w:line="480" w:lineRule="auto"/>
        <w:ind w:firstLine="640" w:firstLineChars="200"/>
        <w:jc w:val="left"/>
        <w:rPr>
          <w:rFonts w:ascii="方正黑体简体" w:hAnsi="黑体" w:eastAsia="方正黑体简体" w:cs="Times New Roman"/>
          <w:b w:val="0"/>
          <w:bCs w:val="0"/>
        </w:rPr>
      </w:pPr>
      <w:bookmarkStart w:id="55" w:name="_Toc449037215"/>
      <w:r>
        <w:rPr>
          <w:rFonts w:hint="eastAsia" w:ascii="方正黑体简体" w:hAnsi="黑体" w:eastAsia="方正黑体简体" w:cs="方正黑体简体"/>
          <w:b w:val="0"/>
          <w:bCs w:val="0"/>
        </w:rPr>
        <w:t>第四章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加快调结构转方式促升级，推动工业转型发展</w:t>
      </w:r>
      <w:bookmarkEnd w:id="55"/>
    </w:p>
    <w:p w14:paraId="48F096D3">
      <w:pPr>
        <w:spacing w:line="62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以调结构转方式促升级为主线，以《中国制造</w:t>
      </w:r>
      <w:r>
        <w:rPr>
          <w:rFonts w:ascii="方正仿宋简体" w:hAnsi="仿宋" w:eastAsia="方正仿宋简体" w:cs="方正仿宋简体"/>
          <w:sz w:val="32"/>
          <w:szCs w:val="32"/>
        </w:rPr>
        <w:t>2025</w:t>
      </w:r>
      <w:r>
        <w:rPr>
          <w:rFonts w:hint="eastAsia" w:ascii="方正仿宋简体" w:hAnsi="仿宋" w:eastAsia="方正仿宋简体" w:cs="方正仿宋简体"/>
          <w:sz w:val="32"/>
          <w:szCs w:val="32"/>
        </w:rPr>
        <w:t>》为指导，集聚各方力量，改造提升传统产业，培育发展四大战略性新兴产业，构筑“二区一带”工业发展空间格局，促进园区转型升级，实现工业总量壮大、结构优化、提质增效，打造皖江地区产业承接创新示范区。到</w:t>
      </w:r>
      <w:r>
        <w:rPr>
          <w:rFonts w:ascii="方正仿宋简体" w:hAnsi="仿宋" w:eastAsia="方正仿宋简体" w:cs="方正仿宋简体"/>
          <w:sz w:val="32"/>
          <w:szCs w:val="32"/>
        </w:rPr>
        <w:t>2020</w:t>
      </w:r>
      <w:r>
        <w:rPr>
          <w:rFonts w:hint="eastAsia" w:ascii="方正仿宋简体" w:hAnsi="仿宋" w:eastAsia="方正仿宋简体" w:cs="方正仿宋简体"/>
          <w:sz w:val="32"/>
          <w:szCs w:val="32"/>
        </w:rPr>
        <w:t>年规模以上工业企业突破</w:t>
      </w:r>
      <w:r>
        <w:rPr>
          <w:rFonts w:ascii="方正仿宋简体" w:hAnsi="仿宋" w:eastAsia="方正仿宋简体" w:cs="方正仿宋简体"/>
          <w:sz w:val="32"/>
          <w:szCs w:val="32"/>
        </w:rPr>
        <w:t>300</w:t>
      </w:r>
      <w:r>
        <w:rPr>
          <w:rFonts w:hint="eastAsia" w:ascii="方正仿宋简体" w:hAnsi="仿宋" w:eastAsia="方正仿宋简体" w:cs="方正仿宋简体"/>
          <w:sz w:val="32"/>
          <w:szCs w:val="32"/>
        </w:rPr>
        <w:t>户，实现工业增加值</w:t>
      </w:r>
      <w:r>
        <w:rPr>
          <w:rFonts w:ascii="方正仿宋简体" w:hAnsi="仿宋" w:eastAsia="方正仿宋简体" w:cs="方正仿宋简体"/>
          <w:sz w:val="32"/>
          <w:szCs w:val="32"/>
        </w:rPr>
        <w:t>110</w:t>
      </w:r>
      <w:r>
        <w:rPr>
          <w:rFonts w:hint="eastAsia" w:ascii="方正仿宋简体" w:hAnsi="仿宋" w:eastAsia="方正仿宋简体" w:cs="方正仿宋简体"/>
          <w:sz w:val="32"/>
          <w:szCs w:val="32"/>
        </w:rPr>
        <w:t>亿元；全区产值亿元以上企业达到</w:t>
      </w:r>
      <w:r>
        <w:rPr>
          <w:rFonts w:ascii="方正仿宋简体" w:hAnsi="仿宋" w:eastAsia="方正仿宋简体" w:cs="方正仿宋简体"/>
          <w:sz w:val="32"/>
          <w:szCs w:val="32"/>
        </w:rPr>
        <w:t>100</w:t>
      </w:r>
      <w:r>
        <w:rPr>
          <w:rFonts w:hint="eastAsia" w:ascii="方正仿宋简体" w:hAnsi="仿宋" w:eastAsia="方正仿宋简体" w:cs="方正仿宋简体"/>
          <w:sz w:val="32"/>
          <w:szCs w:val="32"/>
        </w:rPr>
        <w:t>户；高新技术企业</w:t>
      </w:r>
      <w:r>
        <w:rPr>
          <w:rFonts w:ascii="方正仿宋简体" w:hAnsi="仿宋" w:eastAsia="方正仿宋简体" w:cs="方正仿宋简体"/>
          <w:sz w:val="32"/>
          <w:szCs w:val="32"/>
        </w:rPr>
        <w:t>50</w:t>
      </w:r>
      <w:r>
        <w:rPr>
          <w:rFonts w:hint="eastAsia" w:ascii="方正仿宋简体" w:hAnsi="仿宋" w:eastAsia="方正仿宋简体" w:cs="方正仿宋简体"/>
          <w:sz w:val="32"/>
          <w:szCs w:val="32"/>
        </w:rPr>
        <w:t>户。</w:t>
      </w:r>
    </w:p>
    <w:p w14:paraId="162D9831">
      <w:pPr>
        <w:pStyle w:val="4"/>
        <w:spacing w:after="60" w:line="480" w:lineRule="auto"/>
        <w:ind w:firstLine="643" w:firstLineChars="200"/>
        <w:jc w:val="left"/>
        <w:rPr>
          <w:rFonts w:ascii="方正仿宋简体" w:hAnsi="黑体" w:eastAsia="方正仿宋简体"/>
        </w:rPr>
      </w:pPr>
      <w:bookmarkStart w:id="56" w:name="_Toc449037216"/>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改造提升传统优势产业</w:t>
      </w:r>
      <w:bookmarkEnd w:id="56"/>
      <w:r>
        <w:rPr>
          <w:rFonts w:ascii="方正仿宋简体" w:hAnsi="黑体" w:eastAsia="方正仿宋简体"/>
        </w:rPr>
        <w:t> </w:t>
      </w:r>
    </w:p>
    <w:p w14:paraId="3E36946C">
      <w:pPr>
        <w:snapToGrid w:val="0"/>
        <w:spacing w:line="62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综合运用项目建设、产业配套、兼并重组、参股合作等手段，实施技术改造，提升传统优势产业。综合运用信息技术，开展“两化”深度融合，推动技术升级、工艺更新和产品升值，提高机械加工及装备制造产业发展水平。改造冶金工业，推动骨干钢铁企业全流程工艺改造，淘汰不具备竞争优势的冶炼产能</w:t>
      </w:r>
      <w:r>
        <w:rPr>
          <w:rFonts w:ascii="方正仿宋简体" w:hAnsi="仿宋" w:eastAsia="方正仿宋简体" w:cs="方正仿宋简体"/>
          <w:sz w:val="32"/>
          <w:szCs w:val="32"/>
        </w:rPr>
        <w:t>,</w:t>
      </w:r>
      <w:r>
        <w:rPr>
          <w:rFonts w:hint="eastAsia" w:ascii="方正仿宋简体" w:hAnsi="仿宋" w:eastAsia="方正仿宋简体" w:cs="方正仿宋简体"/>
          <w:sz w:val="32"/>
          <w:szCs w:val="32"/>
        </w:rPr>
        <w:t>提升冶金工业市场竞争力。推进建材产业整合重组，优化空间布局，开展建筑和工业废弃物综合利用</w:t>
      </w:r>
      <w:r>
        <w:rPr>
          <w:rFonts w:ascii="方正仿宋简体" w:hAnsi="仿宋" w:eastAsia="方正仿宋简体" w:cs="方正仿宋简体"/>
          <w:sz w:val="32"/>
          <w:szCs w:val="32"/>
        </w:rPr>
        <w:t>,</w:t>
      </w:r>
      <w:r>
        <w:rPr>
          <w:rFonts w:hint="eastAsia" w:ascii="方正仿宋简体" w:hAnsi="仿宋" w:eastAsia="方正仿宋简体" w:cs="方正仿宋简体"/>
          <w:sz w:val="32"/>
          <w:szCs w:val="32"/>
        </w:rPr>
        <w:t>促进绿色、环保、节能建材产业健康发展。积极支持纺纱纺织、农副产品深加工企业走“专精特新”之路，加强品牌建设，提高产品知名度，拓展市场规模。按照完善配套、提升功能的工作思路，改造提升船舶修造业。加强资源整合，提高矿产品本地转化率，发展精深加工，促进金属和非金属矿产业科学发展。</w:t>
      </w:r>
    </w:p>
    <w:p w14:paraId="0DDD3BE1">
      <w:pPr>
        <w:snapToGrid w:val="0"/>
        <w:spacing w:line="620" w:lineRule="exact"/>
        <w:ind w:firstLine="640" w:firstLineChars="200"/>
        <w:rPr>
          <w:rFonts w:ascii="方正仿宋简体" w:hAnsi="仿宋" w:eastAsia="方正仿宋简体"/>
          <w:sz w:val="32"/>
          <w:szCs w:val="32"/>
        </w:rPr>
      </w:pPr>
    </w:p>
    <w:p w14:paraId="17F7D71F">
      <w:pPr>
        <w:spacing w:afterLines="50" w:line="620" w:lineRule="exact"/>
        <w:jc w:val="center"/>
        <w:rPr>
          <w:rFonts w:ascii="方正仿宋简体" w:hAnsi="宋体" w:eastAsia="方正仿宋简体"/>
          <w:b/>
          <w:bCs/>
          <w:kern w:val="0"/>
          <w:sz w:val="28"/>
          <w:szCs w:val="28"/>
        </w:rPr>
      </w:pPr>
      <w:r>
        <w:rPr>
          <w:rFonts w:hint="eastAsia" w:ascii="方正仿宋简体" w:hAnsi="宋体" w:eastAsia="方正仿宋简体" w:cs="方正仿宋简体"/>
          <w:b/>
          <w:bCs/>
          <w:kern w:val="0"/>
          <w:sz w:val="28"/>
          <w:szCs w:val="28"/>
        </w:rPr>
        <w:t>专栏</w:t>
      </w:r>
      <w:r>
        <w:rPr>
          <w:rFonts w:ascii="方正仿宋简体" w:hAnsi="宋体" w:eastAsia="方正仿宋简体" w:cs="方正仿宋简体"/>
          <w:b/>
          <w:bCs/>
          <w:kern w:val="0"/>
          <w:sz w:val="28"/>
          <w:szCs w:val="28"/>
        </w:rPr>
        <w:t xml:space="preserve">5  </w:t>
      </w:r>
      <w:r>
        <w:rPr>
          <w:rFonts w:hint="eastAsia" w:ascii="方正仿宋简体" w:hAnsi="宋体" w:eastAsia="方正仿宋简体" w:cs="方正仿宋简体"/>
          <w:b/>
          <w:bCs/>
          <w:kern w:val="0"/>
          <w:sz w:val="28"/>
          <w:szCs w:val="28"/>
        </w:rPr>
        <w:t>传统产业改造提升及重点建设项目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69BA7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635B037">
            <w:pPr>
              <w:snapToGrid w:val="0"/>
              <w:spacing w:line="560" w:lineRule="exact"/>
              <w:ind w:firstLine="562" w:firstLineChars="200"/>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非金属矿产业。</w:t>
            </w:r>
            <w:r>
              <w:rPr>
                <w:rFonts w:hint="eastAsia" w:ascii="方正仿宋简体" w:hAnsi="宋体" w:eastAsia="方正仿宋简体" w:cs="方正仿宋简体"/>
                <w:color w:val="000000"/>
                <w:kern w:val="0"/>
                <w:sz w:val="28"/>
                <w:szCs w:val="28"/>
              </w:rPr>
              <w:t>重点抓好齐石线矿产品开采及精深加工产业带建设，力争到</w:t>
            </w:r>
            <w:r>
              <w:rPr>
                <w:rFonts w:ascii="方正仿宋简体" w:hAnsi="宋体" w:eastAsia="方正仿宋简体" w:cs="方正仿宋简体"/>
                <w:color w:val="000000"/>
                <w:kern w:val="0"/>
                <w:sz w:val="28"/>
                <w:szCs w:val="28"/>
              </w:rPr>
              <w:t>2020</w:t>
            </w:r>
            <w:r>
              <w:rPr>
                <w:rFonts w:hint="eastAsia" w:ascii="方正仿宋简体" w:hAnsi="宋体" w:eastAsia="方正仿宋简体" w:cs="方正仿宋简体"/>
                <w:color w:val="000000"/>
                <w:kern w:val="0"/>
                <w:sz w:val="28"/>
                <w:szCs w:val="28"/>
              </w:rPr>
              <w:t>年，非金属材料产业产值突破</w:t>
            </w:r>
            <w:r>
              <w:rPr>
                <w:rFonts w:ascii="方正仿宋简体" w:hAnsi="宋体" w:eastAsia="方正仿宋简体" w:cs="方正仿宋简体"/>
                <w:color w:val="000000"/>
                <w:kern w:val="0"/>
                <w:sz w:val="28"/>
                <w:szCs w:val="28"/>
              </w:rPr>
              <w:t>100</w:t>
            </w:r>
            <w:r>
              <w:rPr>
                <w:rFonts w:hint="eastAsia" w:ascii="方正仿宋简体" w:hAnsi="宋体" w:eastAsia="方正仿宋简体" w:cs="方正仿宋简体"/>
                <w:color w:val="000000"/>
                <w:kern w:val="0"/>
                <w:sz w:val="28"/>
                <w:szCs w:val="28"/>
              </w:rPr>
              <w:t>亿元。重点推进药用钙深加工、年产</w:t>
            </w:r>
            <w:r>
              <w:rPr>
                <w:rFonts w:ascii="方正仿宋简体" w:hAnsi="宋体" w:eastAsia="方正仿宋简体" w:cs="方正仿宋简体"/>
                <w:color w:val="000000"/>
                <w:kern w:val="0"/>
                <w:sz w:val="28"/>
                <w:szCs w:val="28"/>
              </w:rPr>
              <w:t>20</w:t>
            </w:r>
            <w:r>
              <w:rPr>
                <w:rFonts w:hint="eastAsia" w:ascii="方正仿宋简体" w:hAnsi="宋体" w:eastAsia="方正仿宋简体" w:cs="方正仿宋简体"/>
                <w:color w:val="000000"/>
                <w:kern w:val="0"/>
                <w:sz w:val="28"/>
                <w:szCs w:val="28"/>
              </w:rPr>
              <w:t>万吨高活性氧化钙及</w:t>
            </w:r>
            <w:r>
              <w:rPr>
                <w:rFonts w:ascii="方正仿宋简体" w:hAnsi="宋体" w:eastAsia="方正仿宋简体" w:cs="方正仿宋简体"/>
                <w:color w:val="000000"/>
                <w:kern w:val="0"/>
                <w:sz w:val="28"/>
                <w:szCs w:val="28"/>
              </w:rPr>
              <w:t>10</w:t>
            </w:r>
            <w:r>
              <w:rPr>
                <w:rFonts w:hint="eastAsia" w:ascii="方正仿宋简体" w:hAnsi="宋体" w:eastAsia="方正仿宋简体" w:cs="方正仿宋简体"/>
                <w:color w:val="000000"/>
                <w:kern w:val="0"/>
                <w:sz w:val="28"/>
                <w:szCs w:val="28"/>
              </w:rPr>
              <w:t>万吨轻质碳酸钙、年产</w:t>
            </w:r>
            <w:r>
              <w:rPr>
                <w:rFonts w:ascii="方正仿宋简体" w:hAnsi="宋体" w:eastAsia="方正仿宋简体" w:cs="方正仿宋简体"/>
                <w:color w:val="000000"/>
                <w:kern w:val="0"/>
                <w:sz w:val="28"/>
                <w:szCs w:val="28"/>
              </w:rPr>
              <w:t>40</w:t>
            </w:r>
            <w:r>
              <w:rPr>
                <w:rFonts w:hint="eastAsia" w:ascii="方正仿宋简体" w:hAnsi="宋体" w:eastAsia="方正仿宋简体" w:cs="方正仿宋简体"/>
                <w:color w:val="000000"/>
                <w:kern w:val="0"/>
                <w:sz w:val="28"/>
                <w:szCs w:val="28"/>
              </w:rPr>
              <w:t>万吨高质氧化钙及</w:t>
            </w:r>
            <w:r>
              <w:rPr>
                <w:rFonts w:ascii="方正仿宋简体" w:hAnsi="宋体" w:eastAsia="方正仿宋简体" w:cs="方正仿宋简体"/>
                <w:color w:val="000000"/>
                <w:kern w:val="0"/>
                <w:sz w:val="28"/>
                <w:szCs w:val="28"/>
              </w:rPr>
              <w:t>20</w:t>
            </w:r>
            <w:r>
              <w:rPr>
                <w:rFonts w:hint="eastAsia" w:ascii="方正仿宋简体" w:hAnsi="宋体" w:eastAsia="方正仿宋简体" w:cs="方正仿宋简体"/>
                <w:color w:val="000000"/>
                <w:kern w:val="0"/>
                <w:sz w:val="28"/>
                <w:szCs w:val="28"/>
              </w:rPr>
              <w:t>万吨氢氧化钙深加工、年产</w:t>
            </w:r>
            <w:r>
              <w:rPr>
                <w:rFonts w:ascii="方正仿宋简体" w:hAnsi="宋体" w:eastAsia="方正仿宋简体" w:cs="方正仿宋简体"/>
                <w:color w:val="000000"/>
                <w:kern w:val="0"/>
                <w:sz w:val="28"/>
                <w:szCs w:val="28"/>
              </w:rPr>
              <w:t>20</w:t>
            </w:r>
            <w:r>
              <w:rPr>
                <w:rFonts w:hint="eastAsia" w:ascii="方正仿宋简体" w:hAnsi="宋体" w:eastAsia="方正仿宋简体" w:cs="方正仿宋简体"/>
                <w:color w:val="000000"/>
                <w:kern w:val="0"/>
                <w:sz w:val="28"/>
                <w:szCs w:val="28"/>
              </w:rPr>
              <w:t>万吨优质钙化物加工、年产</w:t>
            </w:r>
            <w:r>
              <w:rPr>
                <w:rFonts w:ascii="方正仿宋简体" w:hAnsi="宋体" w:eastAsia="方正仿宋简体" w:cs="方正仿宋简体"/>
                <w:color w:val="000000"/>
                <w:kern w:val="0"/>
                <w:sz w:val="28"/>
                <w:szCs w:val="28"/>
              </w:rPr>
              <w:t>10</w:t>
            </w:r>
            <w:r>
              <w:rPr>
                <w:rFonts w:hint="eastAsia" w:ascii="方正仿宋简体" w:hAnsi="宋体" w:eastAsia="方正仿宋简体" w:cs="方正仿宋简体"/>
                <w:color w:val="000000"/>
                <w:kern w:val="0"/>
                <w:sz w:val="28"/>
                <w:szCs w:val="28"/>
              </w:rPr>
              <w:t>万吨超微细重钙粉体功能新材料、池州皖佳钙业有限责任公司年产</w:t>
            </w:r>
            <w:r>
              <w:rPr>
                <w:rFonts w:ascii="方正仿宋简体" w:hAnsi="宋体" w:eastAsia="方正仿宋简体" w:cs="方正仿宋简体"/>
                <w:color w:val="000000"/>
                <w:kern w:val="0"/>
                <w:sz w:val="28"/>
                <w:szCs w:val="28"/>
              </w:rPr>
              <w:t>20</w:t>
            </w:r>
            <w:r>
              <w:rPr>
                <w:rFonts w:hint="eastAsia" w:ascii="方正仿宋简体" w:hAnsi="宋体" w:eastAsia="方正仿宋简体" w:cs="方正仿宋简体"/>
                <w:color w:val="000000"/>
                <w:kern w:val="0"/>
                <w:sz w:val="28"/>
                <w:szCs w:val="28"/>
              </w:rPr>
              <w:t>万吨钙化物、金家冲白云石精加工、金隆钙业年产</w:t>
            </w:r>
            <w:r>
              <w:rPr>
                <w:rFonts w:ascii="方正仿宋简体" w:hAnsi="宋体" w:eastAsia="方正仿宋简体" w:cs="方正仿宋简体"/>
                <w:color w:val="000000"/>
                <w:kern w:val="0"/>
                <w:sz w:val="28"/>
                <w:szCs w:val="28"/>
              </w:rPr>
              <w:t>30</w:t>
            </w:r>
            <w:r>
              <w:rPr>
                <w:rFonts w:hint="eastAsia" w:ascii="方正仿宋简体" w:hAnsi="宋体" w:eastAsia="方正仿宋简体" w:cs="方正仿宋简体"/>
                <w:color w:val="000000"/>
                <w:kern w:val="0"/>
                <w:sz w:val="28"/>
                <w:szCs w:val="28"/>
              </w:rPr>
              <w:t>万吨氧化钙生产线、年产</w:t>
            </w:r>
            <w:r>
              <w:rPr>
                <w:rFonts w:ascii="方正仿宋简体" w:hAnsi="宋体" w:eastAsia="方正仿宋简体" w:cs="方正仿宋简体"/>
                <w:color w:val="000000"/>
                <w:kern w:val="0"/>
                <w:sz w:val="28"/>
                <w:szCs w:val="28"/>
              </w:rPr>
              <w:t>10</w:t>
            </w:r>
            <w:r>
              <w:rPr>
                <w:rFonts w:hint="eastAsia" w:ascii="方正仿宋简体" w:hAnsi="宋体" w:eastAsia="方正仿宋简体" w:cs="方正仿宋简体"/>
                <w:color w:val="000000"/>
                <w:kern w:val="0"/>
                <w:sz w:val="28"/>
                <w:szCs w:val="28"/>
              </w:rPr>
              <w:t>万吨氢氧化钙生产线及年产</w:t>
            </w:r>
            <w:r>
              <w:rPr>
                <w:rFonts w:ascii="方正仿宋简体" w:hAnsi="宋体" w:eastAsia="方正仿宋简体" w:cs="方正仿宋简体"/>
                <w:color w:val="000000"/>
                <w:kern w:val="0"/>
                <w:sz w:val="28"/>
                <w:szCs w:val="28"/>
              </w:rPr>
              <w:t>5</w:t>
            </w:r>
            <w:r>
              <w:rPr>
                <w:rFonts w:hint="eastAsia" w:ascii="方正仿宋简体" w:hAnsi="宋体" w:eastAsia="方正仿宋简体" w:cs="方正仿宋简体"/>
                <w:color w:val="000000"/>
                <w:kern w:val="0"/>
                <w:sz w:val="28"/>
                <w:szCs w:val="28"/>
              </w:rPr>
              <w:t>万吨轻质碳酸钙生产线、硫酸钙晶须、纳米碳酸钙填充剂、新型墙体保温材料、先进陶瓷粉体等项目建设。</w:t>
            </w:r>
          </w:p>
          <w:p w14:paraId="7246527C">
            <w:pPr>
              <w:snapToGrid w:val="0"/>
              <w:spacing w:line="560" w:lineRule="exact"/>
              <w:ind w:firstLine="562" w:firstLineChars="200"/>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金属材料产业。</w:t>
            </w:r>
            <w:r>
              <w:rPr>
                <w:rFonts w:hint="eastAsia" w:ascii="方正仿宋简体" w:hAnsi="宋体" w:eastAsia="方正仿宋简体" w:cs="方正仿宋简体"/>
                <w:color w:val="000000"/>
                <w:kern w:val="0"/>
                <w:sz w:val="28"/>
                <w:szCs w:val="28"/>
              </w:rPr>
              <w:t>以国家及安徽省有色金属、钢铁产业规划为导向，严格设定以环保、生产技术、生产规模为重点的产业准入门槛，着力抓好贵航特钢、冠华黄金、明坤铝业等企业全流程工艺改造，重点发展钢结构件、铁路轴承、特种耐蚀合金、高温合金、汽车铸造零部件等钢铁材料，以及铜、铝材料产业等。重点推动不锈钢产业基地、金属材料深加工产业基地、年产</w:t>
            </w:r>
            <w:r>
              <w:rPr>
                <w:rFonts w:ascii="方正仿宋简体" w:hAnsi="宋体" w:eastAsia="方正仿宋简体" w:cs="方正仿宋简体"/>
                <w:color w:val="000000"/>
                <w:kern w:val="0"/>
                <w:sz w:val="28"/>
                <w:szCs w:val="28"/>
              </w:rPr>
              <w:t>3</w:t>
            </w:r>
            <w:r>
              <w:rPr>
                <w:rFonts w:hint="eastAsia" w:ascii="方正仿宋简体" w:hAnsi="宋体" w:eastAsia="方正仿宋简体" w:cs="方正仿宋简体"/>
                <w:color w:val="000000"/>
                <w:kern w:val="0"/>
                <w:sz w:val="28"/>
                <w:szCs w:val="28"/>
              </w:rPr>
              <w:t>万吨钢结构件生产、铝合金型材、轨道交通用铝合金、十万吨废铜再生、铜线及铜电缆生产、铜五金件生产、高精密铜板带、高导热铜合金引线框架、新型铜合金接触导线、铝合金电缆、铁路轴承生产、特种耐蚀合金材料生产、高温合金生产和金属材料表面处理等项目建设。</w:t>
            </w:r>
          </w:p>
          <w:p w14:paraId="05CBB4A5">
            <w:pPr>
              <w:snapToGrid w:val="0"/>
              <w:spacing w:line="560" w:lineRule="exact"/>
              <w:ind w:firstLine="562" w:firstLineChars="200"/>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建材产业。</w:t>
            </w:r>
            <w:r>
              <w:rPr>
                <w:rFonts w:hint="eastAsia" w:ascii="方正仿宋简体" w:hAnsi="宋体" w:eastAsia="方正仿宋简体" w:cs="方正仿宋简体"/>
                <w:color w:val="000000"/>
                <w:kern w:val="0"/>
                <w:sz w:val="28"/>
                <w:szCs w:val="28"/>
              </w:rPr>
              <w:t>推动整合重组，优化空间布局，发展精深加工，强化综合利用，做大绿色、环保、节能建材产业规模。推进建筑和工业废弃物综合利用，发展新型墙体材料。</w:t>
            </w:r>
          </w:p>
          <w:p w14:paraId="5B976276">
            <w:pPr>
              <w:snapToGrid w:val="0"/>
              <w:spacing w:line="560" w:lineRule="exact"/>
              <w:ind w:firstLine="562" w:firstLineChars="200"/>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建筑业。</w:t>
            </w:r>
            <w:r>
              <w:rPr>
                <w:rFonts w:hint="eastAsia" w:ascii="方正仿宋简体" w:hAnsi="宋体" w:eastAsia="方正仿宋简体" w:cs="方正仿宋简体"/>
                <w:color w:val="000000"/>
                <w:kern w:val="0"/>
                <w:sz w:val="28"/>
                <w:szCs w:val="28"/>
              </w:rPr>
              <w:t>推动房建主业向房地产、高新技术、第三产业等产业延伸，向建筑设计、建材等产业上下游发展，延伸产业链；加快培育建筑产业现代化龙头企业，支持骨干企业以产权为纽带，积极推进改革与重组，引导建筑业企业集聚发展。按照绿色建筑要求，综合考虑投入产出效益，选择合理技术路线，大力推广绿色建筑。</w:t>
            </w:r>
          </w:p>
          <w:p w14:paraId="190F33FA">
            <w:pPr>
              <w:snapToGrid w:val="0"/>
              <w:spacing w:line="560" w:lineRule="exact"/>
              <w:ind w:firstLine="562" w:firstLineChars="200"/>
              <w:rPr>
                <w:rFonts w:ascii="方正仿宋简体" w:hAnsi="仿宋" w:eastAsia="方正仿宋简体"/>
                <w:sz w:val="32"/>
                <w:szCs w:val="32"/>
              </w:rPr>
            </w:pPr>
            <w:r>
              <w:rPr>
                <w:rFonts w:hint="eastAsia" w:ascii="方正楷体简体" w:hAnsi="宋体" w:eastAsia="方正楷体简体" w:cs="方正楷体简体"/>
                <w:b/>
                <w:bCs/>
                <w:color w:val="000000"/>
                <w:kern w:val="0"/>
                <w:sz w:val="28"/>
                <w:szCs w:val="28"/>
              </w:rPr>
              <w:t>船舶修造业。</w:t>
            </w:r>
            <w:r>
              <w:rPr>
                <w:rFonts w:hint="eastAsia" w:ascii="方正仿宋简体" w:hAnsi="宋体" w:eastAsia="方正仿宋简体" w:cs="方正仿宋简体"/>
                <w:color w:val="000000"/>
                <w:kern w:val="0"/>
                <w:sz w:val="28"/>
                <w:szCs w:val="28"/>
              </w:rPr>
              <w:t>按照整合资源、完善配套、提升功能、转型发展的工作思路，加强技术改造，完善产业配套，提升船舶修造业。</w:t>
            </w:r>
            <w:bookmarkStart w:id="57" w:name="_Toc436399733"/>
            <w:bookmarkStart w:id="58" w:name="_Toc436400482"/>
          </w:p>
          <w:p w14:paraId="4AA7C74B">
            <w:pPr>
              <w:snapToGrid w:val="0"/>
              <w:spacing w:line="560" w:lineRule="exact"/>
              <w:ind w:firstLine="562" w:firstLineChars="200"/>
              <w:rPr>
                <w:rFonts w:ascii="方正仿宋简体" w:hAnsi="仿宋" w:eastAsia="方正仿宋简体"/>
                <w:sz w:val="32"/>
                <w:szCs w:val="32"/>
              </w:rPr>
            </w:pPr>
            <w:r>
              <w:rPr>
                <w:rFonts w:hint="eastAsia" w:ascii="方正楷体简体" w:hAnsi="宋体" w:eastAsia="方正楷体简体" w:cs="方正楷体简体"/>
                <w:b/>
                <w:bCs/>
                <w:color w:val="000000"/>
                <w:kern w:val="0"/>
                <w:sz w:val="28"/>
                <w:szCs w:val="28"/>
              </w:rPr>
              <w:t>其他产业。</w:t>
            </w:r>
            <w:r>
              <w:rPr>
                <w:rFonts w:hint="eastAsia" w:ascii="方正仿宋简体" w:hAnsi="宋体" w:eastAsia="方正仿宋简体" w:cs="方正仿宋简体"/>
                <w:color w:val="000000"/>
                <w:kern w:val="0"/>
                <w:sz w:val="28"/>
                <w:szCs w:val="28"/>
              </w:rPr>
              <w:t>积极支持三毛纺织、祺祥服饰、安东袜业、九华山酒业、梅里米业、成德食品等轻纺服装、农副产品深加工企业走“专精特新”之路，推进梅村镇省级霄坑茶叶产业集群专业镇建设，推动品牌升级，提高产品知名度，拓展市场规模。</w:t>
            </w:r>
            <w:bookmarkEnd w:id="57"/>
            <w:bookmarkEnd w:id="58"/>
          </w:p>
        </w:tc>
      </w:tr>
    </w:tbl>
    <w:p w14:paraId="3CA74FFF">
      <w:pPr>
        <w:snapToGrid w:val="0"/>
        <w:spacing w:line="620" w:lineRule="exact"/>
        <w:ind w:firstLine="640" w:firstLineChars="200"/>
        <w:rPr>
          <w:rFonts w:ascii="方正仿宋简体" w:hAnsi="仿宋" w:eastAsia="方正仿宋简体"/>
          <w:sz w:val="32"/>
          <w:szCs w:val="32"/>
        </w:rPr>
      </w:pPr>
    </w:p>
    <w:p w14:paraId="665CDFCF">
      <w:pPr>
        <w:pStyle w:val="4"/>
        <w:spacing w:after="60" w:line="480" w:lineRule="auto"/>
        <w:ind w:firstLine="643" w:firstLineChars="200"/>
        <w:jc w:val="left"/>
        <w:rPr>
          <w:rFonts w:ascii="黑体" w:hAnsi="黑体" w:eastAsia="黑体"/>
          <w:b w:val="0"/>
          <w:bCs w:val="0"/>
          <w:sz w:val="30"/>
          <w:szCs w:val="30"/>
        </w:rPr>
      </w:pPr>
      <w:bookmarkStart w:id="59" w:name="_Toc449037217"/>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培育发展战略性新兴产业</w:t>
      </w:r>
      <w:bookmarkEnd w:id="59"/>
      <w:r>
        <w:rPr>
          <w:rFonts w:ascii="黑体" w:hAnsi="黑体" w:eastAsia="黑体"/>
          <w:b w:val="0"/>
          <w:bCs w:val="0"/>
          <w:sz w:val="30"/>
          <w:szCs w:val="30"/>
        </w:rPr>
        <w:t> </w:t>
      </w:r>
    </w:p>
    <w:p w14:paraId="7CE20A95">
      <w:pPr>
        <w:spacing w:line="62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加大战略性新兴产业扶持力度，优化产业发展环境，依托池州高新区、前江工业园区等发展平台，以睿成微电子、白鹰集团、力成机械、西恩新材料等企业为重点，着力在新一代信息技术、高端装备制造、节能环保、新材料等重点领域取得较大突破，争创省级战略性新兴产业集聚发展基地。力争到</w:t>
      </w:r>
      <w:r>
        <w:rPr>
          <w:rFonts w:ascii="方正仿宋简体" w:hAnsi="仿宋" w:eastAsia="方正仿宋简体" w:cs="方正仿宋简体"/>
          <w:sz w:val="32"/>
          <w:szCs w:val="32"/>
        </w:rPr>
        <w:t>2020</w:t>
      </w:r>
      <w:r>
        <w:rPr>
          <w:rFonts w:hint="eastAsia" w:ascii="方正仿宋简体" w:hAnsi="仿宋" w:eastAsia="方正仿宋简体" w:cs="方正仿宋简体"/>
          <w:sz w:val="32"/>
          <w:szCs w:val="32"/>
        </w:rPr>
        <w:t>年，战略性新兴产业总产值达到</w:t>
      </w:r>
      <w:r>
        <w:rPr>
          <w:rFonts w:ascii="方正仿宋简体" w:hAnsi="仿宋" w:eastAsia="方正仿宋简体" w:cs="方正仿宋简体"/>
          <w:sz w:val="32"/>
          <w:szCs w:val="32"/>
        </w:rPr>
        <w:t>280</w:t>
      </w:r>
      <w:r>
        <w:rPr>
          <w:rFonts w:hint="eastAsia" w:ascii="方正仿宋简体" w:hAnsi="仿宋" w:eastAsia="方正仿宋简体" w:cs="方正仿宋简体"/>
          <w:sz w:val="32"/>
          <w:szCs w:val="32"/>
        </w:rPr>
        <w:t>亿元。</w:t>
      </w:r>
    </w:p>
    <w:p w14:paraId="22A10074">
      <w:pPr>
        <w:spacing w:line="620" w:lineRule="exact"/>
        <w:ind w:firstLine="640" w:firstLineChars="200"/>
        <w:rPr>
          <w:rFonts w:ascii="方正仿宋简体" w:hAnsi="仿宋" w:eastAsia="方正仿宋简体"/>
          <w:sz w:val="32"/>
          <w:szCs w:val="32"/>
        </w:rPr>
      </w:pPr>
    </w:p>
    <w:p w14:paraId="3D01BDDA">
      <w:pPr>
        <w:spacing w:line="620" w:lineRule="exact"/>
        <w:ind w:firstLine="640" w:firstLineChars="200"/>
        <w:rPr>
          <w:rFonts w:ascii="方正仿宋简体" w:hAnsi="仿宋" w:eastAsia="方正仿宋简体"/>
          <w:sz w:val="32"/>
          <w:szCs w:val="32"/>
        </w:rPr>
      </w:pPr>
    </w:p>
    <w:p w14:paraId="4B276E70">
      <w:pPr>
        <w:spacing w:line="620" w:lineRule="exact"/>
        <w:ind w:firstLine="640" w:firstLineChars="200"/>
        <w:rPr>
          <w:rFonts w:ascii="方正仿宋简体" w:hAnsi="仿宋" w:eastAsia="方正仿宋简体"/>
          <w:sz w:val="32"/>
          <w:szCs w:val="32"/>
        </w:rPr>
      </w:pPr>
    </w:p>
    <w:p w14:paraId="7203FA83">
      <w:pPr>
        <w:spacing w:line="620" w:lineRule="exact"/>
        <w:ind w:firstLine="640" w:firstLineChars="200"/>
        <w:rPr>
          <w:rFonts w:ascii="方正仿宋简体" w:hAnsi="仿宋" w:eastAsia="方正仿宋简体"/>
          <w:sz w:val="32"/>
          <w:szCs w:val="32"/>
        </w:rPr>
      </w:pPr>
    </w:p>
    <w:p w14:paraId="4FC52EBD">
      <w:pPr>
        <w:spacing w:afterLines="50" w:line="620" w:lineRule="exact"/>
        <w:jc w:val="center"/>
        <w:rPr>
          <w:rFonts w:ascii="方正仿宋简体" w:hAnsi="宋体" w:eastAsia="方正仿宋简体"/>
          <w:b/>
          <w:bCs/>
          <w:kern w:val="0"/>
          <w:sz w:val="28"/>
          <w:szCs w:val="28"/>
        </w:rPr>
      </w:pPr>
      <w:r>
        <w:rPr>
          <w:rFonts w:hint="eastAsia" w:ascii="方正仿宋简体" w:hAnsi="宋体" w:eastAsia="方正仿宋简体" w:cs="方正仿宋简体"/>
          <w:b/>
          <w:bCs/>
          <w:kern w:val="0"/>
          <w:sz w:val="28"/>
          <w:szCs w:val="28"/>
        </w:rPr>
        <w:t>专栏</w:t>
      </w:r>
      <w:r>
        <w:rPr>
          <w:rFonts w:ascii="方正仿宋简体" w:hAnsi="宋体" w:eastAsia="方正仿宋简体" w:cs="方正仿宋简体"/>
          <w:b/>
          <w:bCs/>
          <w:kern w:val="0"/>
          <w:sz w:val="28"/>
          <w:szCs w:val="28"/>
        </w:rPr>
        <w:t xml:space="preserve">6  </w:t>
      </w:r>
      <w:r>
        <w:rPr>
          <w:rFonts w:hint="eastAsia" w:ascii="方正仿宋简体" w:hAnsi="宋体" w:eastAsia="方正仿宋简体" w:cs="方正仿宋简体"/>
          <w:b/>
          <w:bCs/>
          <w:kern w:val="0"/>
          <w:sz w:val="28"/>
          <w:szCs w:val="28"/>
        </w:rPr>
        <w:t>战略性新兴产业发展及其重点项目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37EE7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B3CE849">
            <w:pPr>
              <w:spacing w:line="560" w:lineRule="exact"/>
              <w:ind w:firstLine="562" w:firstLineChars="200"/>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发展新一代信息技术。</w:t>
            </w:r>
            <w:r>
              <w:rPr>
                <w:rFonts w:hint="eastAsia" w:ascii="方正仿宋简体" w:hAnsi="宋体" w:eastAsia="方正仿宋简体" w:cs="方正仿宋简体"/>
                <w:color w:val="000000"/>
                <w:kern w:val="0"/>
                <w:sz w:val="28"/>
                <w:szCs w:val="28"/>
              </w:rPr>
              <w:t>紧抓新一代通信网络建设和移动互联网快速发展机遇，发展集成电路、平板显示、软件、关键电子元器件和基础材料等关键基础产业，重点推动第三代半导体材料研发生产、芯片设计、封装测试、互联网</w:t>
            </w:r>
            <w:r>
              <w:rPr>
                <w:rFonts w:ascii="方正仿宋简体" w:hAnsi="宋体" w:eastAsia="方正仿宋简体" w:cs="方正仿宋简体"/>
                <w:color w:val="000000"/>
                <w:kern w:val="0"/>
                <w:sz w:val="28"/>
                <w:szCs w:val="28"/>
              </w:rPr>
              <w:t>+</w:t>
            </w:r>
            <w:r>
              <w:rPr>
                <w:rFonts w:hint="eastAsia" w:ascii="方正仿宋简体" w:hAnsi="宋体" w:eastAsia="方正仿宋简体" w:cs="方正仿宋简体"/>
                <w:color w:val="000000"/>
                <w:kern w:val="0"/>
                <w:sz w:val="28"/>
                <w:szCs w:val="28"/>
              </w:rPr>
              <w:t>项目及移动智能终端研发制造集聚发展。到</w:t>
            </w:r>
            <w:r>
              <w:rPr>
                <w:rFonts w:ascii="方正仿宋简体" w:hAnsi="宋体" w:eastAsia="方正仿宋简体" w:cs="方正仿宋简体"/>
                <w:color w:val="000000"/>
                <w:kern w:val="0"/>
                <w:sz w:val="28"/>
                <w:szCs w:val="28"/>
              </w:rPr>
              <w:t>2020</w:t>
            </w:r>
            <w:r>
              <w:rPr>
                <w:rFonts w:hint="eastAsia" w:ascii="方正仿宋简体" w:hAnsi="宋体" w:eastAsia="方正仿宋简体" w:cs="方正仿宋简体"/>
                <w:color w:val="000000"/>
                <w:kern w:val="0"/>
                <w:sz w:val="28"/>
                <w:szCs w:val="28"/>
              </w:rPr>
              <w:t>年，半导体材料领域实现关键原材料、核心部件和装备本地化配套，实现新一代信息技术及相关产业产值</w:t>
            </w:r>
            <w:r>
              <w:rPr>
                <w:rFonts w:ascii="方正仿宋简体" w:hAnsi="宋体" w:eastAsia="方正仿宋简体" w:cs="方正仿宋简体"/>
                <w:color w:val="000000"/>
                <w:kern w:val="0"/>
                <w:sz w:val="28"/>
                <w:szCs w:val="28"/>
              </w:rPr>
              <w:t>120</w:t>
            </w:r>
            <w:r>
              <w:rPr>
                <w:rFonts w:hint="eastAsia" w:ascii="方正仿宋简体" w:hAnsi="宋体" w:eastAsia="方正仿宋简体" w:cs="方正仿宋简体"/>
                <w:color w:val="000000"/>
                <w:kern w:val="0"/>
                <w:sz w:val="28"/>
                <w:szCs w:val="28"/>
              </w:rPr>
              <w:t>亿元。重点推动砷化镓晶圆制造、</w:t>
            </w:r>
            <w:r>
              <w:rPr>
                <w:rFonts w:ascii="方正仿宋简体" w:hAnsi="宋体" w:eastAsia="方正仿宋简体" w:cs="方正仿宋简体"/>
                <w:color w:val="000000"/>
                <w:kern w:val="0"/>
                <w:sz w:val="28"/>
                <w:szCs w:val="28"/>
              </w:rPr>
              <w:t>SSD</w:t>
            </w:r>
            <w:r>
              <w:rPr>
                <w:rFonts w:hint="eastAsia" w:ascii="方正仿宋简体" w:hAnsi="宋体" w:eastAsia="方正仿宋简体" w:cs="方正仿宋简体"/>
                <w:color w:val="000000"/>
                <w:kern w:val="0"/>
                <w:sz w:val="28"/>
                <w:szCs w:val="28"/>
              </w:rPr>
              <w:t>固态硬盘及其处理器芯片研发生产、氮化镓半导体材料研发制造、精密数控模压光学镜头生产、“互联网</w:t>
            </w:r>
            <w:r>
              <w:rPr>
                <w:rFonts w:ascii="方正仿宋简体" w:hAnsi="宋体" w:eastAsia="方正仿宋简体" w:cs="方正仿宋简体"/>
                <w:color w:val="000000"/>
                <w:kern w:val="0"/>
                <w:sz w:val="28"/>
                <w:szCs w:val="28"/>
              </w:rPr>
              <w:t>+</w:t>
            </w:r>
            <w:r>
              <w:rPr>
                <w:rFonts w:hint="eastAsia" w:ascii="方正仿宋简体" w:hAnsi="宋体" w:eastAsia="方正仿宋简体" w:cs="方正仿宋简体"/>
                <w:color w:val="000000"/>
                <w:kern w:val="0"/>
                <w:sz w:val="28"/>
                <w:szCs w:val="28"/>
              </w:rPr>
              <w:t>积分银行”、“互联网</w:t>
            </w:r>
            <w:r>
              <w:rPr>
                <w:rFonts w:ascii="方正仿宋简体" w:hAnsi="宋体" w:eastAsia="方正仿宋简体" w:cs="方正仿宋简体"/>
                <w:color w:val="000000"/>
                <w:kern w:val="0"/>
                <w:sz w:val="28"/>
                <w:szCs w:val="28"/>
              </w:rPr>
              <w:t>+</w:t>
            </w:r>
            <w:r>
              <w:rPr>
                <w:rFonts w:hint="eastAsia" w:ascii="方正仿宋简体" w:hAnsi="宋体" w:eastAsia="方正仿宋简体" w:cs="方正仿宋简体"/>
                <w:color w:val="000000"/>
                <w:kern w:val="0"/>
                <w:sz w:val="28"/>
                <w:szCs w:val="28"/>
              </w:rPr>
              <w:t>教育”、“互联网</w:t>
            </w:r>
            <w:r>
              <w:rPr>
                <w:rFonts w:ascii="方正仿宋简体" w:hAnsi="宋体" w:eastAsia="方正仿宋简体" w:cs="方正仿宋简体"/>
                <w:color w:val="000000"/>
                <w:kern w:val="0"/>
                <w:sz w:val="28"/>
                <w:szCs w:val="28"/>
              </w:rPr>
              <w:t>+</w:t>
            </w:r>
            <w:r>
              <w:rPr>
                <w:rFonts w:hint="eastAsia" w:ascii="方正仿宋简体" w:hAnsi="宋体" w:eastAsia="方正仿宋简体" w:cs="方正仿宋简体"/>
                <w:color w:val="000000"/>
                <w:kern w:val="0"/>
                <w:sz w:val="28"/>
                <w:szCs w:val="28"/>
              </w:rPr>
              <w:t>体育”、贵池中小企业信息化服务平台等项目建设。</w:t>
            </w:r>
          </w:p>
          <w:p w14:paraId="2B8A8A28">
            <w:pPr>
              <w:spacing w:line="560" w:lineRule="exact"/>
              <w:ind w:firstLine="562" w:firstLineChars="200"/>
              <w:rPr>
                <w:rFonts w:ascii="方正仿宋简体" w:hAnsi="仿宋" w:eastAsia="方正仿宋简体"/>
                <w:sz w:val="32"/>
                <w:szCs w:val="32"/>
              </w:rPr>
            </w:pPr>
            <w:r>
              <w:rPr>
                <w:rFonts w:hint="eastAsia" w:ascii="方正楷体简体" w:hAnsi="宋体" w:eastAsia="方正楷体简体" w:cs="方正楷体简体"/>
                <w:b/>
                <w:bCs/>
                <w:color w:val="000000"/>
                <w:kern w:val="0"/>
                <w:sz w:val="28"/>
                <w:szCs w:val="28"/>
              </w:rPr>
              <w:t>发展高端装备制造业。</w:t>
            </w:r>
            <w:r>
              <w:rPr>
                <w:rFonts w:hint="eastAsia" w:ascii="方正仿宋简体" w:hAnsi="宋体" w:eastAsia="方正仿宋简体" w:cs="方正仿宋简体"/>
                <w:color w:val="000000"/>
                <w:kern w:val="0"/>
                <w:sz w:val="28"/>
                <w:szCs w:val="28"/>
              </w:rPr>
              <w:t>紧抓国家产业政策为高端装备制造业带来发展机遇，着力发展中高档数控机床和工业机器人为重点的智能装备及智能化生产线，适度发展大型机床和特色数控装备，全方位发展数控机床功能部件和配套件，力争在高端数控机床制造及其核心功能零部件配套领域掌握一批关键核心技术，建设一批示范性智能工厂和数字车间。突出发展数控机床产业集群，力争在中高端数控机床制造上培育具有较强影响力的领军企业、领军人才、知名品牌，把池州高新区建成国内知名的数控机床研发与制造基地。到</w:t>
            </w:r>
            <w:r>
              <w:rPr>
                <w:rFonts w:ascii="方正仿宋简体" w:hAnsi="宋体" w:eastAsia="方正仿宋简体" w:cs="方正仿宋简体"/>
                <w:color w:val="000000"/>
                <w:kern w:val="0"/>
                <w:sz w:val="28"/>
                <w:szCs w:val="28"/>
              </w:rPr>
              <w:t>2020</w:t>
            </w:r>
            <w:r>
              <w:rPr>
                <w:rFonts w:hint="eastAsia" w:ascii="方正仿宋简体" w:hAnsi="宋体" w:eastAsia="方正仿宋简体" w:cs="方正仿宋简体"/>
                <w:color w:val="000000"/>
                <w:kern w:val="0"/>
                <w:sz w:val="28"/>
                <w:szCs w:val="28"/>
              </w:rPr>
              <w:t>年，高端装备制造业实现产业链上下游企业总产值达到</w:t>
            </w:r>
            <w:r>
              <w:rPr>
                <w:rFonts w:ascii="方正仿宋简体" w:hAnsi="宋体" w:eastAsia="方正仿宋简体" w:cs="方正仿宋简体"/>
                <w:color w:val="000000"/>
                <w:kern w:val="0"/>
                <w:sz w:val="28"/>
                <w:szCs w:val="28"/>
              </w:rPr>
              <w:t>60</w:t>
            </w:r>
            <w:r>
              <w:rPr>
                <w:rFonts w:hint="eastAsia" w:ascii="方正仿宋简体" w:hAnsi="宋体" w:eastAsia="方正仿宋简体" w:cs="方正仿宋简体"/>
                <w:color w:val="000000"/>
                <w:kern w:val="0"/>
                <w:sz w:val="28"/>
                <w:szCs w:val="28"/>
              </w:rPr>
              <w:t>亿元。重点推动工业机器人制造、高端数控机床制造产业集聚发展基地、年产</w:t>
            </w:r>
            <w:r>
              <w:rPr>
                <w:rFonts w:ascii="方正仿宋简体" w:hAnsi="宋体" w:eastAsia="方正仿宋简体" w:cs="方正仿宋简体"/>
                <w:color w:val="000000"/>
                <w:kern w:val="0"/>
                <w:sz w:val="28"/>
                <w:szCs w:val="28"/>
              </w:rPr>
              <w:t>700</w:t>
            </w:r>
            <w:r>
              <w:rPr>
                <w:rFonts w:hint="eastAsia" w:ascii="方正仿宋简体" w:hAnsi="宋体" w:eastAsia="方正仿宋简体" w:cs="方正仿宋简体"/>
                <w:color w:val="000000"/>
                <w:kern w:val="0"/>
                <w:sz w:val="28"/>
                <w:szCs w:val="28"/>
              </w:rPr>
              <w:t>台汽车等速万向节专用数控机床产业化二期工程、年产</w:t>
            </w:r>
            <w:r>
              <w:rPr>
                <w:rFonts w:ascii="方正仿宋简体" w:hAnsi="宋体" w:eastAsia="方正仿宋简体" w:cs="方正仿宋简体"/>
                <w:color w:val="000000"/>
                <w:kern w:val="0"/>
                <w:sz w:val="28"/>
                <w:szCs w:val="28"/>
              </w:rPr>
              <w:t>2000</w:t>
            </w:r>
            <w:r>
              <w:rPr>
                <w:rFonts w:hint="eastAsia" w:ascii="方正仿宋简体" w:hAnsi="宋体" w:eastAsia="方正仿宋简体" w:cs="方正仿宋简体"/>
                <w:color w:val="000000"/>
                <w:kern w:val="0"/>
                <w:sz w:val="28"/>
                <w:szCs w:val="28"/>
              </w:rPr>
              <w:t>台高端数控机床、年产</w:t>
            </w:r>
            <w:r>
              <w:rPr>
                <w:rFonts w:ascii="方正仿宋简体" w:hAnsi="宋体" w:eastAsia="方正仿宋简体" w:cs="方正仿宋简体"/>
                <w:color w:val="000000"/>
                <w:kern w:val="0"/>
                <w:sz w:val="28"/>
                <w:szCs w:val="28"/>
              </w:rPr>
              <w:t>25</w:t>
            </w:r>
            <w:r>
              <w:rPr>
                <w:rFonts w:hint="eastAsia" w:ascii="方正仿宋简体" w:hAnsi="宋体" w:eastAsia="方正仿宋简体" w:cs="方正仿宋简体"/>
                <w:color w:val="000000"/>
                <w:kern w:val="0"/>
                <w:sz w:val="28"/>
                <w:szCs w:val="28"/>
              </w:rPr>
              <w:t>万套高档精密（</w:t>
            </w:r>
            <w:r>
              <w:rPr>
                <w:rFonts w:ascii="方正仿宋简体" w:hAnsi="宋体" w:eastAsia="方正仿宋简体" w:cs="方正仿宋简体"/>
                <w:color w:val="000000"/>
                <w:kern w:val="0"/>
                <w:sz w:val="28"/>
                <w:szCs w:val="28"/>
              </w:rPr>
              <w:t>P2</w:t>
            </w:r>
            <w:r>
              <w:rPr>
                <w:rFonts w:hint="eastAsia" w:ascii="方正仿宋简体" w:hAnsi="宋体" w:eastAsia="方正仿宋简体" w:cs="方正仿宋简体"/>
                <w:color w:val="000000"/>
                <w:kern w:val="0"/>
                <w:sz w:val="28"/>
                <w:szCs w:val="28"/>
              </w:rPr>
              <w:t>级）数控机床轴承、年产</w:t>
            </w:r>
            <w:r>
              <w:rPr>
                <w:rFonts w:ascii="方正仿宋简体" w:hAnsi="宋体" w:eastAsia="方正仿宋简体" w:cs="方正仿宋简体"/>
                <w:color w:val="000000"/>
                <w:kern w:val="0"/>
                <w:sz w:val="28"/>
                <w:szCs w:val="28"/>
              </w:rPr>
              <w:t>800</w:t>
            </w:r>
            <w:r>
              <w:rPr>
                <w:rFonts w:hint="eastAsia" w:ascii="方正仿宋简体" w:hAnsi="宋体" w:eastAsia="方正仿宋简体" w:cs="方正仿宋简体"/>
                <w:color w:val="000000"/>
                <w:kern w:val="0"/>
                <w:sz w:val="28"/>
                <w:szCs w:val="28"/>
              </w:rPr>
              <w:t>台高速高精度滚齿机、年产</w:t>
            </w:r>
            <w:r>
              <w:rPr>
                <w:rFonts w:ascii="方正仿宋简体" w:hAnsi="宋体" w:eastAsia="方正仿宋简体" w:cs="方正仿宋简体"/>
                <w:color w:val="000000"/>
                <w:kern w:val="0"/>
                <w:sz w:val="28"/>
                <w:szCs w:val="28"/>
              </w:rPr>
              <w:t>8000</w:t>
            </w:r>
            <w:r>
              <w:rPr>
                <w:rFonts w:hint="eastAsia" w:ascii="方正仿宋简体" w:hAnsi="宋体" w:eastAsia="方正仿宋简体" w:cs="方正仿宋简体"/>
                <w:color w:val="000000"/>
                <w:kern w:val="0"/>
                <w:sz w:val="28"/>
                <w:szCs w:val="28"/>
              </w:rPr>
              <w:t>台套钣金件、年产</w:t>
            </w:r>
            <w:r>
              <w:rPr>
                <w:rFonts w:ascii="方正仿宋简体" w:hAnsi="宋体" w:eastAsia="方正仿宋简体" w:cs="方正仿宋简体"/>
                <w:color w:val="000000"/>
                <w:kern w:val="0"/>
                <w:sz w:val="28"/>
                <w:szCs w:val="28"/>
              </w:rPr>
              <w:t>10</w:t>
            </w:r>
            <w:r>
              <w:rPr>
                <w:rFonts w:hint="eastAsia" w:ascii="方正仿宋简体" w:hAnsi="宋体" w:eastAsia="方正仿宋简体" w:cs="方正仿宋简体"/>
                <w:color w:val="000000"/>
                <w:kern w:val="0"/>
                <w:sz w:val="28"/>
                <w:szCs w:val="28"/>
              </w:rPr>
              <w:t>万吨精密铸造件、高精度微小型多轴数控车铣复合加工中心、年产</w:t>
            </w:r>
            <w:r>
              <w:rPr>
                <w:rFonts w:ascii="方正仿宋简体" w:hAnsi="宋体" w:eastAsia="方正仿宋简体" w:cs="方正仿宋简体"/>
                <w:color w:val="000000"/>
                <w:kern w:val="0"/>
                <w:sz w:val="28"/>
                <w:szCs w:val="28"/>
              </w:rPr>
              <w:t>1000</w:t>
            </w:r>
            <w:r>
              <w:rPr>
                <w:rFonts w:hint="eastAsia" w:ascii="方正仿宋简体" w:hAnsi="宋体" w:eastAsia="方正仿宋简体" w:cs="方正仿宋简体"/>
                <w:color w:val="000000"/>
                <w:kern w:val="0"/>
                <w:sz w:val="28"/>
                <w:szCs w:val="28"/>
              </w:rPr>
              <w:t>台通用高端数控机床和无人机研发制造等项目建设。</w:t>
            </w:r>
          </w:p>
          <w:p w14:paraId="2F4A3202">
            <w:pPr>
              <w:snapToGrid w:val="0"/>
              <w:spacing w:line="560" w:lineRule="exact"/>
              <w:ind w:firstLine="562" w:firstLineChars="200"/>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kern w:val="0"/>
                <w:sz w:val="28"/>
                <w:szCs w:val="28"/>
              </w:rPr>
              <w:t>发展节能环保产业。</w:t>
            </w:r>
            <w:r>
              <w:rPr>
                <w:rFonts w:hint="eastAsia" w:ascii="方正仿宋简体" w:hAnsi="宋体" w:eastAsia="方正仿宋简体" w:cs="方正仿宋简体"/>
                <w:color w:val="000000"/>
                <w:kern w:val="0"/>
                <w:sz w:val="28"/>
                <w:szCs w:val="28"/>
              </w:rPr>
              <w:t>坚持市场为需求、企业为主体、创新为核心，以节能产品为重点，以绿色制造服务为平台，大力提升绿色制造能力。重点推动国Ⅳ以上机动车尾气后处理催化剂和设备的研发生产及其产业化，工业固体废物回收利用、有毒有害废物处置、电子垃圾、生活垃圾处理技术及设备的研发应用。发展节能和环保服务业，增强产业技术创新和产业配套能力，提高企业节能管理水平。到</w:t>
            </w:r>
            <w:r>
              <w:rPr>
                <w:rFonts w:ascii="方正仿宋简体" w:hAnsi="宋体" w:eastAsia="方正仿宋简体" w:cs="方正仿宋简体"/>
                <w:color w:val="000000"/>
                <w:kern w:val="0"/>
                <w:sz w:val="28"/>
                <w:szCs w:val="28"/>
              </w:rPr>
              <w:t>2020</w:t>
            </w:r>
            <w:r>
              <w:rPr>
                <w:rFonts w:hint="eastAsia" w:ascii="方正仿宋简体" w:hAnsi="宋体" w:eastAsia="方正仿宋简体" w:cs="方正仿宋简体"/>
                <w:color w:val="000000"/>
                <w:kern w:val="0"/>
                <w:sz w:val="28"/>
                <w:szCs w:val="28"/>
              </w:rPr>
              <w:t>年，节能环保产业集聚发展，实现产值</w:t>
            </w:r>
            <w:r>
              <w:rPr>
                <w:rFonts w:ascii="方正仿宋简体" w:hAnsi="宋体" w:eastAsia="方正仿宋简体" w:cs="方正仿宋简体"/>
                <w:color w:val="000000"/>
                <w:kern w:val="0"/>
                <w:sz w:val="28"/>
                <w:szCs w:val="28"/>
              </w:rPr>
              <w:t>50</w:t>
            </w:r>
            <w:r>
              <w:rPr>
                <w:rFonts w:hint="eastAsia" w:ascii="方正仿宋简体" w:hAnsi="宋体" w:eastAsia="方正仿宋简体" w:cs="方正仿宋简体"/>
                <w:color w:val="000000"/>
                <w:kern w:val="0"/>
                <w:sz w:val="28"/>
                <w:szCs w:val="28"/>
              </w:rPr>
              <w:t>亿元。重点推动</w:t>
            </w:r>
            <w:r>
              <w:rPr>
                <w:rFonts w:ascii="方正仿宋简体" w:hAnsi="宋体" w:eastAsia="方正仿宋简体" w:cs="方正仿宋简体"/>
                <w:color w:val="000000"/>
                <w:kern w:val="0"/>
                <w:sz w:val="28"/>
                <w:szCs w:val="28"/>
              </w:rPr>
              <w:t>5</w:t>
            </w:r>
            <w:r>
              <w:rPr>
                <w:rFonts w:hint="eastAsia" w:ascii="方正仿宋简体" w:hAnsi="宋体" w:eastAsia="方正仿宋简体" w:cs="方正仿宋简体"/>
                <w:color w:val="000000"/>
                <w:kern w:val="0"/>
                <w:sz w:val="28"/>
                <w:szCs w:val="28"/>
              </w:rPr>
              <w:t>万立方中低温</w:t>
            </w:r>
            <w:r>
              <w:rPr>
                <w:rFonts w:ascii="方正仿宋简体" w:hAnsi="宋体" w:eastAsia="方正仿宋简体" w:cs="方正仿宋简体"/>
                <w:color w:val="000000"/>
                <w:kern w:val="0"/>
                <w:sz w:val="28"/>
                <w:szCs w:val="28"/>
              </w:rPr>
              <w:t>SCR</w:t>
            </w:r>
            <w:r>
              <w:rPr>
                <w:rFonts w:hint="eastAsia" w:ascii="方正仿宋简体" w:hAnsi="宋体" w:eastAsia="方正仿宋简体" w:cs="方正仿宋简体"/>
                <w:color w:val="000000"/>
                <w:kern w:val="0"/>
                <w:sz w:val="28"/>
                <w:szCs w:val="28"/>
              </w:rPr>
              <w:t>脱硝催化剂、高性能新型生物质活性炭材料、高品质电池原材料回收利用、</w:t>
            </w:r>
            <w:r>
              <w:rPr>
                <w:rFonts w:ascii="方正仿宋简体" w:hAnsi="宋体" w:eastAsia="方正仿宋简体" w:cs="方正仿宋简体"/>
                <w:color w:val="000000"/>
                <w:kern w:val="0"/>
                <w:sz w:val="28"/>
                <w:szCs w:val="28"/>
              </w:rPr>
              <w:t>2</w:t>
            </w:r>
            <w:r>
              <w:rPr>
                <w:rFonts w:hint="eastAsia" w:ascii="方正仿宋简体" w:hAnsi="宋体" w:eastAsia="方正仿宋简体" w:cs="方正仿宋简体"/>
                <w:color w:val="000000"/>
                <w:kern w:val="0"/>
                <w:sz w:val="28"/>
                <w:szCs w:val="28"/>
              </w:rPr>
              <w:t>万立方烟气脱硝催化剂再生、汽车铸造零部件和汽车铝压铸件等项目建设。</w:t>
            </w:r>
          </w:p>
          <w:p w14:paraId="0C24FD75">
            <w:pPr>
              <w:snapToGrid w:val="0"/>
              <w:spacing w:line="560" w:lineRule="exact"/>
              <w:ind w:firstLine="562" w:firstLineChars="200"/>
              <w:rPr>
                <w:rFonts w:ascii="方正仿宋简体" w:hAnsi="仿宋" w:eastAsia="方正仿宋简体"/>
                <w:sz w:val="32"/>
                <w:szCs w:val="32"/>
              </w:rPr>
            </w:pPr>
            <w:r>
              <w:rPr>
                <w:rFonts w:hint="eastAsia" w:ascii="方正楷体简体" w:hAnsi="宋体" w:eastAsia="方正楷体简体" w:cs="方正楷体简体"/>
                <w:b/>
                <w:bCs/>
                <w:color w:val="000000"/>
                <w:kern w:val="0"/>
                <w:sz w:val="28"/>
                <w:szCs w:val="28"/>
              </w:rPr>
              <w:t>发展新材料产业。</w:t>
            </w:r>
            <w:r>
              <w:rPr>
                <w:rFonts w:hint="eastAsia" w:ascii="方正仿宋简体" w:hAnsi="宋体" w:eastAsia="方正仿宋简体" w:cs="方正仿宋简体"/>
                <w:color w:val="000000"/>
                <w:kern w:val="0"/>
                <w:sz w:val="28"/>
                <w:szCs w:val="28"/>
              </w:rPr>
              <w:t>推动前江园区新材料产业集聚基地建设，重点发展高品质金属结构材料、高性能复合材料和前沿新材料等产业，着力打造“安徽省前江镍钴新材料产业集聚发展基地”和省级特色园区，形成产业集群和规模效应。到</w:t>
            </w:r>
            <w:r>
              <w:rPr>
                <w:rFonts w:ascii="方正仿宋简体" w:hAnsi="宋体" w:eastAsia="方正仿宋简体" w:cs="方正仿宋简体"/>
                <w:color w:val="000000"/>
                <w:kern w:val="0"/>
                <w:sz w:val="28"/>
                <w:szCs w:val="28"/>
              </w:rPr>
              <w:t>2020</w:t>
            </w:r>
            <w:r>
              <w:rPr>
                <w:rFonts w:hint="eastAsia" w:ascii="方正仿宋简体" w:hAnsi="宋体" w:eastAsia="方正仿宋简体" w:cs="方正仿宋简体"/>
                <w:color w:val="000000"/>
                <w:kern w:val="0"/>
                <w:sz w:val="28"/>
                <w:szCs w:val="28"/>
              </w:rPr>
              <w:t>年，将前江工业园区建设成为长江流域重要的金属新材料产业基地，实现镍钴新材料产业产值</w:t>
            </w:r>
            <w:r>
              <w:rPr>
                <w:rFonts w:ascii="方正仿宋简体" w:hAnsi="宋体" w:eastAsia="方正仿宋简体" w:cs="方正仿宋简体"/>
                <w:color w:val="000000"/>
                <w:kern w:val="0"/>
                <w:sz w:val="28"/>
                <w:szCs w:val="28"/>
              </w:rPr>
              <w:t>50</w:t>
            </w:r>
            <w:r>
              <w:rPr>
                <w:rFonts w:hint="eastAsia" w:ascii="方正仿宋简体" w:hAnsi="宋体" w:eastAsia="方正仿宋简体" w:cs="方正仿宋简体"/>
                <w:color w:val="000000"/>
                <w:kern w:val="0"/>
                <w:sz w:val="28"/>
                <w:szCs w:val="28"/>
              </w:rPr>
              <w:t>亿元。重点推动新材料产业园、中温固体氧化物燃料电池电解质材料、</w:t>
            </w:r>
            <w:r>
              <w:rPr>
                <w:rFonts w:ascii="方正仿宋简体" w:hAnsi="宋体" w:eastAsia="方正仿宋简体" w:cs="方正仿宋简体"/>
                <w:color w:val="000000"/>
                <w:kern w:val="0"/>
                <w:sz w:val="28"/>
                <w:szCs w:val="28"/>
              </w:rPr>
              <w:t>12</w:t>
            </w:r>
            <w:r>
              <w:rPr>
                <w:rFonts w:hint="eastAsia" w:ascii="方正仿宋简体" w:hAnsi="宋体" w:eastAsia="方正仿宋简体" w:cs="方正仿宋简体"/>
                <w:color w:val="000000"/>
                <w:kern w:val="0"/>
                <w:sz w:val="28"/>
                <w:szCs w:val="28"/>
              </w:rPr>
              <w:t>万吨复合脱硫剂、</w:t>
            </w:r>
            <w:r>
              <w:rPr>
                <w:rFonts w:ascii="方正仿宋简体" w:hAnsi="宋体" w:eastAsia="方正仿宋简体" w:cs="方正仿宋简体"/>
                <w:color w:val="000000"/>
                <w:kern w:val="0"/>
                <w:sz w:val="28"/>
                <w:szCs w:val="28"/>
              </w:rPr>
              <w:t>10</w:t>
            </w:r>
            <w:r>
              <w:rPr>
                <w:rFonts w:hint="eastAsia" w:ascii="方正仿宋简体" w:hAnsi="宋体" w:eastAsia="方正仿宋简体" w:cs="方正仿宋简体"/>
                <w:color w:val="000000"/>
                <w:kern w:val="0"/>
                <w:sz w:val="28"/>
                <w:szCs w:val="28"/>
              </w:rPr>
              <w:t>万吨氧化铁脱硫剂和年产</w:t>
            </w:r>
            <w:r>
              <w:rPr>
                <w:rFonts w:ascii="方正仿宋简体" w:hAnsi="宋体" w:eastAsia="方正仿宋简体" w:cs="方正仿宋简体"/>
                <w:color w:val="000000"/>
                <w:kern w:val="0"/>
                <w:sz w:val="28"/>
                <w:szCs w:val="28"/>
              </w:rPr>
              <w:t>32</w:t>
            </w:r>
            <w:r>
              <w:rPr>
                <w:rFonts w:hint="eastAsia" w:ascii="方正仿宋简体" w:hAnsi="宋体" w:eastAsia="方正仿宋简体" w:cs="方正仿宋简体"/>
                <w:color w:val="000000"/>
                <w:kern w:val="0"/>
                <w:sz w:val="28"/>
                <w:szCs w:val="28"/>
              </w:rPr>
              <w:t>万吨环保增塑剂等项目建设。</w:t>
            </w:r>
          </w:p>
        </w:tc>
      </w:tr>
    </w:tbl>
    <w:p w14:paraId="32640078">
      <w:pPr>
        <w:spacing w:line="620" w:lineRule="exact"/>
        <w:ind w:firstLine="640" w:firstLineChars="200"/>
        <w:rPr>
          <w:rFonts w:ascii="方正仿宋简体" w:hAnsi="仿宋" w:eastAsia="方正仿宋简体"/>
          <w:sz w:val="32"/>
          <w:szCs w:val="32"/>
        </w:rPr>
      </w:pPr>
    </w:p>
    <w:p w14:paraId="54B75256">
      <w:pPr>
        <w:pStyle w:val="4"/>
        <w:spacing w:after="60" w:line="480" w:lineRule="auto"/>
        <w:ind w:firstLine="643" w:firstLineChars="200"/>
        <w:jc w:val="left"/>
        <w:rPr>
          <w:rFonts w:ascii="方正仿宋简体" w:hAnsi="黑体" w:eastAsia="方正仿宋简体"/>
        </w:rPr>
      </w:pPr>
      <w:bookmarkStart w:id="60" w:name="_Toc449037218"/>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加快推进工业集聚发展</w:t>
      </w:r>
      <w:bookmarkEnd w:id="60"/>
    </w:p>
    <w:p w14:paraId="696D3B66">
      <w:pPr>
        <w:spacing w:line="620" w:lineRule="exact"/>
        <w:ind w:firstLine="640" w:firstLineChars="200"/>
        <w:rPr>
          <w:rFonts w:ascii="方正仿宋简体" w:hAnsi="仿宋" w:eastAsia="方正仿宋简体"/>
          <w:sz w:val="32"/>
          <w:szCs w:val="32"/>
        </w:rPr>
      </w:pPr>
      <w:r>
        <w:rPr>
          <w:rFonts w:hint="eastAsia" w:ascii="方正仿宋简体" w:hAnsi="仿宋" w:eastAsia="方正仿宋简体" w:cs="方正仿宋简体"/>
          <w:sz w:val="32"/>
          <w:szCs w:val="32"/>
        </w:rPr>
        <w:t>坚持集群发展、创新驱动、绿色集约、产城融合，推动园区由追求速度数量向追求质量效益转变、由同质化竞争向差异化发展转变，加快非矿产业转型升级。</w:t>
      </w:r>
    </w:p>
    <w:p w14:paraId="54DCB92F">
      <w:pPr>
        <w:spacing w:line="620" w:lineRule="exact"/>
        <w:ind w:firstLine="643" w:firstLineChars="200"/>
        <w:rPr>
          <w:rFonts w:ascii="方正仿宋简体" w:hAnsi="仿宋" w:eastAsia="方正仿宋简体"/>
          <w:sz w:val="32"/>
          <w:szCs w:val="32"/>
        </w:rPr>
      </w:pPr>
      <w:r>
        <w:rPr>
          <w:rFonts w:hint="eastAsia" w:ascii="方正楷体简体" w:hAnsi="宋体" w:eastAsia="方正楷体简体" w:cs="方正楷体简体"/>
          <w:b/>
          <w:bCs/>
          <w:kern w:val="0"/>
          <w:sz w:val="32"/>
          <w:szCs w:val="32"/>
        </w:rPr>
        <w:t>池州高新区。</w:t>
      </w:r>
      <w:r>
        <w:rPr>
          <w:rFonts w:hint="eastAsia" w:ascii="方正仿宋简体" w:hAnsi="仿宋" w:eastAsia="方正仿宋简体" w:cs="方正仿宋简体"/>
          <w:sz w:val="32"/>
          <w:szCs w:val="32"/>
        </w:rPr>
        <w:t>以争创国家级高新区、国家产城融合示范区为目标，重点发展新一代信息技术、高端装备制造、新材料、节能环保产业，推动高新技术产业集聚发展，加快科技孵化、检测、物流、培训、互联网等公共服务平台建设，强化对全区产业结构优化升级服务支撑。加快节能环保产业园、机械产业园、电子信息产业园等“园中园”建设。加大传统产业改造提升力度，引导园区内食品、机械零部件制造等企业优化产品结构、提升产品附加值、增强市场竞争力。加大对低效用地、资产处置力度，创新闲置土地、资产盘活方式。推进高新区与各镇街工业功能区在产业链布局、资源使用等方面形成良好的分工与协作。</w:t>
      </w:r>
    </w:p>
    <w:p w14:paraId="06F32815">
      <w:pPr>
        <w:spacing w:line="620" w:lineRule="exact"/>
        <w:ind w:firstLine="643" w:firstLineChars="200"/>
        <w:rPr>
          <w:rFonts w:ascii="方正仿宋简体" w:hAnsi="仿宋" w:eastAsia="方正仿宋简体"/>
          <w:sz w:val="32"/>
          <w:szCs w:val="32"/>
        </w:rPr>
      </w:pPr>
      <w:r>
        <w:rPr>
          <w:rFonts w:hint="eastAsia" w:ascii="方正楷体简体" w:hAnsi="宋体" w:eastAsia="方正楷体简体" w:cs="方正楷体简体"/>
          <w:b/>
          <w:bCs/>
          <w:kern w:val="0"/>
          <w:sz w:val="32"/>
          <w:szCs w:val="32"/>
        </w:rPr>
        <w:t>前江工业园区。</w:t>
      </w:r>
      <w:r>
        <w:rPr>
          <w:rFonts w:hint="eastAsia" w:ascii="方正仿宋简体" w:hAnsi="仿宋" w:eastAsia="方正仿宋简体" w:cs="方正仿宋简体"/>
          <w:sz w:val="32"/>
          <w:szCs w:val="32"/>
        </w:rPr>
        <w:t>以创建国家级循环经济示范园区和去筹转正为目标，走产城融合发展的路子。重点推动金属材料产业、新型功能材料产业、临港配套产业和循环化改造相关的绿色环保型产业集聚发展。加强科技孵化器、园区数据中心和综合服务平台等方面建设，发展生产性服务业。加快推进拆迁安置、基础设施建设、现代服务业设施和学校医院建设等工作，完善功能配套。</w:t>
      </w:r>
    </w:p>
    <w:p w14:paraId="38A5BDD4">
      <w:pPr>
        <w:spacing w:line="620" w:lineRule="exact"/>
        <w:ind w:firstLine="643" w:firstLineChars="200"/>
        <w:rPr>
          <w:rFonts w:ascii="方正仿宋简体" w:hAnsi="仿宋" w:eastAsia="方正仿宋简体"/>
          <w:sz w:val="32"/>
          <w:szCs w:val="32"/>
        </w:rPr>
      </w:pPr>
      <w:r>
        <w:rPr>
          <w:rFonts w:hint="eastAsia" w:ascii="方正楷体简体" w:hAnsi="宋体" w:eastAsia="方正楷体简体" w:cs="方正楷体简体"/>
          <w:b/>
          <w:bCs/>
          <w:kern w:val="0"/>
          <w:sz w:val="32"/>
          <w:szCs w:val="32"/>
        </w:rPr>
        <w:t>齐石线矿产品开采及精深加工产业带。</w:t>
      </w:r>
      <w:r>
        <w:rPr>
          <w:rFonts w:hint="eastAsia" w:ascii="方正仿宋简体" w:hAnsi="仿宋" w:eastAsia="方正仿宋简体" w:cs="方正仿宋简体"/>
          <w:sz w:val="32"/>
          <w:szCs w:val="32"/>
        </w:rPr>
        <w:t>棠溪、梅街、里山等镇街，重点推进新设采矿权矿山、完成整合矿山以及资源品质较高矿山等三类原矿开采企业新上深加工项目，推动矿产品加工由粗放开采、初级加工向科学开采、精深加工转型，提高矿产资源开发利用水平。</w:t>
      </w:r>
    </w:p>
    <w:p w14:paraId="53C39EF0">
      <w:pPr>
        <w:pStyle w:val="4"/>
        <w:spacing w:after="60" w:line="480" w:lineRule="auto"/>
        <w:ind w:firstLine="643" w:firstLineChars="200"/>
        <w:jc w:val="left"/>
        <w:rPr>
          <w:rFonts w:ascii="方正仿宋简体" w:hAnsi="黑体" w:eastAsia="方正仿宋简体"/>
        </w:rPr>
      </w:pPr>
      <w:bookmarkStart w:id="61" w:name="_Toc449037219"/>
      <w:r>
        <w:rPr>
          <w:rFonts w:hint="eastAsia" w:ascii="方正仿宋简体" w:hAnsi="黑体" w:eastAsia="方正仿宋简体" w:cs="方正仿宋简体"/>
        </w:rPr>
        <w:t>第四节</w:t>
      </w:r>
      <w:r>
        <w:rPr>
          <w:rFonts w:ascii="方正仿宋简体" w:hAnsi="黑体" w:eastAsia="方正仿宋简体" w:cs="方正仿宋简体"/>
        </w:rPr>
        <w:t xml:space="preserve">  </w:t>
      </w:r>
      <w:r>
        <w:rPr>
          <w:rFonts w:hint="eastAsia" w:ascii="方正仿宋简体" w:hAnsi="黑体" w:eastAsia="方正仿宋简体" w:cs="方正仿宋简体"/>
        </w:rPr>
        <w:t>创新工业经济发展路径</w:t>
      </w:r>
      <w:bookmarkEnd w:id="61"/>
    </w:p>
    <w:p w14:paraId="310CA424">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着力加强企业培育。</w:t>
      </w:r>
      <w:r>
        <w:rPr>
          <w:rFonts w:hint="eastAsia" w:ascii="方正仿宋简体" w:hAnsi="宋体" w:eastAsia="方正仿宋简体" w:cs="方正仿宋简体"/>
          <w:kern w:val="0"/>
          <w:sz w:val="32"/>
          <w:szCs w:val="32"/>
        </w:rPr>
        <w:t>培育大企业、扶持中小企业，推动大中小企业协调发展。按照政策向龙头倾斜、资源向龙头集中、招商向龙头集聚的工作思路，实施“龙头企业倍增计划”，支持龙头企业技改扩能、创新创牌、合作重组、股改上市，促进提档升级、裂变发展。完善中小企业服务体系，加大对成长型企业扶持力度，引导中小企业走“专、精、特、新”的发展路子。全面落实创业扶持政策，推进创业基地建设，推动更多社会成员兴办经济实体，力争“十三五”期间每年新增私营企业</w:t>
      </w:r>
      <w:r>
        <w:rPr>
          <w:rFonts w:ascii="方正仿宋简体" w:hAnsi="宋体" w:eastAsia="方正仿宋简体" w:cs="方正仿宋简体"/>
          <w:kern w:val="0"/>
          <w:sz w:val="32"/>
          <w:szCs w:val="32"/>
        </w:rPr>
        <w:t>600</w:t>
      </w:r>
      <w:r>
        <w:rPr>
          <w:rFonts w:hint="eastAsia" w:ascii="方正仿宋简体" w:hAnsi="宋体" w:eastAsia="方正仿宋简体" w:cs="方正仿宋简体"/>
          <w:kern w:val="0"/>
          <w:sz w:val="32"/>
          <w:szCs w:val="32"/>
        </w:rPr>
        <w:t>户以上。</w:t>
      </w:r>
    </w:p>
    <w:p w14:paraId="3FB1B2AF">
      <w:pPr>
        <w:spacing w:line="620" w:lineRule="exact"/>
        <w:ind w:firstLine="643" w:firstLineChars="200"/>
        <w:rPr>
          <w:rFonts w:ascii="方正仿宋简体" w:hAnsi="宋体" w:eastAsia="方正仿宋简体"/>
          <w:color w:val="000000"/>
          <w:sz w:val="32"/>
          <w:szCs w:val="32"/>
        </w:rPr>
      </w:pPr>
      <w:r>
        <w:rPr>
          <w:rFonts w:hint="eastAsia" w:ascii="方正楷体简体" w:hAnsi="宋体" w:eastAsia="方正楷体简体" w:cs="方正楷体简体"/>
          <w:b/>
          <w:bCs/>
          <w:kern w:val="0"/>
          <w:sz w:val="32"/>
          <w:szCs w:val="32"/>
        </w:rPr>
        <w:t>着力增加有效投资。</w:t>
      </w:r>
      <w:r>
        <w:rPr>
          <w:rFonts w:hint="eastAsia" w:ascii="方正仿宋简体" w:hAnsi="宋体" w:eastAsia="方正仿宋简体" w:cs="方正仿宋简体"/>
          <w:kern w:val="0"/>
          <w:sz w:val="32"/>
          <w:szCs w:val="32"/>
        </w:rPr>
        <w:t>深入推进与央企、知名民企和皖粤经贸合作，重点加强与全国</w:t>
      </w:r>
      <w:r>
        <w:rPr>
          <w:rFonts w:ascii="方正仿宋简体" w:hAnsi="宋体" w:eastAsia="方正仿宋简体" w:cs="方正仿宋简体"/>
          <w:kern w:val="0"/>
          <w:sz w:val="32"/>
          <w:szCs w:val="32"/>
        </w:rPr>
        <w:t>500</w:t>
      </w:r>
      <w:r>
        <w:rPr>
          <w:rFonts w:hint="eastAsia" w:ascii="方正仿宋简体" w:hAnsi="宋体" w:eastAsia="方正仿宋简体" w:cs="方正仿宋简体"/>
          <w:kern w:val="0"/>
          <w:sz w:val="32"/>
          <w:szCs w:val="32"/>
        </w:rPr>
        <w:t>强、大型央企、上市公司对接合作，开展从龙头到配套企业的产业链招商，着力引进一批具有牵动力、支撑力和辐射力的龙头型、基地型项目。实施“百户企业升级计划”，积极运用先进技术改造提升低端产业，每年选择</w:t>
      </w:r>
      <w:r>
        <w:rPr>
          <w:rFonts w:ascii="方正仿宋简体" w:hAnsi="宋体" w:eastAsia="方正仿宋简体" w:cs="方正仿宋简体"/>
          <w:kern w:val="0"/>
          <w:sz w:val="32"/>
          <w:szCs w:val="32"/>
        </w:rPr>
        <w:t>40</w:t>
      </w:r>
      <w:r>
        <w:rPr>
          <w:rFonts w:hint="eastAsia" w:ascii="方正仿宋简体" w:hAnsi="宋体" w:eastAsia="方正仿宋简体" w:cs="方正仿宋简体"/>
          <w:kern w:val="0"/>
          <w:sz w:val="32"/>
          <w:szCs w:val="32"/>
        </w:rPr>
        <w:t>户重点企业，每户企业至少实施一个总投资</w:t>
      </w:r>
      <w:r>
        <w:rPr>
          <w:rFonts w:ascii="方正仿宋简体" w:hAnsi="宋体" w:eastAsia="方正仿宋简体" w:cs="方正仿宋简体"/>
          <w:kern w:val="0"/>
          <w:sz w:val="32"/>
          <w:szCs w:val="32"/>
        </w:rPr>
        <w:t>2000</w:t>
      </w:r>
      <w:r>
        <w:rPr>
          <w:rFonts w:hint="eastAsia" w:ascii="方正仿宋简体" w:hAnsi="宋体" w:eastAsia="方正仿宋简体" w:cs="方正仿宋简体"/>
          <w:kern w:val="0"/>
          <w:sz w:val="32"/>
          <w:szCs w:val="32"/>
        </w:rPr>
        <w:t>万元以上技改项目，力争到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年，全区完成</w:t>
      </w:r>
      <w:r>
        <w:rPr>
          <w:rFonts w:ascii="方正仿宋简体" w:hAnsi="宋体" w:eastAsia="方正仿宋简体" w:cs="方正仿宋简体"/>
          <w:kern w:val="0"/>
          <w:sz w:val="32"/>
          <w:szCs w:val="32"/>
        </w:rPr>
        <w:t>200</w:t>
      </w:r>
      <w:r>
        <w:rPr>
          <w:rFonts w:hint="eastAsia" w:ascii="方正仿宋简体" w:hAnsi="宋体" w:eastAsia="方正仿宋简体" w:cs="方正仿宋简体"/>
          <w:kern w:val="0"/>
          <w:sz w:val="32"/>
          <w:szCs w:val="32"/>
        </w:rPr>
        <w:t>户企业升级改造，技术改造投入</w:t>
      </w:r>
      <w:r>
        <w:rPr>
          <w:rFonts w:ascii="方正仿宋简体" w:hAnsi="宋体" w:eastAsia="方正仿宋简体" w:cs="方正仿宋简体"/>
          <w:kern w:val="0"/>
          <w:sz w:val="32"/>
          <w:szCs w:val="32"/>
        </w:rPr>
        <w:t>200</w:t>
      </w:r>
      <w:r>
        <w:rPr>
          <w:rFonts w:hint="eastAsia" w:ascii="方正仿宋简体" w:hAnsi="宋体" w:eastAsia="方正仿宋简体" w:cs="方正仿宋简体"/>
          <w:kern w:val="0"/>
          <w:sz w:val="32"/>
          <w:szCs w:val="32"/>
        </w:rPr>
        <w:t>亿元以上。继续开展项目建设集中推进活动，围绕项目筹备、开工、建设、投产等环节，实行全过程动态跟踪服务，突破项目征迁、规划及建设报批等关键节点，以高强度、高质量的投入促进工业经济的新跨越。</w:t>
      </w:r>
    </w:p>
    <w:p w14:paraId="66CFB9AD">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着力推动技术创新。</w:t>
      </w:r>
      <w:r>
        <w:rPr>
          <w:rFonts w:hint="eastAsia" w:ascii="方正仿宋简体" w:hAnsi="宋体" w:eastAsia="方正仿宋简体" w:cs="方正仿宋简体"/>
          <w:kern w:val="0"/>
          <w:sz w:val="32"/>
          <w:szCs w:val="32"/>
        </w:rPr>
        <w:t>构筑企业创新平台。鼓励和引导企业加大研发投入，积极培育企业技术中心、重点实验室、工程技术研究中心、科技孵化器等研发载体，力争到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年，规上工业企业研发机构覆盖率达到</w:t>
      </w:r>
      <w:r>
        <w:rPr>
          <w:rFonts w:ascii="方正仿宋简体" w:hAnsi="宋体" w:eastAsia="方正仿宋简体" w:cs="方正仿宋简体"/>
          <w:kern w:val="0"/>
          <w:sz w:val="32"/>
          <w:szCs w:val="32"/>
        </w:rPr>
        <w:t>50%</w:t>
      </w:r>
      <w:r>
        <w:rPr>
          <w:rFonts w:hint="eastAsia" w:ascii="方正仿宋简体" w:hAnsi="宋体" w:eastAsia="方正仿宋简体" w:cs="方正仿宋简体"/>
          <w:kern w:val="0"/>
          <w:sz w:val="32"/>
          <w:szCs w:val="32"/>
        </w:rPr>
        <w:t>，省级以上创新平台</w:t>
      </w:r>
      <w:r>
        <w:rPr>
          <w:rFonts w:hint="eastAsia" w:ascii="方正仿宋简体" w:hAnsi="宋体" w:eastAsia="方正仿宋简体" w:cs="方正仿宋简体"/>
          <w:color w:val="FF0000"/>
          <w:kern w:val="0"/>
          <w:sz w:val="32"/>
          <w:szCs w:val="32"/>
        </w:rPr>
        <w:t>达到</w:t>
      </w:r>
      <w:r>
        <w:rPr>
          <w:rFonts w:ascii="方正仿宋简体" w:hAnsi="宋体" w:eastAsia="方正仿宋简体" w:cs="方正仿宋简体"/>
          <w:kern w:val="0"/>
          <w:sz w:val="32"/>
          <w:szCs w:val="32"/>
        </w:rPr>
        <w:t>60</w:t>
      </w:r>
      <w:r>
        <w:rPr>
          <w:rFonts w:hint="eastAsia" w:ascii="方正仿宋简体" w:hAnsi="宋体" w:eastAsia="方正仿宋简体" w:cs="方正仿宋简体"/>
          <w:kern w:val="0"/>
          <w:sz w:val="32"/>
          <w:szCs w:val="32"/>
        </w:rPr>
        <w:t>家。推进产学研合作。鼓励企业加大与高等院校和科研院所的产学研合作，通过购买专利、委托开发、合作开发、共建技术开发机构、联办科技型实体等多种途径，促进具有自主知识产权核心技术的形成和主导产品的开发。强化企业基础管理。推动落实企业质量主体责任，推广先进质量管理方法，加强企业诚信体系、标准体系和质量管理体系建设。</w:t>
      </w:r>
    </w:p>
    <w:p w14:paraId="21BFBB68">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着力推行智能制造。</w:t>
      </w:r>
      <w:r>
        <w:rPr>
          <w:rFonts w:hint="eastAsia" w:ascii="方正仿宋简体" w:hAnsi="宋体" w:eastAsia="方正仿宋简体" w:cs="方正仿宋简体"/>
          <w:kern w:val="0"/>
          <w:sz w:val="32"/>
          <w:szCs w:val="32"/>
        </w:rPr>
        <w:t>推进云计算、大数据、物联网等新一代信息技术深度应用，不断提高两化融合的层次和水平。推进信息技术与制造环节的融合，实施“互联网＋”协同制造，推动生产装备数字化和生产过程智能化改造，鼓励引进工业机器人，推进生产制造设备联网和智能管控，逐步推广重点行业数字化车间，开展智能工厂试点建设。推进信息技术与企业经营的融合，积极做好信息技术在企业研发、经营、管理、销售等关键环节的应用，全面普及企业资源计划、供应链、客户关系等管理信息系统，推进电子商务和供应链管理协同发展，以集成应用促进业务流程优化，推动企业管理创新。继续实施“两化”融合贯标试点，支持行业和园区开展企业对标，加强示范企业带动，促进企业核心竞争力整体提高。力争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年，新增“两化融合”省级示范企业</w:t>
      </w:r>
      <w:r>
        <w:rPr>
          <w:rFonts w:ascii="方正仿宋简体" w:hAnsi="宋体" w:eastAsia="方正仿宋简体" w:cs="方正仿宋简体"/>
          <w:kern w:val="0"/>
          <w:sz w:val="32"/>
          <w:szCs w:val="32"/>
        </w:rPr>
        <w:t>10</w:t>
      </w:r>
      <w:r>
        <w:rPr>
          <w:rFonts w:hint="eastAsia" w:ascii="方正仿宋简体" w:hAnsi="宋体" w:eastAsia="方正仿宋简体" w:cs="方正仿宋简体"/>
          <w:kern w:val="0"/>
          <w:sz w:val="32"/>
          <w:szCs w:val="32"/>
        </w:rPr>
        <w:t>户，中小企业应用</w:t>
      </w:r>
      <w:r>
        <w:fldChar w:fldCharType="begin"/>
      </w:r>
      <w:r>
        <w:instrText xml:space="preserve"> HYPERLINK "http://cpro.baidu.com/cpro/ui/uijs.php?adclass=0&amp;app_id=0&amp;c=news&amp;cf=1001&amp;ch=0&amp;di=128&amp;fv=17&amp;is_app=0&amp;jk=9648d99bb4d1bbe7&amp;k=%D0%C5%CF%A2%BC%BC%CA%F5&amp;k0=%D0%C5%CF%A2%BC%BC%CA%F5&amp;kdi0=0&amp;luki=1&amp;n=10&amp;p=baidu&amp;q=65071150_cpr&amp;rb=0&amp;rs=1&amp;seller_id=1&amp;sid=e7bbd1b49bd94896&amp;ssp2=1&amp;stid=0&amp;t=tpclicked3_hc&amp;td=1837471&amp;tu=u1837471&amp;u=http%3A%2F%2Fwww%2Egood7651%2Ecom%2Fnews%2F201504%2F23%2F147841%2Ehtml&amp;urlid=0" \t "_blank" </w:instrText>
      </w:r>
      <w:r>
        <w:fldChar w:fldCharType="separate"/>
      </w:r>
      <w:r>
        <w:rPr>
          <w:rFonts w:hint="eastAsia" w:ascii="方正仿宋简体" w:hAnsi="宋体" w:eastAsia="方正仿宋简体" w:cs="方正仿宋简体"/>
          <w:kern w:val="0"/>
          <w:sz w:val="32"/>
          <w:szCs w:val="32"/>
        </w:rPr>
        <w:t>信息技术</w:t>
      </w:r>
      <w:r>
        <w:rPr>
          <w:rFonts w:hint="eastAsia" w:ascii="方正仿宋简体" w:hAnsi="宋体" w:eastAsia="方正仿宋简体" w:cs="方正仿宋简体"/>
          <w:kern w:val="0"/>
          <w:sz w:val="32"/>
          <w:szCs w:val="32"/>
        </w:rPr>
        <w:fldChar w:fldCharType="end"/>
      </w:r>
      <w:r>
        <w:rPr>
          <w:rFonts w:hint="eastAsia" w:ascii="方正仿宋简体" w:hAnsi="宋体" w:eastAsia="方正仿宋简体" w:cs="方正仿宋简体"/>
          <w:kern w:val="0"/>
          <w:sz w:val="32"/>
          <w:szCs w:val="32"/>
        </w:rPr>
        <w:t>的比例达到</w:t>
      </w:r>
      <w:r>
        <w:rPr>
          <w:rFonts w:ascii="方正仿宋简体" w:hAnsi="宋体" w:eastAsia="方正仿宋简体" w:cs="方正仿宋简体"/>
          <w:kern w:val="0"/>
          <w:sz w:val="32"/>
          <w:szCs w:val="32"/>
        </w:rPr>
        <w:t xml:space="preserve">60% </w:t>
      </w:r>
      <w:r>
        <w:rPr>
          <w:rFonts w:hint="eastAsia" w:ascii="方正仿宋简体" w:hAnsi="宋体" w:eastAsia="方正仿宋简体" w:cs="方正仿宋简体"/>
          <w:kern w:val="0"/>
          <w:sz w:val="32"/>
          <w:szCs w:val="32"/>
        </w:rPr>
        <w:t>，应用电子商务开展采购、销售等业务的比例达到</w:t>
      </w:r>
      <w:r>
        <w:rPr>
          <w:rFonts w:ascii="方正仿宋简体" w:hAnsi="宋体" w:eastAsia="方正仿宋简体" w:cs="方正仿宋简体"/>
          <w:kern w:val="0"/>
          <w:sz w:val="32"/>
          <w:szCs w:val="32"/>
        </w:rPr>
        <w:t>70%</w:t>
      </w:r>
      <w:r>
        <w:rPr>
          <w:rFonts w:hint="eastAsia" w:ascii="方正仿宋简体" w:hAnsi="宋体" w:eastAsia="方正仿宋简体" w:cs="方正仿宋简体"/>
          <w:kern w:val="0"/>
          <w:sz w:val="32"/>
          <w:szCs w:val="32"/>
        </w:rPr>
        <w:t>，规上工业企业数控技术应用率达到</w:t>
      </w:r>
      <w:r>
        <w:rPr>
          <w:rFonts w:ascii="方正仿宋简体" w:hAnsi="宋体" w:eastAsia="方正仿宋简体" w:cs="方正仿宋简体"/>
          <w:kern w:val="0"/>
          <w:sz w:val="32"/>
          <w:szCs w:val="32"/>
        </w:rPr>
        <w:t>80%</w:t>
      </w:r>
      <w:r>
        <w:rPr>
          <w:rFonts w:hint="eastAsia" w:ascii="方正仿宋简体" w:hAnsi="宋体" w:eastAsia="方正仿宋简体" w:cs="方正仿宋简体"/>
          <w:kern w:val="0"/>
          <w:sz w:val="32"/>
          <w:szCs w:val="32"/>
        </w:rPr>
        <w:t>以上。</w:t>
      </w:r>
    </w:p>
    <w:p w14:paraId="52BE6662">
      <w:pPr>
        <w:spacing w:before="240" w:after="240" w:line="360" w:lineRule="auto"/>
        <w:ind w:firstLine="560" w:firstLineChars="200"/>
        <w:rPr>
          <w:rFonts w:ascii="仿宋_GB2312" w:hAnsi="宋体" w:eastAsia="仿宋_GB2312"/>
          <w:kern w:val="0"/>
          <w:sz w:val="28"/>
          <w:szCs w:val="28"/>
        </w:rPr>
      </w:pPr>
    </w:p>
    <w:p w14:paraId="7CA36B4A">
      <w:pPr>
        <w:pStyle w:val="3"/>
        <w:spacing w:after="120" w:line="480" w:lineRule="auto"/>
        <w:ind w:firstLine="640" w:firstLineChars="200"/>
        <w:jc w:val="left"/>
        <w:rPr>
          <w:rFonts w:ascii="方正黑体简体" w:hAnsi="黑体" w:eastAsia="方正黑体简体" w:cs="Times New Roman"/>
          <w:b w:val="0"/>
          <w:bCs w:val="0"/>
        </w:rPr>
      </w:pPr>
      <w:bookmarkStart w:id="62" w:name="_Toc449037220"/>
      <w:bookmarkStart w:id="63" w:name="_Toc432670953"/>
      <w:r>
        <w:rPr>
          <w:rFonts w:hint="eastAsia" w:ascii="方正黑体简体" w:hAnsi="黑体" w:eastAsia="方正黑体简体" w:cs="方正黑体简体"/>
          <w:b w:val="0"/>
          <w:bCs w:val="0"/>
        </w:rPr>
        <w:t>第五章</w:t>
      </w:r>
      <w:r>
        <w:rPr>
          <w:rFonts w:ascii="方正黑体简体" w:hAnsi="黑体" w:eastAsia="方正黑体简体" w:cs="方正黑体简体"/>
          <w:b w:val="0"/>
          <w:bCs w:val="0"/>
        </w:rPr>
        <w:t xml:space="preserve"> </w:t>
      </w:r>
      <w:r>
        <w:rPr>
          <w:rFonts w:ascii="方正黑体简体" w:hAnsi="黑体" w:eastAsia="方正黑体简体" w:cs="方正黑体简体"/>
          <w:b w:val="0"/>
          <w:bCs w:val="0"/>
          <w:color w:val="000000"/>
        </w:rPr>
        <w:t xml:space="preserve"> </w:t>
      </w:r>
      <w:r>
        <w:rPr>
          <w:rFonts w:hint="eastAsia" w:ascii="方正黑体简体" w:hAnsi="黑体" w:eastAsia="方正黑体简体" w:cs="方正黑体简体"/>
          <w:b w:val="0"/>
          <w:bCs w:val="0"/>
          <w:color w:val="000000"/>
        </w:rPr>
        <w:t>放大地域特色优势，</w:t>
      </w:r>
      <w:r>
        <w:rPr>
          <w:rFonts w:hint="eastAsia" w:ascii="方正黑体简体" w:hAnsi="黑体" w:eastAsia="方正黑体简体" w:cs="方正黑体简体"/>
          <w:b w:val="0"/>
          <w:bCs w:val="0"/>
          <w:color w:val="000000"/>
          <w:spacing w:val="-4"/>
        </w:rPr>
        <w:t>推动旅游业全域化发展</w:t>
      </w:r>
      <w:bookmarkEnd w:id="62"/>
    </w:p>
    <w:p w14:paraId="59270389">
      <w:pPr>
        <w:spacing w:line="620" w:lineRule="exact"/>
        <w:ind w:firstLine="604" w:firstLineChars="189"/>
        <w:rPr>
          <w:rFonts w:ascii="方正仿宋简体" w:hAnsi="宋体" w:eastAsia="方正仿宋简体"/>
          <w:kern w:val="0"/>
          <w:sz w:val="32"/>
          <w:szCs w:val="32"/>
        </w:rPr>
      </w:pPr>
      <w:r>
        <w:rPr>
          <w:rFonts w:hint="eastAsia" w:ascii="方正仿宋简体" w:hAnsi="宋体" w:eastAsia="方正仿宋简体" w:cs="方正仿宋简体"/>
          <w:kern w:val="0"/>
          <w:sz w:val="32"/>
          <w:szCs w:val="32"/>
        </w:rPr>
        <w:t>树立全域旅游理念，围绕“一心四带”，以美丽乡村民俗体验为空间拓展，打造集观光、休闲、度假、养生、体验等为一体的一站式的全域全景全时的国际生态休闲旅游区。创新体制机制，坚持政府主导、精品带动、集约化经营、区域联动、创新引领，全面推进旅游业向观光休闲度假并重、质量效益双增长转变，实现旅游业升级换代，打造国家生态文化旅游示范区。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年，创建旅游休闲度假区</w:t>
      </w:r>
      <w:r>
        <w:rPr>
          <w:rFonts w:ascii="方正仿宋简体" w:hAnsi="宋体" w:eastAsia="方正仿宋简体" w:cs="方正仿宋简体"/>
          <w:kern w:val="0"/>
          <w:sz w:val="32"/>
          <w:szCs w:val="32"/>
        </w:rPr>
        <w:t>2</w:t>
      </w:r>
      <w:r>
        <w:rPr>
          <w:rFonts w:hint="eastAsia" w:ascii="方正仿宋简体" w:hAnsi="宋体" w:eastAsia="方正仿宋简体" w:cs="方正仿宋简体"/>
          <w:kern w:val="0"/>
          <w:sz w:val="32"/>
          <w:szCs w:val="32"/>
        </w:rPr>
        <w:t>个（其中：国家级旅游休闲度假区</w:t>
      </w:r>
      <w:r>
        <w:rPr>
          <w:rFonts w:ascii="方正仿宋简体" w:hAnsi="宋体" w:eastAsia="方正仿宋简体" w:cs="方正仿宋简体"/>
          <w:kern w:val="0"/>
          <w:sz w:val="32"/>
          <w:szCs w:val="32"/>
        </w:rPr>
        <w:t>1</w:t>
      </w:r>
      <w:r>
        <w:rPr>
          <w:rFonts w:hint="eastAsia" w:ascii="方正仿宋简体" w:hAnsi="宋体" w:eastAsia="方正仿宋简体" w:cs="方正仿宋简体"/>
          <w:kern w:val="0"/>
          <w:sz w:val="32"/>
          <w:szCs w:val="32"/>
        </w:rPr>
        <w:t>个）、</w:t>
      </w:r>
      <w:r>
        <w:rPr>
          <w:rFonts w:ascii="方正仿宋简体" w:hAnsi="宋体" w:eastAsia="方正仿宋简体" w:cs="方正仿宋简体"/>
          <w:kern w:val="0"/>
          <w:sz w:val="32"/>
          <w:szCs w:val="32"/>
        </w:rPr>
        <w:t>A</w:t>
      </w:r>
      <w:r>
        <w:rPr>
          <w:rFonts w:hint="eastAsia" w:ascii="方正仿宋简体" w:hAnsi="宋体" w:eastAsia="方正仿宋简体" w:cs="方正仿宋简体"/>
          <w:kern w:val="0"/>
          <w:sz w:val="32"/>
          <w:szCs w:val="32"/>
        </w:rPr>
        <w:t>级以上旅游景区</w:t>
      </w:r>
      <w:r>
        <w:rPr>
          <w:rFonts w:ascii="方正仿宋简体" w:hAnsi="宋体" w:eastAsia="方正仿宋简体" w:cs="方正仿宋简体"/>
          <w:kern w:val="0"/>
          <w:sz w:val="32"/>
          <w:szCs w:val="32"/>
        </w:rPr>
        <w:t>16</w:t>
      </w:r>
      <w:r>
        <w:rPr>
          <w:rFonts w:hint="eastAsia" w:ascii="方正仿宋简体" w:hAnsi="宋体" w:eastAsia="方正仿宋简体" w:cs="方正仿宋简体"/>
          <w:kern w:val="0"/>
          <w:sz w:val="32"/>
          <w:szCs w:val="32"/>
        </w:rPr>
        <w:t>个（其中：</w:t>
      </w:r>
      <w:r>
        <w:rPr>
          <w:rFonts w:ascii="方正仿宋简体" w:hAnsi="宋体" w:eastAsia="方正仿宋简体" w:cs="方正仿宋简体"/>
          <w:kern w:val="0"/>
          <w:sz w:val="32"/>
          <w:szCs w:val="32"/>
        </w:rPr>
        <w:t>5A</w:t>
      </w:r>
      <w:r>
        <w:rPr>
          <w:rFonts w:hint="eastAsia" w:ascii="方正仿宋简体" w:hAnsi="宋体" w:eastAsia="方正仿宋简体" w:cs="方正仿宋简体"/>
          <w:kern w:val="0"/>
          <w:sz w:val="32"/>
          <w:szCs w:val="32"/>
        </w:rPr>
        <w:t>级景区</w:t>
      </w:r>
      <w:r>
        <w:rPr>
          <w:rFonts w:ascii="方正仿宋简体" w:hAnsi="宋体" w:eastAsia="方正仿宋简体" w:cs="方正仿宋简体"/>
          <w:kern w:val="0"/>
          <w:sz w:val="32"/>
          <w:szCs w:val="32"/>
        </w:rPr>
        <w:t>1</w:t>
      </w:r>
      <w:r>
        <w:rPr>
          <w:rFonts w:hint="eastAsia" w:ascii="方正仿宋简体" w:hAnsi="宋体" w:eastAsia="方正仿宋简体" w:cs="方正仿宋简体"/>
          <w:kern w:val="0"/>
          <w:sz w:val="32"/>
          <w:szCs w:val="32"/>
        </w:rPr>
        <w:t>个，</w:t>
      </w:r>
      <w:r>
        <w:rPr>
          <w:rFonts w:ascii="方正仿宋简体" w:hAnsi="宋体" w:eastAsia="方正仿宋简体" w:cs="方正仿宋简体"/>
          <w:kern w:val="0"/>
          <w:sz w:val="32"/>
          <w:szCs w:val="32"/>
        </w:rPr>
        <w:t>4A</w:t>
      </w:r>
      <w:r>
        <w:rPr>
          <w:rFonts w:hint="eastAsia" w:ascii="方正仿宋简体" w:hAnsi="宋体" w:eastAsia="方正仿宋简体" w:cs="方正仿宋简体"/>
          <w:kern w:val="0"/>
          <w:sz w:val="32"/>
          <w:szCs w:val="32"/>
        </w:rPr>
        <w:t>级景区</w:t>
      </w:r>
      <w:r>
        <w:rPr>
          <w:rFonts w:ascii="方正仿宋简体" w:hAnsi="宋体" w:eastAsia="方正仿宋简体" w:cs="方正仿宋简体"/>
          <w:kern w:val="0"/>
          <w:sz w:val="32"/>
          <w:szCs w:val="32"/>
        </w:rPr>
        <w:t>8</w:t>
      </w:r>
      <w:r>
        <w:rPr>
          <w:rFonts w:hint="eastAsia" w:ascii="方正仿宋简体" w:hAnsi="宋体" w:eastAsia="方正仿宋简体" w:cs="方正仿宋简体"/>
          <w:kern w:val="0"/>
          <w:sz w:val="32"/>
          <w:szCs w:val="32"/>
        </w:rPr>
        <w:t>个），星级饭店达</w:t>
      </w:r>
      <w:r>
        <w:rPr>
          <w:rFonts w:ascii="方正仿宋简体" w:hAnsi="宋体" w:eastAsia="方正仿宋简体" w:cs="方正仿宋简体"/>
          <w:kern w:val="0"/>
          <w:sz w:val="32"/>
          <w:szCs w:val="32"/>
        </w:rPr>
        <w:t>20</w:t>
      </w:r>
      <w:r>
        <w:rPr>
          <w:rFonts w:hint="eastAsia" w:ascii="方正仿宋简体" w:hAnsi="宋体" w:eastAsia="方正仿宋简体" w:cs="方正仿宋简体"/>
          <w:kern w:val="0"/>
          <w:sz w:val="32"/>
          <w:szCs w:val="32"/>
        </w:rPr>
        <w:t>家，星级农家乐达</w:t>
      </w:r>
      <w:r>
        <w:rPr>
          <w:rFonts w:ascii="方正仿宋简体" w:hAnsi="宋体" w:eastAsia="方正仿宋简体" w:cs="方正仿宋简体"/>
          <w:kern w:val="0"/>
          <w:sz w:val="32"/>
          <w:szCs w:val="32"/>
        </w:rPr>
        <w:t>100</w:t>
      </w:r>
      <w:r>
        <w:rPr>
          <w:rFonts w:hint="eastAsia" w:ascii="方正仿宋简体" w:hAnsi="宋体" w:eastAsia="方正仿宋简体" w:cs="方正仿宋简体"/>
          <w:kern w:val="0"/>
          <w:sz w:val="32"/>
          <w:szCs w:val="32"/>
        </w:rPr>
        <w:t>家，实现旅游接待人数</w:t>
      </w:r>
      <w:r>
        <w:rPr>
          <w:rFonts w:ascii="方正仿宋简体" w:hAnsi="宋体" w:eastAsia="方正仿宋简体" w:cs="方正仿宋简体"/>
          <w:kern w:val="0"/>
          <w:sz w:val="32"/>
          <w:szCs w:val="32"/>
        </w:rPr>
        <w:t>1800</w:t>
      </w:r>
      <w:r>
        <w:rPr>
          <w:rFonts w:hint="eastAsia" w:ascii="方正仿宋简体" w:hAnsi="宋体" w:eastAsia="方正仿宋简体" w:cs="方正仿宋简体"/>
          <w:kern w:val="0"/>
          <w:sz w:val="32"/>
          <w:szCs w:val="32"/>
        </w:rPr>
        <w:t>万人次、旅游总收入</w:t>
      </w:r>
      <w:r>
        <w:rPr>
          <w:rFonts w:ascii="方正仿宋简体" w:hAnsi="宋体" w:eastAsia="方正仿宋简体" w:cs="方正仿宋简体"/>
          <w:kern w:val="0"/>
          <w:sz w:val="32"/>
          <w:szCs w:val="32"/>
        </w:rPr>
        <w:t>180</w:t>
      </w:r>
      <w:r>
        <w:rPr>
          <w:rFonts w:hint="eastAsia" w:ascii="方正仿宋简体" w:hAnsi="宋体" w:eastAsia="方正仿宋简体" w:cs="方正仿宋简体"/>
          <w:kern w:val="0"/>
          <w:sz w:val="32"/>
          <w:szCs w:val="32"/>
        </w:rPr>
        <w:t>亿元。</w:t>
      </w:r>
    </w:p>
    <w:p w14:paraId="597C6DDA">
      <w:pPr>
        <w:pStyle w:val="4"/>
        <w:spacing w:after="60" w:line="480" w:lineRule="auto"/>
        <w:ind w:firstLine="643" w:firstLineChars="200"/>
        <w:jc w:val="left"/>
        <w:rPr>
          <w:rFonts w:ascii="方正仿宋简体" w:hAnsi="黑体" w:eastAsia="方正仿宋简体"/>
        </w:rPr>
      </w:pPr>
      <w:bookmarkStart w:id="64" w:name="_Toc449037221"/>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建设精品旅游景区</w:t>
      </w:r>
      <w:bookmarkEnd w:id="64"/>
    </w:p>
    <w:p w14:paraId="1ED83BBD">
      <w:pPr>
        <w:spacing w:line="620" w:lineRule="exact"/>
        <w:ind w:firstLine="604" w:firstLineChars="189"/>
        <w:rPr>
          <w:rFonts w:ascii="方正仿宋简体" w:hAnsi="宋体" w:eastAsia="方正仿宋简体"/>
          <w:kern w:val="0"/>
          <w:sz w:val="32"/>
          <w:szCs w:val="32"/>
        </w:rPr>
      </w:pPr>
      <w:bookmarkStart w:id="65" w:name="_Toc435602916"/>
      <w:r>
        <w:rPr>
          <w:rFonts w:hint="eastAsia" w:ascii="方正仿宋简体" w:hAnsi="宋体" w:eastAsia="方正仿宋简体" w:cs="方正仿宋简体"/>
          <w:kern w:val="0"/>
          <w:sz w:val="32"/>
          <w:szCs w:val="32"/>
        </w:rPr>
        <w:t>“十三五”期间，要科学布局，着力打造精品旅游景区工程。</w:t>
      </w:r>
      <w:bookmarkEnd w:id="65"/>
    </w:p>
    <w:p w14:paraId="45769756">
      <w:pPr>
        <w:ind w:firstLine="643" w:firstLineChars="200"/>
        <w:rPr>
          <w:color w:val="000000"/>
          <w:sz w:val="28"/>
          <w:szCs w:val="28"/>
        </w:rPr>
      </w:pPr>
      <w:r>
        <w:rPr>
          <w:rFonts w:hint="eastAsia" w:ascii="方正楷体简体" w:hAnsi="宋体" w:eastAsia="方正楷体简体" w:cs="方正楷体简体"/>
          <w:b/>
          <w:bCs/>
          <w:kern w:val="0"/>
          <w:sz w:val="32"/>
          <w:szCs w:val="32"/>
        </w:rPr>
        <w:t>杏花村文化旅游区。</w:t>
      </w:r>
      <w:r>
        <w:rPr>
          <w:rFonts w:hint="eastAsia" w:ascii="方正仿宋简体" w:hAnsi="宋体" w:eastAsia="方正仿宋简体" w:cs="方正仿宋简体"/>
          <w:kern w:val="0"/>
          <w:sz w:val="32"/>
          <w:szCs w:val="32"/>
        </w:rPr>
        <w:t>充分体现盛唐诗酒、山水农耕、传统民俗、江南村落“四大文化”，</w:t>
      </w:r>
      <w:r>
        <w:t xml:space="preserve"> </w:t>
      </w:r>
      <w:r>
        <w:rPr>
          <w:rFonts w:hint="eastAsia" w:ascii="方正仿宋简体" w:hAnsi="宋体" w:eastAsia="方正仿宋简体" w:cs="方正仿宋简体"/>
          <w:kern w:val="0"/>
          <w:sz w:val="32"/>
          <w:szCs w:val="32"/>
        </w:rPr>
        <w:t>高水平开展唐风田园农林示范区、天生湖唐风湖韵高端度假区的建设，打造“杏花醉雨”文化特色实景演出，包装旅游区的核心吸引物，到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年，将杏花村文化旅游区建成集生态文化休闲、民俗文化体验、市井文化消费于一体的国家</w:t>
      </w:r>
      <w:r>
        <w:rPr>
          <w:rFonts w:ascii="方正仿宋简体" w:hAnsi="宋体" w:eastAsia="方正仿宋简体" w:cs="方正仿宋简体"/>
          <w:kern w:val="0"/>
          <w:sz w:val="32"/>
          <w:szCs w:val="32"/>
        </w:rPr>
        <w:t>5A</w:t>
      </w:r>
      <w:r>
        <w:rPr>
          <w:rFonts w:hint="eastAsia" w:ascii="方正仿宋简体" w:hAnsi="宋体" w:eastAsia="方正仿宋简体" w:cs="方正仿宋简体"/>
          <w:kern w:val="0"/>
          <w:sz w:val="32"/>
          <w:szCs w:val="32"/>
        </w:rPr>
        <w:t>级景区、国家文化产业示范基地和世界级旅游目的地，年接待国内外游客</w:t>
      </w:r>
      <w:r>
        <w:rPr>
          <w:rFonts w:ascii="方正仿宋简体" w:hAnsi="宋体" w:eastAsia="方正仿宋简体" w:cs="方正仿宋简体"/>
          <w:kern w:val="0"/>
          <w:sz w:val="32"/>
          <w:szCs w:val="32"/>
        </w:rPr>
        <w:t>300</w:t>
      </w:r>
      <w:r>
        <w:rPr>
          <w:rFonts w:hint="eastAsia" w:ascii="方正仿宋简体" w:hAnsi="宋体" w:eastAsia="方正仿宋简体" w:cs="方正仿宋简体"/>
          <w:kern w:val="0"/>
          <w:sz w:val="32"/>
          <w:szCs w:val="32"/>
        </w:rPr>
        <w:t>万人次，引领全区文化旅游经济发展。</w:t>
      </w:r>
    </w:p>
    <w:p w14:paraId="3E778E2E">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九华天池风景区。</w:t>
      </w:r>
      <w:r>
        <w:rPr>
          <w:rFonts w:hint="eastAsia" w:ascii="方正仿宋简体" w:hAnsi="宋体" w:eastAsia="方正仿宋简体" w:cs="方正仿宋简体"/>
          <w:kern w:val="0"/>
          <w:sz w:val="32"/>
          <w:szCs w:val="32"/>
        </w:rPr>
        <w:t>强力推进九华天池文化旅游休闲度假区建设，推进景区向集山水观光与休闲度假为一体的综合旅游景区转变，争创国家级旅游度假区。</w:t>
      </w:r>
    </w:p>
    <w:p w14:paraId="636DF1ED">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大王洞风景区。</w:t>
      </w:r>
      <w:r>
        <w:rPr>
          <w:rFonts w:hint="eastAsia" w:ascii="方正仿宋简体" w:hAnsi="宋体" w:eastAsia="方正仿宋简体" w:cs="方正仿宋简体"/>
          <w:kern w:val="0"/>
          <w:sz w:val="32"/>
          <w:szCs w:val="32"/>
        </w:rPr>
        <w:t>逐步丰富大王洞风景区产品类型，延长游客逗留时间，将大王洞景区打造成为集洞穴探秘、地质考察、休闲度假、康体娱乐为一体的休闲度假旅游目的地。</w:t>
      </w:r>
    </w:p>
    <w:p w14:paraId="1F368DE6">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秀山门博物馆。</w:t>
      </w:r>
      <w:r>
        <w:rPr>
          <w:rFonts w:hint="eastAsia" w:ascii="方正仿宋简体" w:hAnsi="宋体" w:eastAsia="方正仿宋简体" w:cs="方正仿宋简体"/>
          <w:kern w:val="0"/>
          <w:sz w:val="32"/>
          <w:szCs w:val="32"/>
        </w:rPr>
        <w:t>积极推进秀山门博物馆的运营开放，同时，深挖贵池本地文化内涵，如傩文化、诗文化、戏曲文化等，实现文旅融合，把文化体验与爱国主义教育有机结合，将秀山门博物馆打造成特色文化旅游精品景区。</w:t>
      </w:r>
    </w:p>
    <w:p w14:paraId="28A51C39">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万罗山风景区。</w:t>
      </w:r>
      <w:r>
        <w:rPr>
          <w:rFonts w:hint="eastAsia" w:ascii="方正仿宋简体" w:hAnsi="宋体" w:eastAsia="方正仿宋简体" w:cs="方正仿宋简体"/>
          <w:kern w:val="0"/>
          <w:sz w:val="32"/>
          <w:szCs w:val="32"/>
        </w:rPr>
        <w:t>推进万罗山生态观光景区、清溪河漂流和休闲度假区建设，将万罗山风景区建设成为集生态观光与休闲度假、康体养生于一体的综合文化旅游区。</w:t>
      </w:r>
    </w:p>
    <w:p w14:paraId="2416D1DD">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霄坑大峡谷风景区。</w:t>
      </w:r>
      <w:r>
        <w:rPr>
          <w:rFonts w:hint="eastAsia" w:ascii="方正仿宋简体" w:hAnsi="宋体" w:eastAsia="方正仿宋简体" w:cs="方正仿宋简体"/>
          <w:kern w:val="0"/>
          <w:sz w:val="32"/>
          <w:szCs w:val="32"/>
        </w:rPr>
        <w:t>改造提升梅霄旅游公路，以乡村旅游为主线，进行生态资源的整体开发，将霄坑大峡谷打造成为集生态观光、旅居养生为一体的高端旅游度假区。</w:t>
      </w:r>
    </w:p>
    <w:p w14:paraId="07265631">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皖南水寨旅游区。</w:t>
      </w:r>
      <w:r>
        <w:rPr>
          <w:rFonts w:hint="eastAsia" w:ascii="方正仿宋简体" w:hAnsi="宋体" w:eastAsia="方正仿宋简体" w:cs="方正仿宋简体"/>
          <w:kern w:val="0"/>
          <w:sz w:val="32"/>
          <w:szCs w:val="32"/>
        </w:rPr>
        <w:t>以民俗村落、傩溪河漂流、亲子采摘乐园等为内容，将美丽乡村建设与旅游发展紧密融合。到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年，将元四旅游区打造成为集传统文化体验、乡村文化休闲和亲水游憩于一体的国家</w:t>
      </w:r>
      <w:r>
        <w:rPr>
          <w:rFonts w:ascii="方正仿宋简体" w:hAnsi="宋体" w:eastAsia="方正仿宋简体" w:cs="方正仿宋简体"/>
          <w:kern w:val="0"/>
          <w:sz w:val="32"/>
          <w:szCs w:val="32"/>
        </w:rPr>
        <w:t>4A</w:t>
      </w:r>
      <w:r>
        <w:rPr>
          <w:rFonts w:hint="eastAsia" w:ascii="方正仿宋简体" w:hAnsi="宋体" w:eastAsia="方正仿宋简体" w:cs="方正仿宋简体"/>
          <w:kern w:val="0"/>
          <w:sz w:val="32"/>
          <w:szCs w:val="32"/>
        </w:rPr>
        <w:t>级旅游景区和贵池精品文化旅游品牌。</w:t>
      </w:r>
    </w:p>
    <w:p w14:paraId="661B644F">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石门高旅游区。</w:t>
      </w:r>
      <w:r>
        <w:rPr>
          <w:rFonts w:hint="eastAsia" w:ascii="方正仿宋简体" w:hAnsi="宋体" w:eastAsia="方正仿宋简体" w:cs="方正仿宋简体"/>
          <w:kern w:val="0"/>
          <w:sz w:val="32"/>
          <w:szCs w:val="32"/>
        </w:rPr>
        <w:t>以古村落为主题，以魁星文化、高氏宗祠、太子庙、文昌阁、古学堂、古私塾为内涵，依托老山自然保护区、滴水崖水库等开发生态旅游，重点打造文化休闲旅游产品和自然生态旅游产品。到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年，将千年古村石门高打造成为集“魁”文化、古村落文化与自然风光为一体的国家</w:t>
      </w:r>
      <w:r>
        <w:rPr>
          <w:rFonts w:ascii="方正仿宋简体" w:hAnsi="宋体" w:eastAsia="方正仿宋简体" w:cs="方正仿宋简体"/>
          <w:kern w:val="0"/>
          <w:sz w:val="32"/>
          <w:szCs w:val="32"/>
        </w:rPr>
        <w:t>4A</w:t>
      </w:r>
      <w:r>
        <w:rPr>
          <w:rFonts w:hint="eastAsia" w:ascii="方正仿宋简体" w:hAnsi="宋体" w:eastAsia="方正仿宋简体" w:cs="方正仿宋简体"/>
          <w:kern w:val="0"/>
          <w:sz w:val="32"/>
          <w:szCs w:val="32"/>
        </w:rPr>
        <w:t>级旅游景区。</w:t>
      </w:r>
    </w:p>
    <w:p w14:paraId="1D81C54D">
      <w:pPr>
        <w:widowControl/>
        <w:spacing w:line="312" w:lineRule="auto"/>
        <w:ind w:firstLine="643" w:firstLineChars="200"/>
        <w:jc w:val="left"/>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升金湖湿地休闲旅游区。</w:t>
      </w:r>
      <w:r>
        <w:rPr>
          <w:rFonts w:hint="eastAsia" w:ascii="方正仿宋简体" w:hAnsi="宋体" w:eastAsia="方正仿宋简体" w:cs="方正仿宋简体"/>
          <w:kern w:val="0"/>
          <w:sz w:val="32"/>
          <w:szCs w:val="32"/>
        </w:rPr>
        <w:t>整合九华佛缘度假村、鹤湖山庄、天源农庄、秀林生态园、升金湖循环经济示范园、汉东农业等资源，以水为依托，以农庄果园为背景，加强观鸟设施修建、古村保护修复、湖面及湖岸景观开发、水上景观项目设计、岸上设施项目建设、“渔”景观营造、鹤文化与水文化主题农庄与游乐园建设，将升金湖区域努力打造成为集生态涵养、湿地观鸟、湿地体验、科普教育和休闲度假为目标的生态湿地休闲旅游聚集区，国内湖泊型湿地旅游和生态教育基地以及国际上知名的科考观光和生态旅游目的地。</w:t>
      </w:r>
    </w:p>
    <w:p w14:paraId="13FD61BF">
      <w:pPr>
        <w:pStyle w:val="4"/>
        <w:spacing w:after="60" w:line="480" w:lineRule="auto"/>
        <w:ind w:firstLine="643" w:firstLineChars="200"/>
        <w:jc w:val="left"/>
        <w:rPr>
          <w:rFonts w:ascii="方正仿宋简体" w:hAnsi="黑体" w:eastAsia="方正仿宋简体"/>
        </w:rPr>
      </w:pPr>
      <w:bookmarkStart w:id="66" w:name="_Toc449037222"/>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开发系列特色旅游产品</w:t>
      </w:r>
      <w:bookmarkEnd w:id="66"/>
    </w:p>
    <w:p w14:paraId="71D15204">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生态观光旅游产品。</w:t>
      </w:r>
      <w:r>
        <w:rPr>
          <w:rFonts w:hint="eastAsia" w:ascii="方正仿宋简体" w:hAnsi="宋体" w:eastAsia="方正仿宋简体" w:cs="方正仿宋简体"/>
          <w:kern w:val="0"/>
          <w:sz w:val="32"/>
          <w:szCs w:val="32"/>
        </w:rPr>
        <w:t>依托贵池区优越的生态环境资源，打造山水观光、溶洞探秘、河谷揽胜等生态观光旅游产品。重点开发精品山水观光游和溶洞峡谷探秘游。</w:t>
      </w:r>
    </w:p>
    <w:p w14:paraId="2B68C302">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文化体验旅游产品。</w:t>
      </w:r>
      <w:r>
        <w:rPr>
          <w:rFonts w:hint="eastAsia" w:ascii="方正仿宋简体" w:hAnsi="宋体" w:eastAsia="方正仿宋简体" w:cs="方正仿宋简体"/>
          <w:kern w:val="0"/>
          <w:sz w:val="32"/>
          <w:szCs w:val="32"/>
        </w:rPr>
        <w:t>依托贵池的文化元素（包括傩文化、诗文化、戏曲文化、杏花村文化等），重点开发傩乡文化游、李白寻踪游、非遗赏析游和杏花村追梦游。</w:t>
      </w:r>
    </w:p>
    <w:p w14:paraId="7203F55D">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亲水休闲旅游产品。</w:t>
      </w:r>
      <w:r>
        <w:rPr>
          <w:rFonts w:hint="eastAsia" w:ascii="方正仿宋简体" w:hAnsi="宋体" w:eastAsia="方正仿宋简体" w:cs="方正仿宋简体"/>
          <w:kern w:val="0"/>
          <w:sz w:val="32"/>
          <w:szCs w:val="32"/>
        </w:rPr>
        <w:t>依托贵池南部优越的山地资源，着力打造亲水休闲旅游产品。重点开发城市水系休闲游、风景河流欢乐游、湖泊湿地亲水游和长江水道邮轮游。</w:t>
      </w:r>
    </w:p>
    <w:p w14:paraId="63B01598">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健康养生旅游产品。</w:t>
      </w:r>
      <w:r>
        <w:rPr>
          <w:rFonts w:hint="eastAsia" w:ascii="方正仿宋简体" w:hAnsi="宋体" w:eastAsia="方正仿宋简体" w:cs="方正仿宋简体"/>
          <w:kern w:val="0"/>
          <w:sz w:val="32"/>
          <w:szCs w:val="32"/>
        </w:rPr>
        <w:t>依托贵池南部旅游区山地为主、空气清新、林木茂盛、峡谷众多优势，打造健康养生旅游产品。以“养生”、“养心”、“养老”为核心元素，重点开发生态养生、禅修养心、山地养老等旅游产品。</w:t>
      </w:r>
    </w:p>
    <w:p w14:paraId="08CEE497">
      <w:pPr>
        <w:spacing w:line="620" w:lineRule="exact"/>
        <w:ind w:firstLine="643" w:firstLineChars="200"/>
        <w:rPr>
          <w:rFonts w:ascii="仿宋_GB2312" w:hAnsi="宋体" w:eastAsia="仿宋_GB2312"/>
          <w:color w:val="000000"/>
          <w:kern w:val="0"/>
          <w:sz w:val="30"/>
          <w:szCs w:val="30"/>
        </w:rPr>
      </w:pPr>
      <w:r>
        <w:rPr>
          <w:rFonts w:hint="eastAsia" w:ascii="方正楷体简体" w:hAnsi="宋体" w:eastAsia="方正楷体简体" w:cs="方正楷体简体"/>
          <w:b/>
          <w:bCs/>
          <w:kern w:val="0"/>
          <w:sz w:val="32"/>
          <w:szCs w:val="32"/>
        </w:rPr>
        <w:t>体育休闲旅游产品。</w:t>
      </w:r>
      <w:r>
        <w:rPr>
          <w:rFonts w:hint="eastAsia" w:ascii="方正仿宋简体" w:hAnsi="宋体" w:eastAsia="方正仿宋简体" w:cs="方正仿宋简体"/>
          <w:kern w:val="0"/>
          <w:sz w:val="32"/>
          <w:szCs w:val="32"/>
        </w:rPr>
        <w:t>依托全国生态经济示范区品牌、全国绿色运动健身大会举办地和境内丰富的森林、峡谷、湖泊等生态资源，打造体育休闲旅游产品。重点开发体育赛事观赏游和休闲体育健身游。</w:t>
      </w:r>
    </w:p>
    <w:p w14:paraId="79E37FDE">
      <w:pPr>
        <w:spacing w:line="620" w:lineRule="exact"/>
        <w:ind w:firstLine="643" w:firstLineChars="200"/>
        <w:rPr>
          <w:rFonts w:ascii="仿宋_GB2312" w:hAnsi="宋体" w:eastAsia="仿宋_GB2312"/>
          <w:color w:val="000000"/>
          <w:kern w:val="0"/>
          <w:sz w:val="30"/>
          <w:szCs w:val="30"/>
        </w:rPr>
      </w:pPr>
      <w:r>
        <w:rPr>
          <w:rFonts w:hint="eastAsia" w:ascii="方正楷体简体" w:hAnsi="宋体" w:eastAsia="方正楷体简体" w:cs="方正楷体简体"/>
          <w:b/>
          <w:bCs/>
          <w:kern w:val="0"/>
          <w:sz w:val="32"/>
          <w:szCs w:val="32"/>
        </w:rPr>
        <w:t>研学拓展旅游产品。</w:t>
      </w:r>
      <w:r>
        <w:rPr>
          <w:rFonts w:hint="eastAsia" w:ascii="方正仿宋简体" w:hAnsi="宋体" w:eastAsia="方正仿宋简体" w:cs="方正仿宋简体"/>
          <w:kern w:val="0"/>
          <w:sz w:val="32"/>
          <w:szCs w:val="32"/>
        </w:rPr>
        <w:t>依托贵池境内拥有优越的生态环境、浓郁的历史民俗文化，重点开发生态科普游、文博修学游、现代科技游和素质拓展游。</w:t>
      </w:r>
    </w:p>
    <w:p w14:paraId="66CDC391">
      <w:pPr>
        <w:spacing w:line="620" w:lineRule="exact"/>
        <w:ind w:firstLine="643" w:firstLineChars="200"/>
        <w:rPr>
          <w:rFonts w:ascii="仿宋_GB2312" w:hAnsi="宋体" w:eastAsia="仿宋_GB2312"/>
          <w:color w:val="000000"/>
          <w:kern w:val="0"/>
          <w:sz w:val="30"/>
          <w:szCs w:val="30"/>
        </w:rPr>
      </w:pPr>
      <w:r>
        <w:rPr>
          <w:rFonts w:hint="eastAsia" w:ascii="方正楷体简体" w:hAnsi="宋体" w:eastAsia="方正楷体简体" w:cs="方正楷体简体"/>
          <w:b/>
          <w:bCs/>
          <w:kern w:val="0"/>
          <w:sz w:val="32"/>
          <w:szCs w:val="32"/>
        </w:rPr>
        <w:t>乡村度假旅游产品。</w:t>
      </w:r>
      <w:r>
        <w:rPr>
          <w:rFonts w:hint="eastAsia" w:ascii="方正仿宋简体" w:hAnsi="宋体" w:eastAsia="方正仿宋简体" w:cs="方正仿宋简体"/>
          <w:kern w:val="0"/>
          <w:sz w:val="32"/>
          <w:szCs w:val="32"/>
        </w:rPr>
        <w:t>依托各类民俗、古建筑、古村落及生态村、高山村、渔村等各种特色村庄和山水风光，重点开发名村古建寻访游、休闲农庄度假游和茶乡文化品赏游。</w:t>
      </w:r>
    </w:p>
    <w:p w14:paraId="53310548">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新业态旅游产品。</w:t>
      </w:r>
      <w:r>
        <w:rPr>
          <w:rFonts w:hint="eastAsia" w:ascii="方正仿宋简体" w:hAnsi="宋体" w:eastAsia="方正仿宋简体" w:cs="方正仿宋简体"/>
          <w:kern w:val="0"/>
          <w:sz w:val="32"/>
          <w:szCs w:val="32"/>
        </w:rPr>
        <w:t>重点开发汽车营地、特色文化街区和会展旅游产品。</w:t>
      </w:r>
    </w:p>
    <w:p w14:paraId="2BB7DD56">
      <w:pPr>
        <w:pStyle w:val="4"/>
        <w:spacing w:after="60" w:line="480" w:lineRule="auto"/>
        <w:ind w:firstLine="643" w:firstLineChars="200"/>
        <w:jc w:val="left"/>
        <w:rPr>
          <w:rFonts w:ascii="方正仿宋简体" w:hAnsi="黑体" w:eastAsia="方正仿宋简体"/>
        </w:rPr>
      </w:pPr>
      <w:bookmarkStart w:id="67" w:name="_Toc449037223"/>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实施文化旅游业提升工程</w:t>
      </w:r>
      <w:bookmarkEnd w:id="67"/>
    </w:p>
    <w:p w14:paraId="7A527DC1">
      <w:pPr>
        <w:spacing w:line="620" w:lineRule="exact"/>
        <w:ind w:firstLine="643" w:firstLineChars="200"/>
        <w:rPr>
          <w:rFonts w:ascii="仿宋_GB2312" w:hAnsi="宋体" w:eastAsia="仿宋_GB2312"/>
          <w:color w:val="000000"/>
          <w:kern w:val="0"/>
          <w:sz w:val="30"/>
          <w:szCs w:val="30"/>
        </w:rPr>
      </w:pPr>
      <w:r>
        <w:rPr>
          <w:rFonts w:hint="eastAsia" w:ascii="方正楷体简体" w:hAnsi="宋体" w:eastAsia="方正楷体简体" w:cs="方正楷体简体"/>
          <w:b/>
          <w:bCs/>
          <w:kern w:val="0"/>
          <w:sz w:val="32"/>
          <w:szCs w:val="32"/>
        </w:rPr>
        <w:t>完善旅游配套产业。</w:t>
      </w:r>
      <w:r>
        <w:rPr>
          <w:rFonts w:hint="eastAsia" w:ascii="方正仿宋简体" w:hAnsi="宋体" w:eastAsia="方正仿宋简体" w:cs="方正仿宋简体"/>
          <w:kern w:val="0"/>
          <w:sz w:val="32"/>
          <w:szCs w:val="32"/>
        </w:rPr>
        <w:t>遵循产业发展规律，以市场需求为导向，加快提升住宿、餐饮、旅行社等基础配套产业，加强引导旅游购物、休闲娱乐等旅游薄弱产业，构建更具包容性的旅游产业体系。</w:t>
      </w:r>
    </w:p>
    <w:p w14:paraId="55651A97">
      <w:pPr>
        <w:spacing w:line="620" w:lineRule="exact"/>
        <w:ind w:firstLine="602" w:firstLineChars="200"/>
        <w:rPr>
          <w:rFonts w:ascii="方正仿宋简体" w:hAnsi="宋体" w:eastAsia="方正仿宋简体"/>
          <w:kern w:val="0"/>
          <w:sz w:val="32"/>
          <w:szCs w:val="32"/>
        </w:rPr>
      </w:pPr>
      <w:r>
        <w:rPr>
          <w:rFonts w:ascii="方正仿宋简体" w:hAnsi="宋体" w:eastAsia="方正仿宋简体" w:cs="方正仿宋简体"/>
          <w:b/>
          <w:bCs/>
          <w:color w:val="000000"/>
          <w:kern w:val="0"/>
          <w:sz w:val="30"/>
          <w:szCs w:val="30"/>
        </w:rPr>
        <w:t>——</w:t>
      </w:r>
      <w:r>
        <w:rPr>
          <w:rFonts w:hint="eastAsia" w:ascii="方正仿宋简体" w:hAnsi="宋体" w:eastAsia="方正仿宋简体" w:cs="方正仿宋简体"/>
          <w:b/>
          <w:bCs/>
          <w:color w:val="000000"/>
          <w:kern w:val="0"/>
          <w:sz w:val="30"/>
          <w:szCs w:val="30"/>
        </w:rPr>
        <w:t>住宿接待业。</w:t>
      </w:r>
      <w:r>
        <w:rPr>
          <w:rFonts w:hint="eastAsia" w:ascii="方正仿宋简体" w:hAnsi="宋体" w:eastAsia="方正仿宋简体" w:cs="方正仿宋简体"/>
          <w:kern w:val="0"/>
          <w:sz w:val="32"/>
          <w:szCs w:val="32"/>
        </w:rPr>
        <w:t>着力优化主城区住宿业结构，打造以国际品牌酒店、高星级酒店为引领的高品质服务板块，以主题酒店、精品民宿为引领的特色服务板块，以汽车旅馆、房车营地为引领的自驾游服务板块，以经济型酒店、青年旅舍、社会旅馆为引领的大众消费板块，形成多样化、多层次的旅游住宿设施。</w:t>
      </w:r>
    </w:p>
    <w:p w14:paraId="219AE3D1">
      <w:pPr>
        <w:spacing w:line="620" w:lineRule="exact"/>
        <w:ind w:firstLine="602" w:firstLineChars="200"/>
        <w:rPr>
          <w:rFonts w:ascii="仿宋_GB2312" w:hAnsi="宋体" w:eastAsia="仿宋_GB2312"/>
          <w:color w:val="000000"/>
          <w:kern w:val="0"/>
          <w:sz w:val="30"/>
          <w:szCs w:val="30"/>
        </w:rPr>
      </w:pPr>
      <w:r>
        <w:rPr>
          <w:rFonts w:ascii="方正仿宋简体" w:hAnsi="宋体" w:eastAsia="方正仿宋简体" w:cs="方正仿宋简体"/>
          <w:b/>
          <w:bCs/>
          <w:color w:val="000000"/>
          <w:kern w:val="0"/>
          <w:sz w:val="30"/>
          <w:szCs w:val="30"/>
        </w:rPr>
        <w:t>——</w:t>
      </w:r>
      <w:r>
        <w:rPr>
          <w:rFonts w:hint="eastAsia" w:ascii="方正仿宋简体" w:hAnsi="宋体" w:eastAsia="方正仿宋简体" w:cs="方正仿宋简体"/>
          <w:b/>
          <w:bCs/>
          <w:color w:val="000000"/>
          <w:kern w:val="0"/>
          <w:sz w:val="30"/>
          <w:szCs w:val="30"/>
        </w:rPr>
        <w:t>旅游餐饮业。</w:t>
      </w:r>
      <w:r>
        <w:rPr>
          <w:rFonts w:hint="eastAsia" w:ascii="方正仿宋简体" w:hAnsi="宋体" w:eastAsia="方正仿宋简体" w:cs="方正仿宋简体"/>
          <w:kern w:val="0"/>
          <w:sz w:val="32"/>
          <w:szCs w:val="32"/>
        </w:rPr>
        <w:t>适应游客个性化需求，推动餐饮业向多元化转型，鼓励高端餐厅向特色化、大众化转变，扶持社会餐厅向标准化、规范化转变，注重挖掘餐饮文化内涵，提升游客体验。</w:t>
      </w:r>
    </w:p>
    <w:p w14:paraId="14CCCD12">
      <w:pPr>
        <w:spacing w:line="620" w:lineRule="exact"/>
        <w:ind w:firstLine="602" w:firstLineChars="200"/>
        <w:rPr>
          <w:rFonts w:ascii="仿宋_GB2312" w:hAnsi="宋体" w:eastAsia="仿宋_GB2312"/>
          <w:color w:val="000000"/>
          <w:kern w:val="0"/>
          <w:sz w:val="30"/>
          <w:szCs w:val="30"/>
        </w:rPr>
      </w:pPr>
      <w:r>
        <w:rPr>
          <w:rFonts w:ascii="方正仿宋简体" w:hAnsi="宋体" w:eastAsia="方正仿宋简体" w:cs="方正仿宋简体"/>
          <w:b/>
          <w:bCs/>
          <w:color w:val="000000"/>
          <w:kern w:val="0"/>
          <w:sz w:val="30"/>
          <w:szCs w:val="30"/>
        </w:rPr>
        <w:t>——</w:t>
      </w:r>
      <w:r>
        <w:rPr>
          <w:rFonts w:hint="eastAsia" w:ascii="方正仿宋简体" w:hAnsi="宋体" w:eastAsia="方正仿宋简体" w:cs="方正仿宋简体"/>
          <w:b/>
          <w:bCs/>
          <w:color w:val="000000"/>
          <w:kern w:val="0"/>
          <w:sz w:val="30"/>
          <w:szCs w:val="30"/>
        </w:rPr>
        <w:t>旅行社。</w:t>
      </w:r>
      <w:r>
        <w:rPr>
          <w:rFonts w:hint="eastAsia" w:ascii="方正仿宋简体" w:hAnsi="宋体" w:eastAsia="方正仿宋简体" w:cs="方正仿宋简体"/>
          <w:kern w:val="0"/>
          <w:sz w:val="32"/>
          <w:szCs w:val="32"/>
        </w:rPr>
        <w:t>着力改变旅行社“散、小、弱、差”的状况，主动转变经营模式，发展电子商务，增强产品创新和市场开拓能力，完善监督管理制度，提升旅行社行业整体水平。</w:t>
      </w:r>
    </w:p>
    <w:p w14:paraId="7B8E2962">
      <w:pPr>
        <w:spacing w:line="620" w:lineRule="exact"/>
        <w:ind w:firstLine="602" w:firstLineChars="200"/>
        <w:rPr>
          <w:rFonts w:ascii="方正仿宋简体" w:hAnsi="宋体" w:eastAsia="方正仿宋简体"/>
          <w:kern w:val="0"/>
          <w:sz w:val="32"/>
          <w:szCs w:val="32"/>
        </w:rPr>
      </w:pPr>
      <w:r>
        <w:rPr>
          <w:rFonts w:ascii="方正仿宋简体" w:hAnsi="宋体" w:eastAsia="方正仿宋简体" w:cs="方正仿宋简体"/>
          <w:b/>
          <w:bCs/>
          <w:color w:val="000000"/>
          <w:kern w:val="0"/>
          <w:sz w:val="30"/>
          <w:szCs w:val="30"/>
        </w:rPr>
        <w:t>——</w:t>
      </w:r>
      <w:r>
        <w:rPr>
          <w:rFonts w:hint="eastAsia" w:ascii="方正仿宋简体" w:hAnsi="宋体" w:eastAsia="方正仿宋简体" w:cs="方正仿宋简体"/>
          <w:b/>
          <w:bCs/>
          <w:color w:val="000000"/>
          <w:kern w:val="0"/>
          <w:sz w:val="30"/>
          <w:szCs w:val="30"/>
        </w:rPr>
        <w:t>旅游购物。</w:t>
      </w:r>
      <w:r>
        <w:rPr>
          <w:rFonts w:hint="eastAsia" w:ascii="方正仿宋简体" w:hAnsi="宋体" w:eastAsia="方正仿宋简体" w:cs="方正仿宋简体"/>
          <w:kern w:val="0"/>
          <w:sz w:val="32"/>
          <w:szCs w:val="32"/>
        </w:rPr>
        <w:t>以挖掘地方文化为重点，整合全区工农业产品资源，引导企业研发高端旅游商品，全面开拓销售市场，使旅游购物成为我区旅游业新的增长点。</w:t>
      </w:r>
    </w:p>
    <w:p w14:paraId="22BB8BAC">
      <w:pPr>
        <w:spacing w:line="620" w:lineRule="exact"/>
        <w:ind w:firstLine="600" w:firstLineChars="200"/>
        <w:rPr>
          <w:rFonts w:ascii="方正仿宋简体" w:hAnsi="宋体" w:eastAsia="方正仿宋简体"/>
          <w:kern w:val="0"/>
          <w:sz w:val="32"/>
          <w:szCs w:val="32"/>
        </w:rPr>
      </w:pPr>
      <w:r>
        <w:rPr>
          <w:rFonts w:ascii="仿宋_GB2312" w:hAnsi="宋体" w:eastAsia="仿宋_GB2312" w:cs="仿宋_GB2312"/>
          <w:color w:val="000000"/>
          <w:kern w:val="0"/>
          <w:sz w:val="30"/>
          <w:szCs w:val="30"/>
        </w:rPr>
        <w:t xml:space="preserve"> </w:t>
      </w:r>
      <w:r>
        <w:rPr>
          <w:rFonts w:ascii="方正仿宋简体" w:hAnsi="宋体" w:eastAsia="方正仿宋简体" w:cs="方正仿宋简体"/>
          <w:b/>
          <w:bCs/>
          <w:color w:val="000000"/>
          <w:kern w:val="0"/>
          <w:sz w:val="30"/>
          <w:szCs w:val="30"/>
        </w:rPr>
        <w:t>——</w:t>
      </w:r>
      <w:r>
        <w:rPr>
          <w:rFonts w:hint="eastAsia" w:ascii="方正仿宋简体" w:hAnsi="宋体" w:eastAsia="方正仿宋简体" w:cs="方正仿宋简体"/>
          <w:b/>
          <w:bCs/>
          <w:color w:val="000000"/>
          <w:kern w:val="0"/>
          <w:sz w:val="30"/>
          <w:szCs w:val="30"/>
        </w:rPr>
        <w:t>休闲娱乐业。</w:t>
      </w:r>
      <w:r>
        <w:rPr>
          <w:rFonts w:hint="eastAsia" w:ascii="方正仿宋简体" w:hAnsi="宋体" w:eastAsia="方正仿宋简体" w:cs="方正仿宋简体"/>
          <w:kern w:val="0"/>
          <w:sz w:val="32"/>
          <w:szCs w:val="32"/>
        </w:rPr>
        <w:t>不断丰富休闲娱乐产品体系，营造休闲文化氛围，提升主城区旅游吸引力和竞争力，实现从单一的观光旅游向休闲旅游转型。</w:t>
      </w:r>
    </w:p>
    <w:p w14:paraId="473B6725">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促进产业融合发展。</w:t>
      </w:r>
      <w:r>
        <w:rPr>
          <w:rFonts w:hint="eastAsia" w:ascii="方正仿宋简体" w:hAnsi="宋体" w:eastAsia="方正仿宋简体" w:cs="方正仿宋简体"/>
          <w:kern w:val="0"/>
          <w:sz w:val="32"/>
          <w:szCs w:val="32"/>
        </w:rPr>
        <w:t>创新发展理念，不断深化旅游业与农业等其他产业、美丽乡村建设、新型城市化建设融合发展，形成百业兴旅、互促共荣的整体格局。</w:t>
      </w:r>
    </w:p>
    <w:p w14:paraId="7E724844">
      <w:pPr>
        <w:spacing w:line="590" w:lineRule="exact"/>
        <w:ind w:firstLine="643" w:firstLineChars="200"/>
        <w:rPr>
          <w:rFonts w:ascii="方正仿宋简体" w:hAnsi="宋体" w:eastAsia="方正仿宋简体"/>
          <w:kern w:val="0"/>
          <w:sz w:val="32"/>
          <w:szCs w:val="32"/>
        </w:rPr>
      </w:pPr>
      <w:r>
        <w:rPr>
          <w:rFonts w:ascii="方正仿宋简体" w:hAnsi="宋体" w:eastAsia="方正仿宋简体" w:cs="方正仿宋简体"/>
          <w:b/>
          <w:bCs/>
          <w:color w:val="000000"/>
          <w:kern w:val="0"/>
          <w:sz w:val="32"/>
          <w:szCs w:val="32"/>
        </w:rPr>
        <w:t>——</w:t>
      </w:r>
      <w:r>
        <w:rPr>
          <w:rFonts w:hint="eastAsia" w:ascii="方正仿宋简体" w:hAnsi="宋体" w:eastAsia="方正仿宋简体" w:cs="方正仿宋简体"/>
          <w:b/>
          <w:bCs/>
          <w:color w:val="000000"/>
          <w:kern w:val="0"/>
          <w:sz w:val="32"/>
          <w:szCs w:val="32"/>
        </w:rPr>
        <w:t>旅游与农业融合发展。</w:t>
      </w:r>
      <w:r>
        <w:rPr>
          <w:rFonts w:hint="eastAsia" w:ascii="方正仿宋简体" w:hAnsi="宋体" w:eastAsia="方正仿宋简体" w:cs="方正仿宋简体"/>
          <w:kern w:val="0"/>
          <w:sz w:val="32"/>
          <w:szCs w:val="32"/>
        </w:rPr>
        <w:t>充分利用乡村生态环境和民俗文化等资源，把农业生产、特色产品生产、农艺展示与文化体验、旅游观光融为一体，形成一批以田园观光、农业采摘、农事体验、垂钓休闲、森林旅游、民俗观赏等休闲农业与农家乐为主的乡村旅游。</w:t>
      </w:r>
    </w:p>
    <w:p w14:paraId="5087D354">
      <w:pPr>
        <w:ind w:firstLine="643" w:firstLineChars="200"/>
        <w:rPr>
          <w:rFonts w:ascii="方正仿宋简体" w:hAnsi="宋体" w:eastAsia="方正仿宋简体"/>
          <w:kern w:val="0"/>
          <w:sz w:val="32"/>
          <w:szCs w:val="32"/>
        </w:rPr>
      </w:pPr>
      <w:r>
        <w:rPr>
          <w:rFonts w:ascii="方正仿宋简体" w:hAnsi="宋体" w:eastAsia="方正仿宋简体" w:cs="方正仿宋简体"/>
          <w:b/>
          <w:bCs/>
          <w:color w:val="000000"/>
          <w:kern w:val="0"/>
          <w:sz w:val="32"/>
          <w:szCs w:val="32"/>
        </w:rPr>
        <w:t>——</w:t>
      </w:r>
      <w:r>
        <w:rPr>
          <w:rFonts w:hint="eastAsia" w:ascii="方正仿宋简体" w:hAnsi="宋体" w:eastAsia="方正仿宋简体" w:cs="方正仿宋简体"/>
          <w:b/>
          <w:bCs/>
          <w:color w:val="000000"/>
          <w:kern w:val="0"/>
          <w:sz w:val="32"/>
          <w:szCs w:val="32"/>
        </w:rPr>
        <w:t>旅游与文化产业融合发展。</w:t>
      </w:r>
      <w:r>
        <w:rPr>
          <w:rFonts w:hint="eastAsia" w:ascii="方正仿宋简体" w:hAnsi="宋体" w:eastAsia="方正仿宋简体" w:cs="方正仿宋简体"/>
          <w:kern w:val="0"/>
          <w:sz w:val="32"/>
          <w:szCs w:val="32"/>
        </w:rPr>
        <w:t>借助以文化为主题的节庆会展平台，举办摄影、体育比赛、书画艺术、传统民俗等会展节庆活动，创建有影响力的节庆会展品牌，吸引各类文化创意企业、工作室入驻，推动动漫、广告、书画、创作、软件开发、网络游戏等新兴文化业态的发展，打造一批旅游文化演艺品牌，唯美展现贵池山水人情和历史变迁，提升旅游产品文化附加值。</w:t>
      </w:r>
    </w:p>
    <w:p w14:paraId="100B3342">
      <w:pPr>
        <w:ind w:firstLine="643" w:firstLineChars="200"/>
        <w:rPr>
          <w:rFonts w:ascii="方正仿宋简体" w:hAnsi="宋体" w:eastAsia="方正仿宋简体"/>
          <w:kern w:val="0"/>
          <w:sz w:val="32"/>
          <w:szCs w:val="32"/>
        </w:rPr>
      </w:pPr>
      <w:r>
        <w:rPr>
          <w:rFonts w:ascii="方正仿宋简体" w:hAnsi="宋体" w:eastAsia="方正仿宋简体" w:cs="方正仿宋简体"/>
          <w:b/>
          <w:bCs/>
          <w:color w:val="000000"/>
          <w:kern w:val="0"/>
          <w:sz w:val="32"/>
          <w:szCs w:val="32"/>
        </w:rPr>
        <w:t>——</w:t>
      </w:r>
      <w:r>
        <w:rPr>
          <w:rFonts w:hint="eastAsia" w:ascii="方正仿宋简体" w:hAnsi="宋体" w:eastAsia="方正仿宋简体" w:cs="方正仿宋简体"/>
          <w:b/>
          <w:bCs/>
          <w:color w:val="000000"/>
          <w:kern w:val="0"/>
          <w:sz w:val="32"/>
          <w:szCs w:val="32"/>
        </w:rPr>
        <w:t>旅游与工业融合发展。</w:t>
      </w:r>
      <w:r>
        <w:rPr>
          <w:rFonts w:hint="eastAsia" w:ascii="方正仿宋简体" w:hAnsi="宋体" w:eastAsia="方正仿宋简体" w:cs="方正仿宋简体"/>
          <w:kern w:val="0"/>
          <w:sz w:val="32"/>
          <w:szCs w:val="32"/>
        </w:rPr>
        <w:t>完善贵池区工业集聚区的旅游功能，积极发展以池州九华发电公司、牛头山海螺集团为代表的工业观光游和商务考察游。依托现有的工业基础和优势，培育一批旅游商品加工企业，大力发展能够解决旅游景区发展的配套设施，如漂流、登山、探险设备、潜水、钓鱼器具、露营帐篷等户外休闲用品，降低我区旅游加工对外依赖程度，促进传统的旅游服务业向工业延伸。</w:t>
      </w:r>
    </w:p>
    <w:p w14:paraId="4C8574D6">
      <w:pPr>
        <w:ind w:firstLine="643" w:firstLineChars="200"/>
        <w:rPr>
          <w:rFonts w:ascii="方正仿宋简体" w:hAnsi="宋体" w:eastAsia="方正仿宋简体"/>
          <w:kern w:val="0"/>
          <w:sz w:val="32"/>
          <w:szCs w:val="32"/>
        </w:rPr>
      </w:pPr>
      <w:r>
        <w:rPr>
          <w:rFonts w:ascii="方正仿宋简体" w:hAnsi="宋体" w:eastAsia="方正仿宋简体" w:cs="方正仿宋简体"/>
          <w:b/>
          <w:bCs/>
          <w:color w:val="000000"/>
          <w:kern w:val="0"/>
          <w:sz w:val="32"/>
          <w:szCs w:val="32"/>
        </w:rPr>
        <w:t>——</w:t>
      </w:r>
      <w:r>
        <w:rPr>
          <w:rFonts w:hint="eastAsia" w:ascii="方正仿宋简体" w:hAnsi="宋体" w:eastAsia="方正仿宋简体" w:cs="方正仿宋简体"/>
          <w:b/>
          <w:bCs/>
          <w:color w:val="000000"/>
          <w:kern w:val="0"/>
          <w:sz w:val="32"/>
          <w:szCs w:val="32"/>
        </w:rPr>
        <w:t>旅游与体育融合发展。</w:t>
      </w:r>
      <w:r>
        <w:rPr>
          <w:rFonts w:hint="eastAsia" w:ascii="方正仿宋简体" w:hAnsi="宋体" w:eastAsia="方正仿宋简体" w:cs="方正仿宋简体"/>
          <w:kern w:val="0"/>
          <w:sz w:val="32"/>
          <w:szCs w:val="32"/>
        </w:rPr>
        <w:t>依托全国绿色运动健康大会、马拉松赛、国际铁人三项赛等体育活动，开展精品赛事推介、体育项目现场体验，以及登山、徒步旅行、水上运动、峡谷探险、攀岩、汽车营地、自行车营地等户外活动，推进体育基础设施建设，拓展体育产业发展空间，提升旅游发展内涵。</w:t>
      </w:r>
    </w:p>
    <w:p w14:paraId="35F1C236">
      <w:pPr>
        <w:ind w:firstLine="420"/>
        <w:rPr>
          <w:rFonts w:ascii="方正仿宋简体" w:hAnsi="宋体" w:eastAsia="方正仿宋简体"/>
          <w:kern w:val="0"/>
          <w:sz w:val="32"/>
          <w:szCs w:val="32"/>
        </w:rPr>
      </w:pPr>
      <w:r>
        <w:rPr>
          <w:rFonts w:ascii="方正仿宋简体" w:hAnsi="宋体" w:eastAsia="方正仿宋简体" w:cs="方正仿宋简体"/>
          <w:b/>
          <w:bCs/>
          <w:color w:val="000000"/>
          <w:kern w:val="0"/>
          <w:sz w:val="32"/>
          <w:szCs w:val="32"/>
        </w:rPr>
        <w:t>——</w:t>
      </w:r>
      <w:r>
        <w:rPr>
          <w:rFonts w:hint="eastAsia" w:ascii="方正仿宋简体" w:hAnsi="宋体" w:eastAsia="方正仿宋简体" w:cs="方正仿宋简体"/>
          <w:b/>
          <w:bCs/>
          <w:color w:val="000000"/>
          <w:kern w:val="0"/>
          <w:sz w:val="32"/>
          <w:szCs w:val="32"/>
        </w:rPr>
        <w:t>旅游与金融融合发展。</w:t>
      </w:r>
      <w:r>
        <w:rPr>
          <w:rFonts w:hint="eastAsia" w:ascii="方正仿宋简体" w:hAnsi="宋体" w:eastAsia="方正仿宋简体" w:cs="方正仿宋简体"/>
          <w:kern w:val="0"/>
          <w:sz w:val="32"/>
          <w:szCs w:val="32"/>
        </w:rPr>
        <w:t>以市场为主导，合理配置资源，优化信贷结构，针对文化旅游企业不同发展阶段，量身打造品牌化、多元化、全方位的金融服务产品体系，创新金融机构内部信用评级和授信审批机制、信贷产品和服务方式，鼓励和引导中小企业担保公司为文化旅游企业担保融资，助推文化旅游产业做大做强，实现文化旅游产业与金融业互惠双赢。</w:t>
      </w:r>
    </w:p>
    <w:p w14:paraId="0FBD6033">
      <w:pPr>
        <w:spacing w:line="590" w:lineRule="exact"/>
        <w:ind w:firstLine="643" w:firstLineChars="200"/>
        <w:rPr>
          <w:rFonts w:ascii="仿宋_GB2312" w:eastAsia="方正仿宋简体"/>
          <w:color w:val="000000"/>
          <w:sz w:val="33"/>
          <w:szCs w:val="33"/>
        </w:rPr>
      </w:pPr>
      <w:r>
        <w:rPr>
          <w:rFonts w:ascii="方正仿宋简体" w:hAnsi="宋体" w:eastAsia="方正仿宋简体" w:cs="方正仿宋简体"/>
          <w:b/>
          <w:bCs/>
          <w:color w:val="000000"/>
          <w:kern w:val="0"/>
          <w:sz w:val="32"/>
          <w:szCs w:val="32"/>
        </w:rPr>
        <w:t>——</w:t>
      </w:r>
      <w:r>
        <w:rPr>
          <w:rFonts w:hint="eastAsia" w:ascii="方正仿宋简体" w:hAnsi="宋体" w:eastAsia="方正仿宋简体" w:cs="方正仿宋简体"/>
          <w:b/>
          <w:bCs/>
          <w:color w:val="000000"/>
          <w:kern w:val="0"/>
          <w:sz w:val="32"/>
          <w:szCs w:val="32"/>
        </w:rPr>
        <w:t>旅游与美丽乡村建设融合发展。</w:t>
      </w:r>
      <w:r>
        <w:rPr>
          <w:rFonts w:hint="eastAsia" w:ascii="方正仿宋简体" w:hAnsi="宋体" w:eastAsia="方正仿宋简体" w:cs="方正仿宋简体"/>
          <w:kern w:val="0"/>
          <w:sz w:val="32"/>
          <w:szCs w:val="32"/>
        </w:rPr>
        <w:t>坚持因地制宜，突出地方特色，以环境整治、基础设施建设和公共服务配套为重点内容，以区内旅游走廊和“三线三边”沿线为重点区域，加快推进美丽乡村建设，促进美丽乡村建设与发展乡村旅游有机融合，形成一批具有自身特色且服务功能完善的乡村旅游精品，培育一批旅游名村。</w:t>
      </w:r>
    </w:p>
    <w:p w14:paraId="5B48032C">
      <w:pPr>
        <w:spacing w:line="590" w:lineRule="exact"/>
        <w:ind w:firstLine="643" w:firstLineChars="200"/>
        <w:rPr>
          <w:rFonts w:ascii="方正仿宋简体" w:hAnsi="宋体" w:eastAsia="方正仿宋简体"/>
          <w:kern w:val="0"/>
          <w:sz w:val="32"/>
          <w:szCs w:val="32"/>
        </w:rPr>
      </w:pPr>
      <w:r>
        <w:rPr>
          <w:rFonts w:ascii="方正仿宋简体" w:hAnsi="宋体" w:eastAsia="方正仿宋简体" w:cs="方正仿宋简体"/>
          <w:b/>
          <w:bCs/>
          <w:color w:val="000000"/>
          <w:kern w:val="0"/>
          <w:sz w:val="32"/>
          <w:szCs w:val="32"/>
        </w:rPr>
        <w:t>——</w:t>
      </w:r>
      <w:r>
        <w:rPr>
          <w:rFonts w:hint="eastAsia" w:ascii="方正仿宋简体" w:hAnsi="宋体" w:eastAsia="方正仿宋简体" w:cs="方正仿宋简体"/>
          <w:b/>
          <w:bCs/>
          <w:color w:val="000000"/>
          <w:kern w:val="0"/>
          <w:sz w:val="32"/>
          <w:szCs w:val="32"/>
        </w:rPr>
        <w:t>旅游与新型城镇化建设融合发展。</w:t>
      </w:r>
      <w:r>
        <w:rPr>
          <w:rFonts w:hint="eastAsia" w:ascii="方正仿宋简体" w:hAnsi="宋体" w:eastAsia="方正仿宋简体" w:cs="方正仿宋简体"/>
          <w:kern w:val="0"/>
          <w:sz w:val="32"/>
          <w:szCs w:val="32"/>
        </w:rPr>
        <w:t>明确产业定位，坚持把“生态文明”和“文化传承”作为新型城镇化建设的重要原则，将文化旅游产业功能、城镇功能、生态功能融为一体，培育一批休闲度假小镇、文化旅游小镇、森林养生小镇等旅游名镇，使其真正成为依托和服务于城市的环城旅游、休闲、度假小镇发展带。</w:t>
      </w:r>
    </w:p>
    <w:p w14:paraId="7EDD2D31">
      <w:pPr>
        <w:pStyle w:val="4"/>
        <w:spacing w:after="60" w:line="480" w:lineRule="auto"/>
        <w:ind w:firstLine="643" w:firstLineChars="200"/>
        <w:jc w:val="left"/>
        <w:rPr>
          <w:rFonts w:ascii="方正仿宋简体" w:hAnsi="黑体" w:eastAsia="方正仿宋简体"/>
        </w:rPr>
      </w:pPr>
      <w:bookmarkStart w:id="68" w:name="_Toc449037224"/>
      <w:r>
        <w:rPr>
          <w:rFonts w:hint="eastAsia" w:ascii="方正仿宋简体" w:hAnsi="黑体" w:eastAsia="方正仿宋简体" w:cs="方正仿宋简体"/>
        </w:rPr>
        <w:t>第四节</w:t>
      </w:r>
      <w:r>
        <w:rPr>
          <w:rFonts w:ascii="方正仿宋简体" w:hAnsi="黑体" w:eastAsia="方正仿宋简体" w:cs="方正仿宋简体"/>
        </w:rPr>
        <w:t xml:space="preserve">  </w:t>
      </w:r>
      <w:r>
        <w:rPr>
          <w:rFonts w:hint="eastAsia" w:ascii="方正仿宋简体" w:hAnsi="黑体" w:eastAsia="方正仿宋简体" w:cs="方正仿宋简体"/>
        </w:rPr>
        <w:t>加强旅游公共服务体系建设</w:t>
      </w:r>
      <w:bookmarkEnd w:id="68"/>
    </w:p>
    <w:p w14:paraId="7876EDD0">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完善旅游综合服务体系建设。</w:t>
      </w:r>
      <w:r>
        <w:rPr>
          <w:rFonts w:hint="eastAsia" w:ascii="方正仿宋简体" w:hAnsi="宋体" w:eastAsia="方正仿宋简体" w:cs="方正仿宋简体"/>
          <w:kern w:val="0"/>
          <w:sz w:val="32"/>
          <w:szCs w:val="32"/>
        </w:rPr>
        <w:t>加快建设旅游集散中心、咨询服务中心、旅游标识系统和旅游便民服务设施，努力完善旅游公共服务设施，提升贵池区旅游综合服务功能。</w:t>
      </w:r>
    </w:p>
    <w:p w14:paraId="3794DC28">
      <w:pPr>
        <w:widowControl/>
        <w:snapToGrid w:val="0"/>
        <w:spacing w:line="620" w:lineRule="exact"/>
        <w:ind w:firstLine="643" w:firstLineChars="200"/>
        <w:jc w:val="left"/>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加快旅游道路交通支撑体系建设。</w:t>
      </w:r>
      <w:r>
        <w:rPr>
          <w:rFonts w:hint="eastAsia" w:ascii="方正仿宋简体" w:hAnsi="宋体" w:eastAsia="方正仿宋简体" w:cs="方正仿宋简体"/>
          <w:kern w:val="0"/>
          <w:sz w:val="32"/>
          <w:szCs w:val="32"/>
        </w:rPr>
        <w:t>实施“快旅慢游”战略，进一步改善贵池区内外交通环境，构建网络化、无缝衔接的旅游交通体系，提供便捷、通畅的进入通道，配套建设主城区慢行交通网络，拓展城市慢游空间。重点完善城区、各旅游区交通道路网，加快提升公路等级，推进“青十线”、“齐石线”“梅霄线”、“唐田升金湖线”等旅游公路改造工程，尽快形成快速通达的旅游交通网络，解决旅游区“最后一公里”问题，提升可进入性。</w:t>
      </w:r>
    </w:p>
    <w:p w14:paraId="54CDE498">
      <w:pPr>
        <w:widowControl/>
        <w:snapToGrid w:val="0"/>
        <w:spacing w:line="620" w:lineRule="exact"/>
        <w:ind w:firstLine="643" w:firstLineChars="200"/>
        <w:jc w:val="left"/>
        <w:rPr>
          <w:rFonts w:ascii="仿宋_GB2312" w:hAnsi="宋体" w:eastAsia="仿宋_GB2312"/>
          <w:color w:val="000000"/>
          <w:kern w:val="0"/>
          <w:sz w:val="30"/>
          <w:szCs w:val="30"/>
        </w:rPr>
      </w:pPr>
      <w:r>
        <w:rPr>
          <w:rFonts w:hint="eastAsia" w:ascii="方正楷体简体" w:hAnsi="宋体" w:eastAsia="方正楷体简体" w:cs="方正楷体简体"/>
          <w:b/>
          <w:bCs/>
          <w:kern w:val="0"/>
          <w:sz w:val="32"/>
          <w:szCs w:val="32"/>
        </w:rPr>
        <w:t>推进旅游标准化建设。</w:t>
      </w:r>
      <w:r>
        <w:rPr>
          <w:rFonts w:hint="eastAsia" w:ascii="方正仿宋简体" w:hAnsi="宋体" w:eastAsia="方正仿宋简体" w:cs="方正仿宋简体"/>
          <w:kern w:val="0"/>
          <w:sz w:val="32"/>
          <w:szCs w:val="32"/>
        </w:rPr>
        <w:t>建立健全旅游服务标准体系，开展</w:t>
      </w:r>
      <w:r>
        <w:rPr>
          <w:rFonts w:ascii="方正仿宋简体" w:hAnsi="宋体" w:eastAsia="方正仿宋简体" w:cs="方正仿宋简体"/>
          <w:kern w:val="0"/>
          <w:sz w:val="32"/>
          <w:szCs w:val="32"/>
        </w:rPr>
        <w:t>A</w:t>
      </w:r>
      <w:r>
        <w:rPr>
          <w:rFonts w:hint="eastAsia" w:ascii="方正仿宋简体" w:hAnsi="宋体" w:eastAsia="方正仿宋简体" w:cs="方正仿宋简体"/>
          <w:kern w:val="0"/>
          <w:sz w:val="32"/>
          <w:szCs w:val="32"/>
        </w:rPr>
        <w:t>级景区、旅游度假区、星级饭店、星级农家乐等旅游标准化创建活动，推广应用</w:t>
      </w:r>
      <w:r>
        <w:rPr>
          <w:rFonts w:ascii="方正仿宋简体" w:hAnsi="宋体" w:eastAsia="方正仿宋简体" w:cs="方正仿宋简体"/>
          <w:kern w:val="0"/>
          <w:sz w:val="32"/>
          <w:szCs w:val="32"/>
        </w:rPr>
        <w:t>ISO</w:t>
      </w:r>
      <w:r>
        <w:rPr>
          <w:rFonts w:hint="eastAsia" w:ascii="方正仿宋简体" w:hAnsi="宋体" w:eastAsia="方正仿宋简体" w:cs="方正仿宋简体"/>
          <w:kern w:val="0"/>
          <w:sz w:val="32"/>
          <w:szCs w:val="32"/>
        </w:rPr>
        <w:t>质量和环境管理认证体系，不断提升旅游服务水平。推进“智慧旅游”建设，以游客互动为中心，建立集管理、服务、展示、经营为一体的开放式旅游信息平台和终端体系，推动旅游智慧化。到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年，全区所有</w:t>
      </w:r>
      <w:r>
        <w:rPr>
          <w:rFonts w:ascii="方正仿宋简体" w:hAnsi="宋体" w:eastAsia="方正仿宋简体" w:cs="方正仿宋简体"/>
          <w:kern w:val="0"/>
          <w:sz w:val="32"/>
          <w:szCs w:val="32"/>
        </w:rPr>
        <w:t>4A</w:t>
      </w:r>
      <w:r>
        <w:rPr>
          <w:rFonts w:hint="eastAsia" w:ascii="方正仿宋简体" w:hAnsi="宋体" w:eastAsia="方正仿宋简体" w:cs="方正仿宋简体"/>
          <w:kern w:val="0"/>
          <w:sz w:val="32"/>
          <w:szCs w:val="32"/>
        </w:rPr>
        <w:t>级以上景区全部达到“智慧旅游”景区标准，贵池区创建省级“智慧旅游”县（区）。</w:t>
      </w:r>
    </w:p>
    <w:p w14:paraId="234F5C1A">
      <w:pPr>
        <w:widowControl/>
        <w:spacing w:line="620" w:lineRule="exact"/>
        <w:ind w:firstLine="643" w:firstLineChars="200"/>
        <w:jc w:val="left"/>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创新旅游营销方式。</w:t>
      </w:r>
      <w:r>
        <w:rPr>
          <w:rFonts w:hint="eastAsia" w:ascii="方正仿宋简体" w:hAnsi="宋体" w:eastAsia="方正仿宋简体" w:cs="方正仿宋简体"/>
          <w:kern w:val="0"/>
          <w:sz w:val="32"/>
          <w:szCs w:val="32"/>
        </w:rPr>
        <w:t>充分挖掘贵池生态、文化旅游资源内涵，整合辖区旅游资源，加强与周边旅游景区合作，建立促销联盟，开展整体营销。进一步包装策划青山秀水生态游、宜居休闲度假游等精品旅游线路，积极打造杏花村国际文化旅游节、中国绿色运动会等节庆品牌，提高贵池旅游的市场知名度和美誉度。充分借助“旅游</w:t>
      </w:r>
      <w:r>
        <w:rPr>
          <w:rFonts w:ascii="方正仿宋简体" w:hAnsi="宋体" w:eastAsia="方正仿宋简体" w:cs="方正仿宋简体"/>
          <w:kern w:val="0"/>
          <w:sz w:val="32"/>
          <w:szCs w:val="32"/>
        </w:rPr>
        <w:t>+</w:t>
      </w:r>
      <w:r>
        <w:rPr>
          <w:rFonts w:hint="eastAsia" w:ascii="方正仿宋简体" w:hAnsi="宋体" w:eastAsia="方正仿宋简体" w:cs="方正仿宋简体"/>
          <w:kern w:val="0"/>
          <w:sz w:val="32"/>
          <w:szCs w:val="32"/>
        </w:rPr>
        <w:t>互联网”的融合优势，采用线上线下相结合，借助微信、微博等互联网各种旅游营销平台，实现网络旅游营销全覆盖。</w:t>
      </w:r>
    </w:p>
    <w:p w14:paraId="225E97A3">
      <w:pPr>
        <w:widowControl/>
        <w:spacing w:line="620" w:lineRule="exact"/>
        <w:ind w:firstLine="640" w:firstLineChars="200"/>
        <w:jc w:val="left"/>
        <w:rPr>
          <w:rFonts w:ascii="方正仿宋简体" w:hAnsi="宋体" w:eastAsia="方正仿宋简体"/>
          <w:kern w:val="0"/>
          <w:sz w:val="32"/>
          <w:szCs w:val="32"/>
        </w:rPr>
      </w:pPr>
    </w:p>
    <w:p w14:paraId="1920554B">
      <w:pPr>
        <w:widowControl/>
        <w:spacing w:line="620" w:lineRule="exact"/>
        <w:ind w:firstLine="640" w:firstLineChars="200"/>
        <w:jc w:val="left"/>
        <w:rPr>
          <w:rFonts w:ascii="方正仿宋简体" w:hAnsi="宋体" w:eastAsia="方正仿宋简体"/>
          <w:kern w:val="0"/>
          <w:sz w:val="32"/>
          <w:szCs w:val="32"/>
        </w:rPr>
      </w:pPr>
    </w:p>
    <w:p w14:paraId="47CF1674">
      <w:pPr>
        <w:spacing w:beforeLines="50" w:afterLines="50"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7  </w:t>
      </w:r>
      <w:r>
        <w:rPr>
          <w:rFonts w:hint="eastAsia" w:ascii="宋体" w:hAnsi="宋体" w:cs="宋体"/>
          <w:b/>
          <w:bCs/>
          <w:color w:val="000000"/>
          <w:sz w:val="28"/>
          <w:szCs w:val="28"/>
        </w:rPr>
        <w:t>旅游业重点建设项目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58C4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5000" w:type="pct"/>
          </w:tcPr>
          <w:p w14:paraId="2AF923BC">
            <w:pPr>
              <w:spacing w:line="560" w:lineRule="exact"/>
              <w:ind w:firstLine="560" w:firstLineChars="200"/>
              <w:rPr>
                <w:rFonts w:ascii="宋体"/>
                <w:b/>
                <w:bCs/>
                <w:color w:val="000000"/>
                <w:kern w:val="0"/>
                <w:sz w:val="28"/>
                <w:szCs w:val="28"/>
              </w:rPr>
            </w:pPr>
            <w:r>
              <w:rPr>
                <w:rFonts w:hint="eastAsia" w:ascii="方正仿宋简体" w:hAnsi="宋体" w:eastAsia="方正仿宋简体" w:cs="方正仿宋简体"/>
                <w:color w:val="000000"/>
                <w:kern w:val="0"/>
                <w:sz w:val="28"/>
                <w:szCs w:val="28"/>
              </w:rPr>
              <w:t>重点推动天生湖旅游综合体、杏花醉雨、秋浦河水上观光、杏花村自驾车及房车营地、杏花村文化旅游区民俗文化保护与展示、杏花村文化旅游区东村口游客服务中心、杏花村文化旅游区北村口游客服务中心、万罗山国家级生态文化旅游度假区开发、高端生态养生度假栖息地、元四民俗文化综合旅游开发、九华天池文化旅游休闲度假区开发、霄坑大峡谷旅游景区开发、梦陶园休闲度假区、石门高乡村旅游、陈村美丽乡村旅游开发和池州市申懋游乐园等项目建设。</w:t>
            </w:r>
          </w:p>
        </w:tc>
      </w:tr>
    </w:tbl>
    <w:p w14:paraId="43D8966B"/>
    <w:p w14:paraId="0BB0662A">
      <w:pPr>
        <w:pStyle w:val="24"/>
        <w:spacing w:before="0" w:after="0" w:line="240" w:lineRule="exact"/>
        <w:rPr>
          <w:rFonts w:ascii="黑体" w:hAnsi="黑体" w:eastAsia="黑体" w:cs="Times New Roman"/>
          <w:b w:val="0"/>
          <w:bCs w:val="0"/>
          <w:sz w:val="30"/>
          <w:szCs w:val="30"/>
        </w:rPr>
      </w:pPr>
      <w:bookmarkStart w:id="69" w:name="_Toc433099774"/>
      <w:bookmarkStart w:id="70" w:name="_Toc435189532"/>
    </w:p>
    <w:bookmarkEnd w:id="69"/>
    <w:bookmarkEnd w:id="70"/>
    <w:p w14:paraId="40EB6009">
      <w:pPr>
        <w:pStyle w:val="3"/>
        <w:spacing w:after="120" w:line="480" w:lineRule="auto"/>
        <w:ind w:firstLine="640" w:firstLineChars="200"/>
        <w:jc w:val="left"/>
        <w:rPr>
          <w:rFonts w:ascii="方正黑体简体" w:hAnsi="黑体" w:eastAsia="方正黑体简体" w:cs="Times New Roman"/>
          <w:b w:val="0"/>
          <w:bCs w:val="0"/>
        </w:rPr>
      </w:pPr>
      <w:bookmarkStart w:id="71" w:name="_Toc449037225"/>
      <w:r>
        <w:rPr>
          <w:rFonts w:hint="eastAsia" w:ascii="方正黑体简体" w:hAnsi="黑体" w:eastAsia="方正黑体简体" w:cs="方正黑体简体"/>
          <w:b w:val="0"/>
          <w:bCs w:val="0"/>
        </w:rPr>
        <w:t>第六章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培育提升新业态，加快发展现代服务业</w:t>
      </w:r>
      <w:bookmarkEnd w:id="71"/>
    </w:p>
    <w:bookmarkEnd w:id="63"/>
    <w:p w14:paraId="134BEA06">
      <w:pPr>
        <w:spacing w:line="620" w:lineRule="exact"/>
        <w:ind w:right="23" w:rightChars="11" w:firstLine="640" w:firstLineChars="200"/>
        <w:jc w:val="left"/>
        <w:rPr>
          <w:rFonts w:ascii="方正仿宋简体" w:eastAsia="方正仿宋简体"/>
          <w:b/>
          <w:bCs/>
          <w:sz w:val="32"/>
          <w:szCs w:val="32"/>
        </w:rPr>
      </w:pPr>
      <w:r>
        <w:rPr>
          <w:rFonts w:hint="eastAsia" w:ascii="方正仿宋简体" w:hAnsi="宋体" w:eastAsia="方正仿宋简体" w:cs="方正仿宋简体"/>
          <w:kern w:val="0"/>
          <w:sz w:val="32"/>
          <w:szCs w:val="32"/>
        </w:rPr>
        <w:t>坚持市场化、产业化、社会化的发展方向，以全面发展现代服务业为核心，以提升发展生活性服务业为基础，以加快发展生产性服务业为重点，以商贸物流、电子商务、健康养生为支撑点，着力扩大服务业总量，提高服务业发展质量，优化服务业结构。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年，力争全区实现服务业增加值</w:t>
      </w:r>
      <w:r>
        <w:rPr>
          <w:rFonts w:ascii="方正仿宋简体" w:hAnsi="仿宋" w:eastAsia="方正仿宋简体" w:cs="方正仿宋简体"/>
          <w:sz w:val="32"/>
          <w:szCs w:val="32"/>
        </w:rPr>
        <w:t>180</w:t>
      </w:r>
      <w:r>
        <w:rPr>
          <w:rFonts w:hint="eastAsia" w:ascii="方正仿宋简体" w:hAnsi="宋体" w:eastAsia="方正仿宋简体" w:cs="方正仿宋简体"/>
          <w:kern w:val="0"/>
          <w:sz w:val="32"/>
          <w:szCs w:val="32"/>
        </w:rPr>
        <w:t>亿元以上，占</w:t>
      </w:r>
      <w:r>
        <w:rPr>
          <w:rFonts w:ascii="方正仿宋简体" w:hAnsi="宋体" w:eastAsia="方正仿宋简体" w:cs="方正仿宋简体"/>
          <w:kern w:val="0"/>
          <w:sz w:val="32"/>
          <w:szCs w:val="32"/>
        </w:rPr>
        <w:t>GDP</w:t>
      </w:r>
      <w:r>
        <w:rPr>
          <w:rFonts w:hint="eastAsia" w:ascii="方正仿宋简体" w:hAnsi="宋体" w:eastAsia="方正仿宋简体" w:cs="方正仿宋简体"/>
          <w:kern w:val="0"/>
          <w:sz w:val="32"/>
          <w:szCs w:val="32"/>
        </w:rPr>
        <w:t>比重达</w:t>
      </w:r>
      <w:r>
        <w:rPr>
          <w:rFonts w:ascii="方正仿宋简体" w:hAnsi="宋体" w:eastAsia="方正仿宋简体" w:cs="方正仿宋简体"/>
          <w:kern w:val="0"/>
          <w:sz w:val="32"/>
          <w:szCs w:val="32"/>
        </w:rPr>
        <w:t>45%</w:t>
      </w:r>
      <w:r>
        <w:rPr>
          <w:rFonts w:hint="eastAsia" w:ascii="方正仿宋简体" w:hAnsi="宋体" w:eastAsia="方正仿宋简体" w:cs="方正仿宋简体"/>
          <w:kern w:val="0"/>
          <w:sz w:val="32"/>
          <w:szCs w:val="32"/>
        </w:rPr>
        <w:t>。</w:t>
      </w:r>
    </w:p>
    <w:p w14:paraId="7C79579C">
      <w:pPr>
        <w:pStyle w:val="4"/>
        <w:spacing w:after="60" w:line="480" w:lineRule="auto"/>
        <w:ind w:firstLine="643" w:firstLineChars="200"/>
        <w:jc w:val="left"/>
        <w:rPr>
          <w:rFonts w:ascii="方正仿宋简体" w:hAnsi="黑体" w:eastAsia="方正仿宋简体"/>
        </w:rPr>
      </w:pPr>
      <w:bookmarkStart w:id="72" w:name="_Toc449037226"/>
      <w:bookmarkStart w:id="73" w:name="_Toc6406"/>
      <w:bookmarkStart w:id="74" w:name="_Toc19045"/>
      <w:bookmarkStart w:id="75" w:name="_Toc24721"/>
      <w:bookmarkStart w:id="76" w:name="_Toc432405453"/>
      <w:bookmarkStart w:id="77" w:name="_Toc430532497"/>
      <w:bookmarkStart w:id="78" w:name="_Toc432670956"/>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推动生产性服务业向专业化</w:t>
      </w:r>
      <w:bookmarkEnd w:id="72"/>
    </w:p>
    <w:bookmarkEnd w:id="73"/>
    <w:bookmarkEnd w:id="74"/>
    <w:bookmarkEnd w:id="75"/>
    <w:bookmarkEnd w:id="76"/>
    <w:bookmarkEnd w:id="77"/>
    <w:bookmarkEnd w:id="78"/>
    <w:p w14:paraId="0C49E1CF">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金融业。</w:t>
      </w:r>
      <w:r>
        <w:rPr>
          <w:rFonts w:hint="eastAsia" w:ascii="方正仿宋简体" w:hAnsi="宋体" w:eastAsia="方正仿宋简体" w:cs="方正仿宋简体"/>
          <w:kern w:val="0"/>
          <w:sz w:val="32"/>
          <w:szCs w:val="32"/>
        </w:rPr>
        <w:t>积极组建、引进和完善各类金融机构，有效利用民间资本，发展民间金融。提升地方法人金融机构实力，推动新型金融机构快速发展，不断增加国有商业银行和股份制商业银行分支机构区及以下网点数量，引导各类准金融机构、金融中介组织有序发展。加快农村金融网点建设和金融服务功能完善，布设</w:t>
      </w:r>
      <w:r>
        <w:rPr>
          <w:rFonts w:ascii="方正仿宋简体" w:hAnsi="宋体" w:eastAsia="方正仿宋简体" w:cs="方正仿宋简体"/>
          <w:kern w:val="0"/>
          <w:sz w:val="32"/>
          <w:szCs w:val="32"/>
        </w:rPr>
        <w:t>ATM</w:t>
      </w:r>
      <w:r>
        <w:rPr>
          <w:rFonts w:hint="eastAsia" w:ascii="方正仿宋简体" w:hAnsi="宋体" w:eastAsia="方正仿宋简体" w:cs="方正仿宋简体"/>
          <w:kern w:val="0"/>
          <w:sz w:val="32"/>
          <w:szCs w:val="32"/>
        </w:rPr>
        <w:t>机等金融自助服务终端，到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实现农村金融服务室（站）行政村全覆盖。引导和扶持金融机构开展制度创新、管理创新、产品创新和服务创新，积极稳妥推进互联网金融。强化政策性融资担保公司建设，提高资本金规模，提升融资担保能力。创新融资体制，认真落实奖补政策，加大企业“新三板”挂牌和上市工作力度，推进企业直接融资，提高直接融资比例。加大企业上市力度，力争每年平均有</w:t>
      </w:r>
      <w:r>
        <w:rPr>
          <w:rFonts w:ascii="方正仿宋简体" w:hAnsi="宋体" w:eastAsia="方正仿宋简体" w:cs="方正仿宋简体"/>
          <w:kern w:val="0"/>
          <w:sz w:val="32"/>
          <w:szCs w:val="32"/>
        </w:rPr>
        <w:t>1</w:t>
      </w:r>
      <w:r>
        <w:rPr>
          <w:rFonts w:hint="eastAsia" w:ascii="方正仿宋简体" w:hAnsi="宋体" w:eastAsia="方正仿宋简体" w:cs="方正仿宋简体"/>
          <w:kern w:val="0"/>
          <w:sz w:val="32"/>
          <w:szCs w:val="32"/>
        </w:rPr>
        <w:t>家以上企业成功在主板、“新三板”或“四板”上市挂牌。</w:t>
      </w:r>
    </w:p>
    <w:p w14:paraId="58E351D4">
      <w:pPr>
        <w:autoSpaceDE w:val="0"/>
        <w:autoSpaceDN w:val="0"/>
        <w:adjustRightInd w:val="0"/>
        <w:spacing w:line="620" w:lineRule="exact"/>
        <w:ind w:firstLine="643" w:firstLineChars="200"/>
        <w:jc w:val="left"/>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电子商务。</w:t>
      </w:r>
      <w:r>
        <w:rPr>
          <w:rFonts w:hint="eastAsia" w:ascii="方正仿宋简体" w:hAnsi="宋体" w:eastAsia="方正仿宋简体" w:cs="方正仿宋简体"/>
          <w:kern w:val="0"/>
          <w:sz w:val="32"/>
          <w:szCs w:val="32"/>
        </w:rPr>
        <w:t>培育一批具有规模影响力的电子商务企业和服务品牌。支持搭建区域电子商务公共服务平台，加快发展线上线下融合、覆盖全程、综合配套、安全高效、便捷实惠的现代商品流通和服务网络。加快农村信息基础设施建设和宽带普及，推动电子商务进农村发展，加大对农村电商人才的培养，引导具有实践经验的电子商务从业者返乡创业，鼓励电子商务职业经理人到农村发展。支持电商运营平台或龙头电商企业，在镇街道（园区）、行政村设立农村电子商务服务站（点）。加快推进池州高新区电子商务产业园等重点项目建设，促进跨境电子商务协同发展，参与全球市场竞争，促进产品、服务质量提升和品牌建设，更紧密地融入全球产业体系。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年，建成若干电子商务产业园区，网络零售额占全社会消费品零售额比重达到</w:t>
      </w:r>
      <w:r>
        <w:rPr>
          <w:rFonts w:ascii="方正仿宋简体" w:hAnsi="宋体" w:eastAsia="方正仿宋简体" w:cs="方正仿宋简体"/>
          <w:kern w:val="0"/>
          <w:sz w:val="32"/>
          <w:szCs w:val="32"/>
        </w:rPr>
        <w:t>10%</w:t>
      </w:r>
      <w:r>
        <w:rPr>
          <w:rFonts w:hint="eastAsia" w:ascii="方正仿宋简体" w:hAnsi="宋体" w:eastAsia="方正仿宋简体" w:cs="方正仿宋简体"/>
          <w:kern w:val="0"/>
          <w:sz w:val="32"/>
          <w:szCs w:val="32"/>
        </w:rPr>
        <w:t>。</w:t>
      </w:r>
    </w:p>
    <w:p w14:paraId="0F8B434E">
      <w:pPr>
        <w:snapToGrid w:val="0"/>
        <w:spacing w:line="58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科技服务业。</w:t>
      </w:r>
      <w:r>
        <w:rPr>
          <w:rFonts w:hint="eastAsia" w:ascii="方正仿宋简体" w:hAnsi="宋体" w:eastAsia="方正仿宋简体" w:cs="方正仿宋简体"/>
          <w:kern w:val="0"/>
          <w:sz w:val="32"/>
          <w:szCs w:val="32"/>
        </w:rPr>
        <w:t>大力发展研究开发、技术转移、创业孵化、知识产权、科技金融等服务业态，积极培育市场化新型研发组织、研发中介，推广“孵化</w:t>
      </w:r>
      <w:r>
        <w:rPr>
          <w:rFonts w:ascii="方正仿宋简体" w:hAnsi="宋体" w:eastAsia="方正仿宋简体" w:cs="方正仿宋简体"/>
          <w:kern w:val="0"/>
          <w:sz w:val="32"/>
          <w:szCs w:val="32"/>
        </w:rPr>
        <w:t>+</w:t>
      </w:r>
      <w:r>
        <w:rPr>
          <w:rFonts w:hint="eastAsia" w:ascii="方正仿宋简体" w:hAnsi="宋体" w:eastAsia="方正仿宋简体" w:cs="方正仿宋简体"/>
          <w:kern w:val="0"/>
          <w:sz w:val="32"/>
          <w:szCs w:val="32"/>
        </w:rPr>
        <w:t>创投”等孵化模式，探索投贷结合的融资模式，建设一批面向中小企业的科技公共服务平台、工业园区配套服务中心，推动科技服务与企业对接，促进工业设计与科技成果产业化。到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年，基本形成覆盖科技创新全链条的科技服务体系，培育若干具有知名品牌的科技服务机构和龙头企业。</w:t>
      </w:r>
    </w:p>
    <w:p w14:paraId="699CFDBC">
      <w:pPr>
        <w:spacing w:line="58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信息服务业。</w:t>
      </w:r>
      <w:r>
        <w:rPr>
          <w:rFonts w:hint="eastAsia" w:ascii="方正仿宋简体" w:hAnsi="宋体" w:eastAsia="方正仿宋简体" w:cs="方正仿宋简体"/>
          <w:kern w:val="0"/>
          <w:sz w:val="32"/>
          <w:szCs w:val="32"/>
        </w:rPr>
        <w:t>突出发展大数据服务、行业应用软件、嵌入式软件、软件技术服务、集成电路设计和系统集成等，促进工业生产流程再造和优化。大力发展云计算、物联网、北斗卫星系统应用和呼叫中心等特色信息产品，推动动漫游戏与虚拟仿真技术在设计、制造等领域的集成应用。加快发展物联网产业，推进物联网在智能交通、环境保护、公共安全、平安家居、智能消防、食品溯源等领域的应用。</w:t>
      </w:r>
    </w:p>
    <w:p w14:paraId="38622E96">
      <w:pPr>
        <w:tabs>
          <w:tab w:val="left" w:pos="720"/>
        </w:tabs>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总部经济。</w:t>
      </w:r>
      <w:r>
        <w:rPr>
          <w:rFonts w:hint="eastAsia" w:ascii="方正仿宋简体" w:hAnsi="宋体" w:eastAsia="方正仿宋简体" w:cs="方正仿宋简体"/>
          <w:kern w:val="0"/>
          <w:sz w:val="32"/>
          <w:szCs w:val="32"/>
        </w:rPr>
        <w:t>以境内丰富的旅游资源、生态资源、佛教文化资源、产业园区、物流集聚区和商务商贸集聚区为基础，设立总部经济区，重点发展高新技术产业研发、企业区域销售采购中心等功能性总部，以及金融保险、商贸流通、文化旅游、佛教文化、生态环保、文化传媒等区域性总部。吸引重点发展领域的中小企业入住总部经济区，提升产业活力。合理规划商务楼宇建设总量，与总部经济发展规模保持同步。</w:t>
      </w:r>
    </w:p>
    <w:p w14:paraId="47184221">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文化创意。</w:t>
      </w:r>
      <w:r>
        <w:rPr>
          <w:rFonts w:hint="eastAsia" w:ascii="方正仿宋简体" w:hAnsi="宋体" w:eastAsia="方正仿宋简体" w:cs="方正仿宋简体"/>
          <w:kern w:val="0"/>
          <w:sz w:val="32"/>
          <w:szCs w:val="32"/>
        </w:rPr>
        <w:t>依托贵池特色产业优势、文化资源优势，大力培育文化创意产业，积极推动文化创意与制造业、旅游等产业的互动融合，发展旅游用品设计、礼品设计、工业设计、服装设计等。</w:t>
      </w:r>
    </w:p>
    <w:p w14:paraId="374947D0">
      <w:pPr>
        <w:pStyle w:val="4"/>
        <w:spacing w:after="60" w:line="480" w:lineRule="auto"/>
        <w:ind w:firstLine="643" w:firstLineChars="200"/>
        <w:jc w:val="left"/>
        <w:rPr>
          <w:rFonts w:ascii="方正仿宋简体" w:hAnsi="黑体" w:eastAsia="方正仿宋简体"/>
        </w:rPr>
      </w:pPr>
      <w:bookmarkStart w:id="79" w:name="_Toc432670957"/>
      <w:bookmarkStart w:id="80" w:name="_Toc18266"/>
      <w:bookmarkStart w:id="81" w:name="_Toc430532498"/>
      <w:bookmarkStart w:id="82" w:name="_Toc30155"/>
      <w:bookmarkStart w:id="83" w:name="_Toc11322"/>
      <w:bookmarkStart w:id="84" w:name="_Toc432405454"/>
      <w:bookmarkStart w:id="85" w:name="_Toc449037227"/>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推动生活性服务业</w:t>
      </w:r>
      <w:bookmarkEnd w:id="79"/>
      <w:bookmarkEnd w:id="80"/>
      <w:bookmarkEnd w:id="81"/>
      <w:bookmarkEnd w:id="82"/>
      <w:bookmarkEnd w:id="83"/>
      <w:bookmarkEnd w:id="84"/>
      <w:r>
        <w:rPr>
          <w:rFonts w:hint="eastAsia" w:ascii="方正仿宋简体" w:hAnsi="黑体" w:eastAsia="方正仿宋简体" w:cs="方正仿宋简体"/>
        </w:rPr>
        <w:t>品质化</w:t>
      </w:r>
      <w:bookmarkEnd w:id="85"/>
    </w:p>
    <w:p w14:paraId="6B0D9BD6">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加快发展养老服务业。</w:t>
      </w:r>
      <w:r>
        <w:rPr>
          <w:rFonts w:hint="eastAsia" w:ascii="方正仿宋简体" w:hAnsi="宋体" w:eastAsia="方正仿宋简体" w:cs="方正仿宋简体"/>
          <w:kern w:val="0"/>
          <w:sz w:val="32"/>
          <w:szCs w:val="32"/>
        </w:rPr>
        <w:t>采取政府主导、社会集资、民办公助等多种形式推动社会化养老工作。加强区综合性社区福利服务设施建设。每个社区建设一所老人日间照料中心。镇街社会养老中心充分利用自有资源，改造空余房间用于社会化养老，使各社会养老中心床位利用率达到</w:t>
      </w:r>
      <w:r>
        <w:rPr>
          <w:rFonts w:ascii="方正仿宋简体" w:hAnsi="宋体" w:eastAsia="方正仿宋简体" w:cs="方正仿宋简体"/>
          <w:kern w:val="0"/>
          <w:sz w:val="32"/>
          <w:szCs w:val="32"/>
        </w:rPr>
        <w:t>95%</w:t>
      </w:r>
      <w:r>
        <w:rPr>
          <w:rFonts w:hint="eastAsia" w:ascii="方正仿宋简体" w:hAnsi="宋体" w:eastAsia="方正仿宋简体" w:cs="方正仿宋简体"/>
          <w:kern w:val="0"/>
          <w:sz w:val="32"/>
          <w:szCs w:val="32"/>
        </w:rPr>
        <w:t>以上。</w:t>
      </w:r>
      <w:r>
        <w:rPr>
          <w:rFonts w:hint="eastAsia" w:ascii="方正仿宋简体" w:eastAsia="方正仿宋简体" w:cs="方正仿宋简体"/>
          <w:color w:val="000000"/>
          <w:sz w:val="32"/>
          <w:szCs w:val="32"/>
        </w:rPr>
        <w:t>支持社会力量举办养老机构，支持各类养老服务企业和社会组织发展，积极开展养老社会组织孵化工作。</w:t>
      </w:r>
    </w:p>
    <w:p w14:paraId="5E64ED14">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积极发展家庭服务业。</w:t>
      </w:r>
      <w:r>
        <w:rPr>
          <w:rFonts w:hint="eastAsia" w:ascii="方正仿宋简体" w:hAnsi="宋体" w:eastAsia="方正仿宋简体" w:cs="方正仿宋简体"/>
          <w:kern w:val="0"/>
          <w:sz w:val="32"/>
          <w:szCs w:val="32"/>
        </w:rPr>
        <w:t>坚持市场运作与政府引导相结合、政府扶持与规范管理相结合、满足生活需求与促进经济结构调整相结合、促进就业与维护权益相结合，引导和鼓励各种资本投资创办家庭服务企业，推进公益性信息平台建设，统筹发展家政服务、病患陪护服务、托老（幼）护理、保洁、代购代销等业态。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年，惠及城乡居民的家庭服务体系比较健全，基本满足家庭的服务需求。</w:t>
      </w:r>
    </w:p>
    <w:p w14:paraId="4833CE27">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大力发展社区服务业。</w:t>
      </w:r>
      <w:r>
        <w:rPr>
          <w:rFonts w:hint="eastAsia" w:ascii="方正仿宋简体" w:hAnsi="宋体" w:eastAsia="方正仿宋简体" w:cs="方正仿宋简体"/>
          <w:kern w:val="0"/>
          <w:sz w:val="32"/>
          <w:szCs w:val="32"/>
        </w:rPr>
        <w:t>围绕便民服务，鼓励企业设立社区服务网点，加快形成便利店、家政、邮政、托幼、医疗、教育、文娱、维修、保安、再生资源回收等配套完善的社区服务设施网络。创新社区服务形式与内容，完善社区服务与管理，推进社区服务向社会化、产业化、网络化方向发展。</w:t>
      </w:r>
    </w:p>
    <w:p w14:paraId="36059A2A">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推动房地产业健康发展。</w:t>
      </w:r>
      <w:r>
        <w:rPr>
          <w:rFonts w:hint="eastAsia" w:ascii="方正仿宋简体" w:hAnsi="宋体" w:eastAsia="方正仿宋简体" w:cs="方正仿宋简体"/>
          <w:kern w:val="0"/>
          <w:sz w:val="32"/>
          <w:szCs w:val="32"/>
        </w:rPr>
        <w:t>合理引导和发展商品房市场，优化和保障供给。加快建立以棚户区和农村危房改造为主要内容的住房保障体系，改善中低收入家庭居住条件。实施绿色建筑行动，强化建筑节能，提高住宅产业科技含量和智能化水平。推进房地产去库存化，保持房地产业持续健康发展。</w:t>
      </w:r>
    </w:p>
    <w:p w14:paraId="660DD440">
      <w:pPr>
        <w:pStyle w:val="4"/>
        <w:spacing w:after="60" w:line="480" w:lineRule="auto"/>
        <w:ind w:firstLine="643" w:firstLineChars="200"/>
        <w:jc w:val="left"/>
        <w:rPr>
          <w:rFonts w:ascii="方正仿宋简体" w:hAnsi="黑体" w:eastAsia="方正仿宋简体"/>
        </w:rPr>
      </w:pPr>
      <w:bookmarkStart w:id="86" w:name="_Toc10516"/>
      <w:bookmarkStart w:id="87" w:name="_Toc432405451"/>
      <w:bookmarkStart w:id="88" w:name="_Toc28489"/>
      <w:bookmarkStart w:id="89" w:name="_Toc382"/>
      <w:bookmarkStart w:id="90" w:name="_Toc432670955"/>
      <w:bookmarkStart w:id="91" w:name="_Toc449037228"/>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推动商贸物流业</w:t>
      </w:r>
      <w:bookmarkEnd w:id="86"/>
      <w:bookmarkEnd w:id="87"/>
      <w:bookmarkEnd w:id="88"/>
      <w:bookmarkEnd w:id="89"/>
      <w:bookmarkEnd w:id="90"/>
      <w:r>
        <w:rPr>
          <w:rFonts w:hint="eastAsia" w:ascii="方正仿宋简体" w:hAnsi="黑体" w:eastAsia="方正仿宋简体" w:cs="方正仿宋简体"/>
        </w:rPr>
        <w:t>精细化</w:t>
      </w:r>
      <w:bookmarkEnd w:id="91"/>
    </w:p>
    <w:p w14:paraId="45E031A4">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加强中心商务区建设。</w:t>
      </w:r>
      <w:r>
        <w:rPr>
          <w:rFonts w:hint="eastAsia" w:ascii="方正仿宋简体" w:hAnsi="宋体" w:eastAsia="方正仿宋简体" w:cs="方正仿宋简体"/>
          <w:kern w:val="0"/>
          <w:sz w:val="32"/>
          <w:szCs w:val="32"/>
        </w:rPr>
        <w:t>以东部新区、西部新城建设为契机，着力引进知名品牌开发商，加快推进集大型商业购物中心、星级品牌酒店、高档写字楼、休闲娱乐等功能为一体的新区商业综合体、前江城市商业综合体建设，增强中心城区辐射服务能力，提升城市品位、居民生活品质。依托高铁站点、池州长江大桥出入口的人气积聚和辐射带动效应，着力打造集物流配送、旅游集散、商贸市场于一体的商业综合体。加快规划建设特色商业街，重点建设杏花村美食一条街、旅游商品一条街等特色商业街。</w:t>
      </w:r>
    </w:p>
    <w:p w14:paraId="568580E9">
      <w:pPr>
        <w:spacing w:line="620" w:lineRule="exact"/>
        <w:ind w:right="23" w:rightChars="11" w:firstLine="643" w:firstLineChars="200"/>
        <w:jc w:val="left"/>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加快市场体系建设。</w:t>
      </w:r>
      <w:r>
        <w:rPr>
          <w:rFonts w:hint="eastAsia" w:ascii="方正仿宋简体" w:hAnsi="宋体" w:eastAsia="方正仿宋简体" w:cs="方正仿宋简体"/>
          <w:kern w:val="0"/>
          <w:sz w:val="32"/>
          <w:szCs w:val="32"/>
        </w:rPr>
        <w:t>按照交易方式现代化、管理模式信息化的要求，通过推进市场功能、经营制度和交易方式的创新，加快各类专业市场、综合市场、集贸市场的改造提升。积极培育新兴市场，加快推进殷汇专业市场、里山街道石材大市场、梅村镇茶叶大市场等新兴市场建设。继续完善农村消费网络，推进农村农贸市场改造提升，全面推进“万村千乡市场工程”，建设镇街商贸中心、配送中心和直营连锁店。逐步形成以主城区为中心，殷汇、牛头山、马衙、乌沙、梅街、梅村等为补充，合理分工、功能互补的市场体系。</w:t>
      </w:r>
    </w:p>
    <w:p w14:paraId="3E0DEFCE">
      <w:pPr>
        <w:spacing w:line="620" w:lineRule="exact"/>
        <w:ind w:right="23" w:rightChars="11" w:firstLine="643" w:firstLineChars="200"/>
        <w:jc w:val="left"/>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打造物流高地。</w:t>
      </w:r>
      <w:r>
        <w:rPr>
          <w:rFonts w:hint="eastAsia" w:ascii="方正仿宋简体" w:hAnsi="宋体" w:eastAsia="方正仿宋简体" w:cs="方正仿宋简体"/>
          <w:kern w:val="0"/>
          <w:sz w:val="32"/>
          <w:szCs w:val="32"/>
        </w:rPr>
        <w:t>依托产业园区、矿产品开采及精深加工基地、大宗商品集散地，在牛头山、乌沙等重要港区和交通枢纽布局创建现代物流集聚区，配套建设新型专业市场、仓储等相关设施，建设现代化、集约化、高效率的综合物流基地。加快物流设施建设，完善区域物流体系，提高物流配送能力。加强交通运输、商贸物流、供销、邮政及快递、电商等相关物流服务网络和设施的共享衔接，鼓励多站合一、服务同网。鼓励传统运输、仓储、批发、零售等企业逐步拓展服务范围，支持传统商贸企业建设现代商贸中心和物流配送中心，发展第三方配送和共同配送，提高物流效率。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年，打造若干个长江经济带知名的港口物流集散中心。</w:t>
      </w:r>
    </w:p>
    <w:p w14:paraId="20FAB172">
      <w:pPr>
        <w:spacing w:afterLines="50" w:line="620" w:lineRule="exact"/>
        <w:jc w:val="center"/>
        <w:rPr>
          <w:rFonts w:ascii="宋体"/>
          <w:b/>
          <w:bCs/>
          <w:sz w:val="28"/>
          <w:szCs w:val="28"/>
        </w:rPr>
      </w:pPr>
      <w:r>
        <w:rPr>
          <w:rFonts w:hint="eastAsia" w:ascii="宋体" w:hAnsi="宋体" w:cs="宋体"/>
          <w:b/>
          <w:bCs/>
          <w:sz w:val="28"/>
          <w:szCs w:val="28"/>
        </w:rPr>
        <w:t>专栏</w:t>
      </w:r>
      <w:r>
        <w:rPr>
          <w:rFonts w:ascii="宋体" w:hAnsi="宋体" w:cs="宋体"/>
          <w:b/>
          <w:bCs/>
          <w:sz w:val="28"/>
          <w:szCs w:val="28"/>
        </w:rPr>
        <w:t xml:space="preserve">8  </w:t>
      </w:r>
      <w:r>
        <w:rPr>
          <w:rFonts w:hint="eastAsia" w:ascii="宋体" w:hAnsi="宋体" w:cs="宋体"/>
          <w:b/>
          <w:bCs/>
          <w:sz w:val="28"/>
          <w:szCs w:val="28"/>
        </w:rPr>
        <w:t>服务业重点建设项目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5813C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vAlign w:val="center"/>
          </w:tcPr>
          <w:p w14:paraId="0CE7AA89">
            <w:pPr>
              <w:spacing w:line="560" w:lineRule="exact"/>
              <w:ind w:firstLine="560" w:firstLineChars="200"/>
              <w:rPr>
                <w:rFonts w:ascii="宋体"/>
                <w:b/>
                <w:bCs/>
                <w:kern w:val="0"/>
                <w:sz w:val="28"/>
                <w:szCs w:val="28"/>
              </w:rPr>
            </w:pPr>
            <w:r>
              <w:rPr>
                <w:rFonts w:hint="eastAsia" w:ascii="方正仿宋简体" w:hAnsi="宋体" w:eastAsia="方正仿宋简体" w:cs="方正仿宋简体"/>
                <w:sz w:val="28"/>
                <w:szCs w:val="28"/>
              </w:rPr>
              <w:t>重点推动池州高新区物流园区建设、池州高新区软件产业园建设、前江港口物流、前江工业园区综合服务区、“大龙网”跨境电子商务产业园、</w:t>
            </w:r>
            <w:r>
              <w:rPr>
                <w:rFonts w:hint="eastAsia" w:ascii="方正仿宋简体" w:hAnsi="宋体" w:eastAsia="方正仿宋简体" w:cs="方正仿宋简体"/>
                <w:color w:val="000000"/>
                <w:sz w:val="28"/>
                <w:szCs w:val="28"/>
              </w:rPr>
              <w:t>里山小石材市场、牛头山镇商贸物流城建设、前江仓储保税及国际贸易、前江流通加工、前江商务办公和涓桥恒安机动车检测等项目建设。</w:t>
            </w:r>
          </w:p>
        </w:tc>
      </w:tr>
    </w:tbl>
    <w:p w14:paraId="6C2DB2A2"/>
    <w:p w14:paraId="2BD96AE5">
      <w:pPr>
        <w:pStyle w:val="3"/>
        <w:spacing w:after="120" w:line="480" w:lineRule="auto"/>
        <w:ind w:firstLine="640" w:firstLineChars="200"/>
        <w:jc w:val="left"/>
        <w:rPr>
          <w:rFonts w:ascii="方正黑体简体" w:hAnsi="黑体" w:eastAsia="方正黑体简体" w:cs="Times New Roman"/>
          <w:b w:val="0"/>
          <w:bCs w:val="0"/>
          <w:color w:val="FF0000"/>
        </w:rPr>
      </w:pPr>
      <w:bookmarkStart w:id="92" w:name="_Toc449037229"/>
      <w:r>
        <w:rPr>
          <w:rFonts w:hint="eastAsia" w:ascii="方正黑体简体" w:hAnsi="黑体" w:eastAsia="方正黑体简体" w:cs="方正黑体简体"/>
          <w:b w:val="0"/>
          <w:bCs w:val="0"/>
        </w:rPr>
        <w:t>第七章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大力发展现代农业，提高农业产业化水平</w:t>
      </w:r>
      <w:bookmarkEnd w:id="92"/>
    </w:p>
    <w:p w14:paraId="4E249B1D">
      <w:pPr>
        <w:spacing w:line="620" w:lineRule="exact"/>
        <w:ind w:firstLine="640" w:firstLineChars="200"/>
        <w:rPr>
          <w:rFonts w:ascii="方正仿宋简体" w:hAnsi="宋体" w:eastAsia="方正仿宋简体"/>
          <w:kern w:val="0"/>
          <w:sz w:val="32"/>
          <w:szCs w:val="32"/>
        </w:rPr>
      </w:pPr>
      <w:r>
        <w:rPr>
          <w:rFonts w:hint="eastAsia" w:ascii="方正仿宋简体" w:hAnsi="宋体" w:eastAsia="方正仿宋简体" w:cs="方正仿宋简体"/>
          <w:kern w:val="0"/>
          <w:sz w:val="32"/>
          <w:szCs w:val="32"/>
        </w:rPr>
        <w:t>以发展多种形式规模经营为核心，以构建现代农业经营体系、生产体系和产业体系为重点，推动农业发展由数量增长为主转到数量质量效益并重上来，加快形成粮经饲统筹、农林牧渔结合、种养加一体、一二三产融合发展新格局，走产出高效、产品安全、资源节约、环境友好的农业现代化道路。</w:t>
      </w:r>
    </w:p>
    <w:p w14:paraId="314B2591">
      <w:pPr>
        <w:pStyle w:val="4"/>
        <w:spacing w:after="60" w:line="480" w:lineRule="auto"/>
        <w:ind w:firstLine="643" w:firstLineChars="200"/>
        <w:jc w:val="left"/>
        <w:rPr>
          <w:rFonts w:ascii="方正仿宋简体" w:hAnsi="黑体" w:eastAsia="方正仿宋简体"/>
        </w:rPr>
      </w:pPr>
      <w:bookmarkStart w:id="93" w:name="_Toc430532491"/>
      <w:bookmarkStart w:id="94" w:name="_Toc16383"/>
      <w:bookmarkStart w:id="95" w:name="_Toc281646570"/>
      <w:bookmarkStart w:id="96" w:name="_Toc432405447"/>
      <w:bookmarkStart w:id="97" w:name="_Toc432670944"/>
      <w:bookmarkStart w:id="98" w:name="_Toc4988"/>
      <w:bookmarkStart w:id="99" w:name="_Toc8684"/>
      <w:bookmarkStart w:id="100" w:name="_Toc449037230"/>
      <w:r>
        <w:rPr>
          <w:rFonts w:hint="eastAsia" w:ascii="方正仿宋简体" w:hAnsi="黑体" w:eastAsia="方正仿宋简体" w:cs="方正仿宋简体"/>
        </w:rPr>
        <w:t>第一节</w:t>
      </w:r>
      <w:r>
        <w:rPr>
          <w:rFonts w:ascii="方正仿宋简体" w:hAnsi="黑体" w:eastAsia="方正仿宋简体" w:cs="方正仿宋简体"/>
        </w:rPr>
        <w:t xml:space="preserve">  </w:t>
      </w:r>
      <w:bookmarkEnd w:id="93"/>
      <w:bookmarkEnd w:id="94"/>
      <w:bookmarkEnd w:id="95"/>
      <w:bookmarkEnd w:id="96"/>
      <w:bookmarkEnd w:id="97"/>
      <w:bookmarkEnd w:id="98"/>
      <w:bookmarkEnd w:id="99"/>
      <w:r>
        <w:rPr>
          <w:rFonts w:hint="eastAsia" w:ascii="方正仿宋简体" w:hAnsi="黑体" w:eastAsia="方正仿宋简体" w:cs="方正仿宋简体"/>
        </w:rPr>
        <w:t>构建新型农业经营体系</w:t>
      </w:r>
      <w:bookmarkEnd w:id="100"/>
    </w:p>
    <w:p w14:paraId="668595C9">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依法加快土地流转。</w:t>
      </w:r>
      <w:r>
        <w:rPr>
          <w:rFonts w:hint="eastAsia" w:ascii="方正仿宋简体" w:hAnsi="宋体" w:eastAsia="方正仿宋简体" w:cs="方正仿宋简体"/>
          <w:kern w:val="0"/>
          <w:sz w:val="32"/>
          <w:szCs w:val="32"/>
        </w:rPr>
        <w:t>健全土地承包经营权登记制度。全面推进土地承包经营权确权登记颁证工作。依托农村经营管理机构健全土地流转服务平台，完善区镇村三级服务和管理网络，建立土地流转监测制度。稳步推进土地经营权抵押、担保试点，研究制定统一规范的实施办法，探索建立抵押资产处置机制。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年，实现土地流转</w:t>
      </w:r>
      <w:r>
        <w:rPr>
          <w:rFonts w:ascii="方正仿宋简体" w:hAnsi="宋体" w:eastAsia="方正仿宋简体" w:cs="方正仿宋简体"/>
          <w:kern w:val="0"/>
          <w:sz w:val="32"/>
          <w:szCs w:val="32"/>
        </w:rPr>
        <w:t>60</w:t>
      </w:r>
      <w:r>
        <w:rPr>
          <w:rFonts w:hint="eastAsia" w:ascii="方正仿宋简体" w:hAnsi="宋体" w:eastAsia="方正仿宋简体" w:cs="方正仿宋简体"/>
          <w:kern w:val="0"/>
          <w:sz w:val="32"/>
          <w:szCs w:val="32"/>
        </w:rPr>
        <w:t>万亩以上。</w:t>
      </w:r>
    </w:p>
    <w:p w14:paraId="5D3A716E">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培育新型农业经营主体。</w:t>
      </w:r>
      <w:r>
        <w:rPr>
          <w:rFonts w:hint="eastAsia" w:ascii="方正仿宋简体" w:hAnsi="宋体" w:eastAsia="方正仿宋简体" w:cs="方正仿宋简体"/>
          <w:kern w:val="0"/>
          <w:sz w:val="32"/>
          <w:szCs w:val="32"/>
        </w:rPr>
        <w:t>加快培育和发展专业大户、家庭农场、农民专业合作社、农业企业等新型农业经营体系，建立健全农业社会化服务体系，推进农业生产全程社会化服务机制创新试点。采取“公司</w:t>
      </w:r>
      <w:r>
        <w:rPr>
          <w:rFonts w:ascii="方正仿宋简体" w:hAnsi="宋体" w:eastAsia="方正仿宋简体" w:cs="方正仿宋简体"/>
          <w:kern w:val="0"/>
          <w:sz w:val="32"/>
          <w:szCs w:val="32"/>
        </w:rPr>
        <w:t>+</w:t>
      </w:r>
      <w:r>
        <w:rPr>
          <w:rFonts w:hint="eastAsia" w:ascii="方正仿宋简体" w:hAnsi="宋体" w:eastAsia="方正仿宋简体" w:cs="方正仿宋简体"/>
          <w:kern w:val="0"/>
          <w:sz w:val="32"/>
          <w:szCs w:val="32"/>
        </w:rPr>
        <w:t>家庭农场</w:t>
      </w:r>
      <w:r>
        <w:rPr>
          <w:rFonts w:ascii="方正仿宋简体" w:hAnsi="宋体" w:eastAsia="方正仿宋简体" w:cs="方正仿宋简体"/>
          <w:kern w:val="0"/>
          <w:sz w:val="32"/>
          <w:szCs w:val="32"/>
        </w:rPr>
        <w:t>+</w:t>
      </w:r>
      <w:r>
        <w:rPr>
          <w:rFonts w:hint="eastAsia" w:ascii="方正仿宋简体" w:hAnsi="宋体" w:eastAsia="方正仿宋简体" w:cs="方正仿宋简体"/>
          <w:kern w:val="0"/>
          <w:sz w:val="32"/>
          <w:szCs w:val="32"/>
        </w:rPr>
        <w:t>合作社</w:t>
      </w:r>
      <w:r>
        <w:rPr>
          <w:rFonts w:ascii="方正仿宋简体" w:hAnsi="宋体" w:eastAsia="方正仿宋简体" w:cs="方正仿宋简体"/>
          <w:kern w:val="0"/>
          <w:sz w:val="32"/>
          <w:szCs w:val="32"/>
        </w:rPr>
        <w:t>+</w:t>
      </w:r>
      <w:r>
        <w:rPr>
          <w:rFonts w:hint="eastAsia" w:ascii="方正仿宋简体" w:hAnsi="宋体" w:eastAsia="方正仿宋简体" w:cs="方正仿宋简体"/>
          <w:kern w:val="0"/>
          <w:sz w:val="32"/>
          <w:szCs w:val="32"/>
        </w:rPr>
        <w:t>农户”的模式，组建农业产业联合体。坚持引进和培育相结合，发展壮大农业产业化龙头企业。大力培育新型职业农民，重点培养科技致富带头人、种养业能手、农村经纪人、专业合作社领办人、农民企业家和农村高技能人才。每年评定区级示范农民合作社、示范家庭农场各</w:t>
      </w:r>
      <w:r>
        <w:rPr>
          <w:rFonts w:ascii="方正仿宋简体" w:hAnsi="宋体" w:eastAsia="方正仿宋简体" w:cs="方正仿宋简体"/>
          <w:kern w:val="0"/>
          <w:sz w:val="32"/>
          <w:szCs w:val="32"/>
        </w:rPr>
        <w:t>15</w:t>
      </w:r>
      <w:r>
        <w:rPr>
          <w:rFonts w:hint="eastAsia" w:ascii="方正仿宋简体" w:hAnsi="宋体" w:eastAsia="方正仿宋简体" w:cs="方正仿宋简体"/>
          <w:kern w:val="0"/>
          <w:sz w:val="32"/>
          <w:szCs w:val="32"/>
        </w:rPr>
        <w:t>个，每两年评比区级农业产业化龙头企业</w:t>
      </w:r>
      <w:r>
        <w:rPr>
          <w:rFonts w:ascii="方正仿宋简体" w:hAnsi="宋体" w:eastAsia="方正仿宋简体" w:cs="方正仿宋简体"/>
          <w:kern w:val="0"/>
          <w:sz w:val="32"/>
          <w:szCs w:val="32"/>
        </w:rPr>
        <w:t>10</w:t>
      </w:r>
      <w:r>
        <w:rPr>
          <w:rFonts w:hint="eastAsia" w:ascii="方正仿宋简体" w:hAnsi="宋体" w:eastAsia="方正仿宋简体" w:cs="方正仿宋简体"/>
          <w:kern w:val="0"/>
          <w:sz w:val="32"/>
          <w:szCs w:val="32"/>
        </w:rPr>
        <w:t>家。到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年，家庭农场力争达到</w:t>
      </w:r>
      <w:r>
        <w:rPr>
          <w:rFonts w:ascii="方正仿宋简体" w:hAnsi="宋体" w:eastAsia="方正仿宋简体" w:cs="方正仿宋简体"/>
          <w:kern w:val="0"/>
          <w:sz w:val="32"/>
          <w:szCs w:val="32"/>
        </w:rPr>
        <w:t>600</w:t>
      </w:r>
      <w:r>
        <w:rPr>
          <w:rFonts w:hint="eastAsia" w:ascii="方正仿宋简体" w:hAnsi="宋体" w:eastAsia="方正仿宋简体" w:cs="方正仿宋简体"/>
          <w:kern w:val="0"/>
          <w:sz w:val="32"/>
          <w:szCs w:val="32"/>
        </w:rPr>
        <w:t>家，合作社发展到</w:t>
      </w:r>
      <w:r>
        <w:rPr>
          <w:rFonts w:ascii="方正仿宋简体" w:hAnsi="宋体" w:eastAsia="方正仿宋简体" w:cs="方正仿宋简体"/>
          <w:kern w:val="0"/>
          <w:sz w:val="32"/>
          <w:szCs w:val="32"/>
        </w:rPr>
        <w:t>500</w:t>
      </w:r>
      <w:r>
        <w:rPr>
          <w:rFonts w:hint="eastAsia" w:ascii="方正仿宋简体" w:hAnsi="宋体" w:eastAsia="方正仿宋简体" w:cs="方正仿宋简体"/>
          <w:kern w:val="0"/>
          <w:sz w:val="32"/>
          <w:szCs w:val="32"/>
        </w:rPr>
        <w:t>个，新增年销售收入</w:t>
      </w:r>
      <w:r>
        <w:rPr>
          <w:rFonts w:ascii="方正仿宋简体" w:hAnsi="宋体" w:eastAsia="方正仿宋简体" w:cs="方正仿宋简体"/>
          <w:kern w:val="0"/>
          <w:sz w:val="32"/>
          <w:szCs w:val="32"/>
        </w:rPr>
        <w:t>1</w:t>
      </w:r>
      <w:r>
        <w:rPr>
          <w:rFonts w:hint="eastAsia" w:ascii="方正仿宋简体" w:hAnsi="宋体" w:eastAsia="方正仿宋简体" w:cs="方正仿宋简体"/>
          <w:kern w:val="0"/>
          <w:sz w:val="32"/>
          <w:szCs w:val="32"/>
        </w:rPr>
        <w:t>亿元以上的农业产业化龙头企业</w:t>
      </w:r>
      <w:r>
        <w:rPr>
          <w:rFonts w:ascii="方正仿宋简体" w:hAnsi="宋体" w:eastAsia="方正仿宋简体" w:cs="方正仿宋简体"/>
          <w:kern w:val="0"/>
          <w:sz w:val="32"/>
          <w:szCs w:val="32"/>
        </w:rPr>
        <w:t>5</w:t>
      </w:r>
      <w:r>
        <w:rPr>
          <w:rFonts w:hint="eastAsia" w:ascii="方正仿宋简体" w:hAnsi="宋体" w:eastAsia="方正仿宋简体" w:cs="方正仿宋简体"/>
          <w:kern w:val="0"/>
          <w:sz w:val="32"/>
          <w:szCs w:val="32"/>
        </w:rPr>
        <w:t>家，培育新型职业农民</w:t>
      </w:r>
      <w:r>
        <w:rPr>
          <w:rFonts w:ascii="方正仿宋简体" w:hAnsi="宋体" w:eastAsia="方正仿宋简体" w:cs="方正仿宋简体"/>
          <w:kern w:val="0"/>
          <w:sz w:val="32"/>
          <w:szCs w:val="32"/>
        </w:rPr>
        <w:t>2000</w:t>
      </w:r>
      <w:r>
        <w:rPr>
          <w:rFonts w:hint="eastAsia" w:ascii="方正仿宋简体" w:hAnsi="宋体" w:eastAsia="方正仿宋简体" w:cs="方正仿宋简体"/>
          <w:kern w:val="0"/>
          <w:sz w:val="32"/>
          <w:szCs w:val="32"/>
        </w:rPr>
        <w:t>名以上。</w:t>
      </w:r>
    </w:p>
    <w:p w14:paraId="53B20C03">
      <w:pPr>
        <w:pStyle w:val="4"/>
        <w:spacing w:after="60" w:line="480" w:lineRule="auto"/>
        <w:ind w:firstLine="643" w:firstLineChars="200"/>
        <w:jc w:val="left"/>
        <w:rPr>
          <w:rFonts w:ascii="方正仿宋简体" w:hAnsi="黑体" w:eastAsia="方正仿宋简体"/>
        </w:rPr>
      </w:pPr>
      <w:bookmarkStart w:id="101" w:name="_Toc2354"/>
      <w:bookmarkStart w:id="102" w:name="_Toc29672"/>
      <w:bookmarkStart w:id="103" w:name="_Toc432670945"/>
      <w:bookmarkStart w:id="104" w:name="_Toc432405448"/>
      <w:bookmarkStart w:id="105" w:name="_Toc25546"/>
      <w:bookmarkStart w:id="106" w:name="_Toc449037231"/>
      <w:r>
        <w:rPr>
          <w:rFonts w:hint="eastAsia" w:ascii="方正仿宋简体" w:hAnsi="黑体" w:eastAsia="方正仿宋简体" w:cs="方正仿宋简体"/>
        </w:rPr>
        <w:t>第二节</w:t>
      </w:r>
      <w:bookmarkStart w:id="107" w:name="_Toc430532492"/>
      <w:r>
        <w:rPr>
          <w:rFonts w:ascii="方正仿宋简体" w:hAnsi="黑体" w:eastAsia="方正仿宋简体" w:cs="方正仿宋简体"/>
        </w:rPr>
        <w:t xml:space="preserve">  </w:t>
      </w:r>
      <w:bookmarkEnd w:id="101"/>
      <w:bookmarkEnd w:id="102"/>
      <w:bookmarkEnd w:id="103"/>
      <w:bookmarkEnd w:id="104"/>
      <w:bookmarkEnd w:id="105"/>
      <w:bookmarkEnd w:id="107"/>
      <w:r>
        <w:rPr>
          <w:rFonts w:hint="eastAsia" w:ascii="方正仿宋简体" w:hAnsi="黑体" w:eastAsia="方正仿宋简体" w:cs="方正仿宋简体"/>
        </w:rPr>
        <w:t>构建现代农业生产体系</w:t>
      </w:r>
      <w:bookmarkEnd w:id="106"/>
    </w:p>
    <w:p w14:paraId="70D2C3F3">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稳定粮食生产。</w:t>
      </w:r>
      <w:r>
        <w:rPr>
          <w:rFonts w:hint="eastAsia" w:ascii="方正仿宋简体" w:hAnsi="宋体" w:eastAsia="方正仿宋简体" w:cs="方正仿宋简体"/>
          <w:kern w:val="0"/>
          <w:sz w:val="32"/>
          <w:szCs w:val="32"/>
        </w:rPr>
        <w:t>坚持最严格的耕地保护制度，坚守耕地红线，实施藏粮于地、藏粮于技战略，提高粮食产能。继续实施土地整理、农业综合开发等重点工程，完成</w:t>
      </w:r>
      <w:r>
        <w:rPr>
          <w:rFonts w:ascii="方正仿宋简体" w:hAnsi="宋体" w:eastAsia="方正仿宋简体" w:cs="方正仿宋简体"/>
          <w:kern w:val="0"/>
          <w:sz w:val="32"/>
          <w:szCs w:val="32"/>
        </w:rPr>
        <w:t>20.6</w:t>
      </w:r>
      <w:r>
        <w:rPr>
          <w:rFonts w:hint="eastAsia" w:ascii="方正仿宋简体" w:hAnsi="宋体" w:eastAsia="方正仿宋简体" w:cs="方正仿宋简体"/>
          <w:kern w:val="0"/>
          <w:sz w:val="32"/>
          <w:szCs w:val="32"/>
        </w:rPr>
        <w:t>万亩高标准基本农田建设。以绿色增产模式攻关示范行动为抓手，深入推进粮食高产创建活动，调整优化粮食生产结构，重点发展优质水稻、专用品种水稻，提高粮食生产科技水平，稳定粮食生产面积，提高单产和品质，提高粮食综合生产能力。确保</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年粮食播种面积</w:t>
      </w:r>
      <w:r>
        <w:rPr>
          <w:rFonts w:ascii="方正仿宋简体" w:hAnsi="宋体" w:eastAsia="方正仿宋简体" w:cs="方正仿宋简体"/>
          <w:kern w:val="0"/>
          <w:sz w:val="32"/>
          <w:szCs w:val="32"/>
        </w:rPr>
        <w:t>75</w:t>
      </w:r>
      <w:r>
        <w:rPr>
          <w:rFonts w:hint="eastAsia" w:ascii="方正仿宋简体" w:hAnsi="宋体" w:eastAsia="方正仿宋简体" w:cs="方正仿宋简体"/>
          <w:kern w:val="0"/>
          <w:sz w:val="32"/>
          <w:szCs w:val="32"/>
        </w:rPr>
        <w:t>万亩，总产</w:t>
      </w:r>
      <w:r>
        <w:rPr>
          <w:rFonts w:ascii="方正仿宋简体" w:hAnsi="宋体" w:eastAsia="方正仿宋简体" w:cs="方正仿宋简体"/>
          <w:kern w:val="0"/>
          <w:sz w:val="32"/>
          <w:szCs w:val="32"/>
        </w:rPr>
        <w:t>30</w:t>
      </w:r>
      <w:r>
        <w:rPr>
          <w:rFonts w:hint="eastAsia" w:ascii="方正仿宋简体" w:hAnsi="宋体" w:eastAsia="方正仿宋简体" w:cs="方正仿宋简体"/>
          <w:kern w:val="0"/>
          <w:sz w:val="32"/>
          <w:szCs w:val="32"/>
        </w:rPr>
        <w:t>万吨。</w:t>
      </w:r>
    </w:p>
    <w:p w14:paraId="3B666373">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全面提高农产品质量安全水平。</w:t>
      </w:r>
      <w:r>
        <w:rPr>
          <w:rFonts w:hint="eastAsia" w:ascii="方正仿宋简体" w:hAnsi="宋体" w:eastAsia="方正仿宋简体" w:cs="方正仿宋简体"/>
          <w:kern w:val="0"/>
          <w:sz w:val="32"/>
          <w:szCs w:val="32"/>
        </w:rPr>
        <w:t>推进区、镇两级农产品质量安全监管体系建设，重点是加快区农产品质量安全中心建设。加强“三品一标”认证和登记管理，充分发挥农产品产地和产品认证对标准化进程的引领和带动作用。转变农业生产方式，大力发展水稻等农作物绿色增产模式生产，主要农作物的化肥和农药利用率提高、实现使用量零增长。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年，创建省级安全优质农产品标准化生产基地</w:t>
      </w:r>
      <w:r>
        <w:rPr>
          <w:rFonts w:ascii="方正仿宋简体" w:hAnsi="宋体" w:eastAsia="方正仿宋简体" w:cs="方正仿宋简体"/>
          <w:kern w:val="0"/>
          <w:sz w:val="32"/>
          <w:szCs w:val="32"/>
        </w:rPr>
        <w:t>8</w:t>
      </w:r>
      <w:r>
        <w:rPr>
          <w:rFonts w:hint="eastAsia" w:ascii="方正仿宋简体" w:hAnsi="宋体" w:eastAsia="方正仿宋简体" w:cs="方正仿宋简体"/>
          <w:kern w:val="0"/>
          <w:sz w:val="32"/>
          <w:szCs w:val="32"/>
        </w:rPr>
        <w:t>个，农产品“三品”认证数量达到</w:t>
      </w:r>
      <w:r>
        <w:rPr>
          <w:rFonts w:ascii="方正仿宋简体" w:hAnsi="宋体" w:eastAsia="方正仿宋简体" w:cs="方正仿宋简体"/>
          <w:kern w:val="0"/>
          <w:sz w:val="32"/>
          <w:szCs w:val="32"/>
        </w:rPr>
        <w:t>200</w:t>
      </w:r>
      <w:r>
        <w:rPr>
          <w:rFonts w:hint="eastAsia" w:ascii="方正仿宋简体" w:hAnsi="宋体" w:eastAsia="方正仿宋简体" w:cs="方正仿宋简体"/>
          <w:kern w:val="0"/>
          <w:sz w:val="32"/>
          <w:szCs w:val="32"/>
        </w:rPr>
        <w:t>个。</w:t>
      </w:r>
    </w:p>
    <w:p w14:paraId="5DC9B7CB">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推进农业标准化和信息化。</w:t>
      </w:r>
      <w:r>
        <w:rPr>
          <w:rFonts w:hint="eastAsia" w:ascii="方正仿宋简体" w:hAnsi="宋体" w:eastAsia="方正仿宋简体" w:cs="方正仿宋简体"/>
          <w:kern w:val="0"/>
          <w:sz w:val="32"/>
          <w:szCs w:val="32"/>
        </w:rPr>
        <w:t>加快农业标准化进程，继续推进园艺作物标准化生产、畜禽标准化规模养殖和水产健康养殖，加强源头治理，规范生产过程，着力打造农业标准化生产基地和农产品知名品牌。开展“互联网</w:t>
      </w:r>
      <w:r>
        <w:rPr>
          <w:rFonts w:ascii="方正仿宋简体" w:hAnsi="宋体" w:eastAsia="方正仿宋简体" w:cs="方正仿宋简体"/>
          <w:kern w:val="0"/>
          <w:sz w:val="32"/>
          <w:szCs w:val="32"/>
        </w:rPr>
        <w:t>+</w:t>
      </w:r>
      <w:r>
        <w:rPr>
          <w:rFonts w:hint="eastAsia" w:ascii="方正仿宋简体" w:hAnsi="宋体" w:eastAsia="方正仿宋简体" w:cs="方正仿宋简体"/>
          <w:kern w:val="0"/>
          <w:sz w:val="32"/>
          <w:szCs w:val="32"/>
        </w:rPr>
        <w:t>”现代农业行动，鼓励互联网企业建立农业服务平台，加快发展农村电子商务，推广成熟可复制的农业物联网应用模式，强化农业综合信息服务能力。</w:t>
      </w:r>
    </w:p>
    <w:p w14:paraId="6D17B10D">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强化科枝支撑能力。</w:t>
      </w:r>
      <w:r>
        <w:rPr>
          <w:rFonts w:hint="eastAsia" w:ascii="方正仿宋简体" w:hAnsi="宋体" w:eastAsia="方正仿宋简体" w:cs="方正仿宋简体"/>
          <w:kern w:val="0"/>
          <w:sz w:val="32"/>
          <w:szCs w:val="32"/>
        </w:rPr>
        <w:t>逐步完善科技支撑体系，增强自主创新能力。积极构建政府主导、科技支撑、农民主体、社会参与的“四位一体”的农业科技服务体制；深入推进农技人员包村联户，围绕主导产业重点推广先进适用的良种、良法。提高农业生产机械化水平，推进农机农艺融合，促进工程、生物、信息、环境等技术集成应用。</w:t>
      </w:r>
    </w:p>
    <w:p w14:paraId="72190D75">
      <w:pPr>
        <w:pStyle w:val="4"/>
        <w:spacing w:after="60" w:line="480" w:lineRule="auto"/>
        <w:ind w:firstLine="643" w:firstLineChars="200"/>
        <w:jc w:val="left"/>
        <w:rPr>
          <w:rFonts w:ascii="方正仿宋简体" w:hAnsi="黑体" w:eastAsia="方正仿宋简体"/>
        </w:rPr>
      </w:pPr>
      <w:bookmarkStart w:id="108" w:name="_Toc449037232"/>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构建现代农业产业体系</w:t>
      </w:r>
      <w:bookmarkEnd w:id="108"/>
    </w:p>
    <w:p w14:paraId="0068D82D">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积极推进农业结构调整。</w:t>
      </w:r>
      <w:r>
        <w:rPr>
          <w:rFonts w:hint="eastAsia" w:ascii="方正仿宋简体" w:hAnsi="宋体" w:eastAsia="方正仿宋简体" w:cs="方正仿宋简体"/>
          <w:kern w:val="0"/>
          <w:sz w:val="32"/>
          <w:szCs w:val="32"/>
        </w:rPr>
        <w:t>大力开展农田水利建设，加快推进高标准农田建设，以绿色增产模式攻关示范行动为抓手，深入推进粮食高产创建活动，切实提升粮食综合生产能力和可持续发展能力。进一步优化农业区域布局，优先发展比较优势突出的产业或产品，逐步形成具有区域特色的农业主导产品、支柱产业和特色品牌，着力打造优质粮油、畜禽、水产、蔬菜、茶叶、焦枣等优势特色农产品产业带。发展观光农业、乡村旅游等农村休闲旅游业。大力推进农机农艺融合，着力加强良种良法配套、农产品精深加工、生态环境保护、资源高效利用等关键技术研发和应用，加快农业科技成果转化。</w:t>
      </w:r>
    </w:p>
    <w:p w14:paraId="6D969D53">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深入推进农业产业化。</w:t>
      </w:r>
      <w:r>
        <w:rPr>
          <w:rFonts w:hint="eastAsia" w:ascii="方正仿宋简体" w:hAnsi="宋体" w:eastAsia="方正仿宋简体" w:cs="方正仿宋简体"/>
          <w:kern w:val="0"/>
          <w:sz w:val="32"/>
          <w:szCs w:val="32"/>
        </w:rPr>
        <w:t>深入抓好农村土地经营权确权登记颁证工作，积极稳妥推进土地流转，发展适度规模经营。坚持特色发展，鼓励扶持“一村一品、一镇一业”。依托资源优势，大力发展农副产品加工业，提高农业附加值。鼓励实施绿色增效、品牌建设、科技推广、主体培育、改革创新“五大示范行动”，以杏花村省级现代农业示范区为基础，高起点、高标准、高水平创建国家级现代农业示范区。引导农产品加工企业向现代农业示范区、农业产业化示范区集聚。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年，规模以上农产品加工企业实现产值</w:t>
      </w:r>
      <w:r>
        <w:rPr>
          <w:rFonts w:ascii="方正仿宋简体" w:hAnsi="宋体" w:eastAsia="方正仿宋简体" w:cs="方正仿宋简体"/>
          <w:kern w:val="0"/>
          <w:sz w:val="32"/>
          <w:szCs w:val="32"/>
        </w:rPr>
        <w:t>40</w:t>
      </w:r>
      <w:r>
        <w:rPr>
          <w:rFonts w:hint="eastAsia" w:ascii="方正仿宋简体" w:hAnsi="宋体" w:eastAsia="方正仿宋简体" w:cs="方正仿宋简体"/>
          <w:kern w:val="0"/>
          <w:sz w:val="32"/>
          <w:szCs w:val="32"/>
        </w:rPr>
        <w:t>亿。</w:t>
      </w:r>
    </w:p>
    <w:p w14:paraId="5FAC2D7E">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推进一二三产融合发展。</w:t>
      </w:r>
      <w:r>
        <w:rPr>
          <w:rFonts w:hint="eastAsia" w:ascii="方正仿宋简体" w:hAnsi="宋体" w:eastAsia="方正仿宋简体" w:cs="方正仿宋简体"/>
          <w:kern w:val="0"/>
          <w:sz w:val="32"/>
          <w:szCs w:val="32"/>
        </w:rPr>
        <w:t>大力发展特色种养业、农产品加工业和农村服务业，推进生产、加工、物流、营销等一体化发展，延伸产业链，增加附加值。创新农业新业态和商业新模式，引进电子商务进入农业领域，大力发展观光农业、乡村旅游、农村餐饮娱乐业和旅馆服务业等农村休闲旅游业。积极争创国家级、省级休闲农业与乡村旅游示范点，每两年评比区级休闲农业与乡村旅游示范点</w:t>
      </w:r>
      <w:r>
        <w:rPr>
          <w:rFonts w:ascii="方正仿宋简体" w:hAnsi="宋体" w:eastAsia="方正仿宋简体" w:cs="方正仿宋简体"/>
          <w:kern w:val="0"/>
          <w:sz w:val="32"/>
          <w:szCs w:val="32"/>
        </w:rPr>
        <w:t>5</w:t>
      </w:r>
      <w:r>
        <w:rPr>
          <w:rFonts w:hint="eastAsia" w:ascii="方正仿宋简体" w:hAnsi="宋体" w:eastAsia="方正仿宋简体" w:cs="方正仿宋简体"/>
          <w:kern w:val="0"/>
          <w:sz w:val="32"/>
          <w:szCs w:val="32"/>
        </w:rPr>
        <w:t>个。</w:t>
      </w:r>
    </w:p>
    <w:p w14:paraId="56CA400E">
      <w:pPr>
        <w:pStyle w:val="4"/>
        <w:spacing w:after="60" w:line="480" w:lineRule="auto"/>
        <w:ind w:firstLine="643" w:firstLineChars="200"/>
        <w:jc w:val="left"/>
        <w:rPr>
          <w:rFonts w:ascii="方正仿宋简体" w:hAnsi="黑体" w:eastAsia="方正仿宋简体"/>
        </w:rPr>
      </w:pPr>
      <w:bookmarkStart w:id="109" w:name="_Toc449037233"/>
      <w:bookmarkStart w:id="110" w:name="_Toc25629"/>
      <w:r>
        <w:rPr>
          <w:rFonts w:hint="eastAsia" w:ascii="方正仿宋简体" w:hAnsi="黑体" w:eastAsia="方正仿宋简体" w:cs="方正仿宋简体"/>
        </w:rPr>
        <w:t>第四节</w:t>
      </w:r>
      <w:r>
        <w:rPr>
          <w:rFonts w:ascii="方正仿宋简体" w:hAnsi="黑体" w:eastAsia="方正仿宋简体" w:cs="方正仿宋简体"/>
        </w:rPr>
        <w:t xml:space="preserve">  </w:t>
      </w:r>
      <w:r>
        <w:rPr>
          <w:rFonts w:hint="eastAsia" w:ascii="方正仿宋简体" w:hAnsi="黑体" w:eastAsia="方正仿宋简体" w:cs="方正仿宋简体"/>
        </w:rPr>
        <w:t>推进农村综合配套改革</w:t>
      </w:r>
      <w:bookmarkEnd w:id="109"/>
      <w:bookmarkEnd w:id="110"/>
    </w:p>
    <w:p w14:paraId="32FBFEE4">
      <w:pPr>
        <w:spacing w:line="600" w:lineRule="exact"/>
        <w:ind w:firstLine="803" w:firstLineChars="25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推进农村集体产权制度改革。</w:t>
      </w:r>
      <w:r>
        <w:rPr>
          <w:rFonts w:hint="eastAsia" w:ascii="方正仿宋简体" w:hAnsi="宋体" w:eastAsia="方正仿宋简体" w:cs="方正仿宋简体"/>
          <w:kern w:val="0"/>
          <w:sz w:val="32"/>
          <w:szCs w:val="32"/>
        </w:rPr>
        <w:t>推进农村产权制度改革，全面完成土地承包经营权确权登记颁证工作，稳步引导农村土地市场化、集约化、资本化运作。加快推进农村房屋确权颁证，开展农村小型水利工程确权颁证试点，实现农村集体建设用地、宅基地、林地确权颁证常态化。探索开展林权、土地承包经营权、农房、大牲畜和大型农用生产设备等多种形式的抵押贷款，盘活农民资产，促进农村产权交易规范运转，拓宽租金、股金、红利等财产性收入渠道。</w:t>
      </w:r>
    </w:p>
    <w:p w14:paraId="72A6E7CC">
      <w:pPr>
        <w:pStyle w:val="23"/>
        <w:spacing w:before="0" w:after="0" w:line="600" w:lineRule="exact"/>
        <w:ind w:firstLine="640"/>
        <w:jc w:val="both"/>
        <w:rPr>
          <w:rFonts w:ascii="方正仿宋简体" w:eastAsia="方正仿宋简体" w:cs="Times New Roman"/>
          <w:color w:val="auto"/>
          <w:sz w:val="32"/>
          <w:szCs w:val="32"/>
        </w:rPr>
      </w:pPr>
      <w:r>
        <w:rPr>
          <w:rFonts w:hint="eastAsia" w:ascii="方正楷体简体" w:eastAsia="方正楷体简体" w:cs="方正楷体简体"/>
          <w:b/>
          <w:bCs/>
          <w:color w:val="auto"/>
          <w:sz w:val="32"/>
          <w:szCs w:val="32"/>
        </w:rPr>
        <w:t>稳步推进农村土地制度改革。</w:t>
      </w:r>
      <w:r>
        <w:rPr>
          <w:rFonts w:hint="eastAsia" w:ascii="方正仿宋简体" w:eastAsia="方正仿宋简体" w:cs="方正仿宋简体"/>
          <w:color w:val="auto"/>
          <w:sz w:val="32"/>
          <w:szCs w:val="32"/>
        </w:rPr>
        <w:t>稳定农村土地承包关系，完善土地所有权、承包权、经营权分置办法，依法推进土地经营权有序流转，赋予农民对承包地占有、使用、收益、流转及承包经营权抵押、担保权能。分类实施农村土地征收、集体经营性建设用地入市、宅基地制度改革试点。完善各类土地市场交易管理规定，建立不动产价格体系，建立以地价为基础的不动产价格评估制度。严格规范土地流转行为，强化土地流转管理和服务，加强土地流转用途管制。</w:t>
      </w:r>
    </w:p>
    <w:p w14:paraId="34C22D5D">
      <w:pPr>
        <w:spacing w:line="60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深化水利和林业改革。</w:t>
      </w:r>
      <w:r>
        <w:rPr>
          <w:rFonts w:hint="eastAsia" w:ascii="方正仿宋简体" w:hAnsi="宋体" w:eastAsia="方正仿宋简体" w:cs="方正仿宋简体"/>
          <w:kern w:val="0"/>
          <w:sz w:val="32"/>
          <w:szCs w:val="32"/>
        </w:rPr>
        <w:t>按照“明确事权、改革产权、多元投入、建管结合”的原则，推进小型水利工程投资、建设、管护改革。积极推进水价改革、水利建设投融资改革、镇街水利站体制改革。深化集体林权制度改革，进一步明确重点林区、自然保护区等生态公益功能定位，理顺管理体制，创新经营机制。建立健全森林资源资产产权制度，加强对林权流转交易的监督管理。强化林业执法监管职能，规范行政审批行为，推进林业综合行政执法。</w:t>
      </w:r>
    </w:p>
    <w:p w14:paraId="73A88CEC">
      <w:pPr>
        <w:spacing w:line="60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创新和完善乡村治理机制。</w:t>
      </w:r>
      <w:r>
        <w:rPr>
          <w:rFonts w:hint="eastAsia" w:ascii="方正仿宋简体" w:hAnsi="宋体" w:eastAsia="方正仿宋简体" w:cs="方正仿宋简体"/>
          <w:kern w:val="0"/>
          <w:sz w:val="32"/>
          <w:szCs w:val="32"/>
        </w:rPr>
        <w:t>深入推进乡镇改革，改革乡镇事业站所管理体制，创新行政运行机制，提高乡镇政府社会管理和公共服务能力。扩大农村社区建设试点，探索以村民小组为基本单元的村民自治试点。进一步规范村“两委”职责和村务决策管理程序，健全村民对村务实行有效监督的机制。激发农村社会组织活力，重点培育农村专业协会类、公益慈善类、社区服务类等社会组织。构建农村立体化社会治安防控体系，深入推进一村一警包村联系制度，开展突出问题专项整治，推进平安乡镇、平安村庄建设。</w:t>
      </w:r>
    </w:p>
    <w:p w14:paraId="57215AD3">
      <w:pPr>
        <w:spacing w:line="600" w:lineRule="exact"/>
        <w:ind w:firstLine="640" w:firstLineChars="200"/>
        <w:rPr>
          <w:rFonts w:ascii="方正仿宋简体" w:hAnsi="宋体" w:eastAsia="方正仿宋简体"/>
          <w:kern w:val="0"/>
          <w:sz w:val="32"/>
          <w:szCs w:val="32"/>
        </w:rPr>
      </w:pPr>
    </w:p>
    <w:p w14:paraId="499F9C0A">
      <w:pPr>
        <w:spacing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9  </w:t>
      </w:r>
      <w:r>
        <w:rPr>
          <w:rFonts w:hint="eastAsia" w:ascii="宋体" w:hAnsi="宋体" w:cs="宋体"/>
          <w:b/>
          <w:bCs/>
          <w:color w:val="000000"/>
          <w:sz w:val="28"/>
          <w:szCs w:val="28"/>
        </w:rPr>
        <w:t>现代农业重点建设项目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59591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7" w:hRule="exact"/>
        </w:trPr>
        <w:tc>
          <w:tcPr>
            <w:tcW w:w="5000" w:type="pct"/>
            <w:vAlign w:val="center"/>
          </w:tcPr>
          <w:p w14:paraId="651338AA">
            <w:pPr>
              <w:spacing w:line="560" w:lineRule="exact"/>
              <w:ind w:firstLine="560" w:firstLineChars="200"/>
              <w:rPr>
                <w:rFonts w:ascii="方正仿宋简体" w:hAnsi="宋体" w:eastAsia="方正仿宋简体"/>
                <w:kern w:val="0"/>
                <w:sz w:val="28"/>
                <w:szCs w:val="28"/>
              </w:rPr>
            </w:pPr>
            <w:r>
              <w:rPr>
                <w:rFonts w:hint="eastAsia" w:ascii="方正仿宋简体" w:hAnsi="宋体" w:eastAsia="方正仿宋简体" w:cs="方正仿宋简体"/>
                <w:kern w:val="0"/>
                <w:sz w:val="28"/>
                <w:szCs w:val="28"/>
              </w:rPr>
              <w:t>重点推动池州市国家级现代农业科技示范园区核心区建设、国家级现代农业示范区建设、牛头山镇现代农业产业化基地、长山生态农业及观光旅游、农业产业化示范园建设、金丰园现代农业、贵池区粮食产业园、池州市国家级黄颡鱼保种场建设、涓桥镇优质水稻种植基地、万亩“秋浦花鳜”休闲观光渔业示范基地、杏花村文化旅游区白鹭渔舟、唐田镇现代农业和太朴山休闲农业等项目建设。</w:t>
            </w:r>
          </w:p>
          <w:p w14:paraId="7D874C79">
            <w:pPr>
              <w:spacing w:afterLines="50" w:line="360" w:lineRule="exact"/>
              <w:jc w:val="center"/>
              <w:rPr>
                <w:rFonts w:ascii="宋体"/>
                <w:b/>
                <w:bCs/>
                <w:kern w:val="0"/>
                <w:sz w:val="28"/>
                <w:szCs w:val="28"/>
              </w:rPr>
            </w:pPr>
          </w:p>
        </w:tc>
      </w:tr>
    </w:tbl>
    <w:p w14:paraId="1089A88D"/>
    <w:p w14:paraId="461D4A34">
      <w:pPr>
        <w:pStyle w:val="3"/>
        <w:spacing w:after="120" w:line="480" w:lineRule="auto"/>
        <w:ind w:firstLine="640" w:firstLineChars="200"/>
        <w:jc w:val="left"/>
        <w:rPr>
          <w:rFonts w:ascii="方正黑体简体" w:hAnsi="黑体" w:eastAsia="方正黑体简体" w:cs="Times New Roman"/>
          <w:b w:val="0"/>
          <w:bCs w:val="0"/>
        </w:rPr>
      </w:pPr>
      <w:bookmarkStart w:id="111" w:name="_Toc449037234"/>
      <w:bookmarkStart w:id="112" w:name="_Toc432670978"/>
      <w:r>
        <w:rPr>
          <w:rFonts w:hint="eastAsia" w:ascii="方正黑体简体" w:hAnsi="黑体" w:eastAsia="方正黑体简体" w:cs="方正黑体简体"/>
          <w:b w:val="0"/>
          <w:bCs w:val="0"/>
        </w:rPr>
        <w:t>第八章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实施创新驱动发展战略，全面推动“双创”</w:t>
      </w:r>
      <w:bookmarkEnd w:id="111"/>
      <w:bookmarkEnd w:id="112"/>
    </w:p>
    <w:p w14:paraId="06E22BD8">
      <w:pPr>
        <w:spacing w:line="620" w:lineRule="exact"/>
        <w:ind w:firstLine="640" w:firstLineChars="200"/>
        <w:rPr>
          <w:rFonts w:ascii="方正仿宋简体" w:hAnsi="宋体" w:eastAsia="方正仿宋简体"/>
          <w:kern w:val="0"/>
          <w:sz w:val="32"/>
          <w:szCs w:val="32"/>
        </w:rPr>
      </w:pPr>
      <w:r>
        <w:rPr>
          <w:rFonts w:hint="eastAsia" w:ascii="方正仿宋简体" w:hAnsi="宋体" w:eastAsia="方正仿宋简体" w:cs="方正仿宋简体"/>
          <w:kern w:val="0"/>
          <w:sz w:val="32"/>
          <w:szCs w:val="32"/>
        </w:rPr>
        <w:t>坚持创新发展，实施品牌提升，充分发挥科技创新、品牌建设对经济社会发展的引领支撑作用，着力增强自主创新能力、科技成果应用能力，提高核心竞争力，全面推进大众创业、万众创新。</w:t>
      </w:r>
    </w:p>
    <w:p w14:paraId="1C463A7F">
      <w:pPr>
        <w:pStyle w:val="4"/>
        <w:spacing w:after="60" w:line="480" w:lineRule="auto"/>
        <w:ind w:firstLine="643" w:firstLineChars="200"/>
        <w:jc w:val="left"/>
        <w:rPr>
          <w:rFonts w:ascii="方正仿宋简体" w:hAnsi="黑体" w:eastAsia="方正仿宋简体"/>
        </w:rPr>
      </w:pPr>
      <w:bookmarkStart w:id="113" w:name="_Toc432670979"/>
      <w:bookmarkStart w:id="114" w:name="_Toc449037235"/>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提升自主创新</w:t>
      </w:r>
      <w:bookmarkEnd w:id="113"/>
      <w:r>
        <w:rPr>
          <w:rFonts w:hint="eastAsia" w:ascii="方正仿宋简体" w:hAnsi="黑体" w:eastAsia="方正仿宋简体" w:cs="方正仿宋简体"/>
        </w:rPr>
        <w:t>能力</w:t>
      </w:r>
      <w:bookmarkEnd w:id="114"/>
    </w:p>
    <w:p w14:paraId="434AA050">
      <w:pPr>
        <w:pStyle w:val="23"/>
        <w:shd w:val="clear" w:color="auto" w:fill="FFFFFF"/>
        <w:spacing w:before="0" w:after="0" w:line="620" w:lineRule="exact"/>
        <w:ind w:firstLine="640" w:firstLineChars="200"/>
        <w:jc w:val="both"/>
        <w:rPr>
          <w:rFonts w:ascii="方正仿宋简体" w:eastAsia="方正仿宋简体" w:cs="Times New Roman"/>
          <w:color w:val="auto"/>
          <w:sz w:val="32"/>
          <w:szCs w:val="32"/>
        </w:rPr>
      </w:pPr>
      <w:r>
        <w:rPr>
          <w:rFonts w:hint="eastAsia" w:ascii="方正仿宋简体" w:eastAsia="方正仿宋简体" w:cs="方正仿宋简体"/>
          <w:color w:val="auto"/>
          <w:sz w:val="32"/>
          <w:szCs w:val="32"/>
        </w:rPr>
        <w:t>以可持续发展和技术升级为主攻方向，进一步加大对数控机床及机械零部件、光电及电子、节能环保等优势主导产业、重点企业的扶持，促其做大做强做优。鼓励企业与高校、科研院所合作，创建一批企业技术中心和工程技术研究中心，重点加强省级九华数控机床研究设计院、省柴油机尾气处理工程技术研究中心、省生物质炭基复合肥料工程技术研究中心建设。引导企业加大科技投入，支持企业与高校院所开发产学研联合攻关，鼓励企业引进新技术、应用新技术，加快对重点产业领域主导技术、关键技术、基础技术和成套技术装备的消化吸收再创新，形成自主知识产权。重点突破产业升级面临的重大共性和关键技术瓶颈，提升工艺水平，延伸产业链条，优化产品结构，壮大产业规模，全面提高优势主导产业的市场竞争力和综合经济效益。到</w:t>
      </w:r>
      <w:r>
        <w:rPr>
          <w:rFonts w:ascii="方正仿宋简体" w:eastAsia="方正仿宋简体" w:cs="方正仿宋简体"/>
          <w:color w:val="auto"/>
          <w:sz w:val="32"/>
          <w:szCs w:val="32"/>
        </w:rPr>
        <w:t>2020</w:t>
      </w:r>
      <w:r>
        <w:rPr>
          <w:rFonts w:hint="eastAsia" w:ascii="方正仿宋简体" w:eastAsia="方正仿宋简体" w:cs="方正仿宋简体"/>
          <w:color w:val="auto"/>
          <w:sz w:val="32"/>
          <w:szCs w:val="32"/>
        </w:rPr>
        <w:t>年，争创国家级创新平台</w:t>
      </w:r>
      <w:r>
        <w:rPr>
          <w:rFonts w:ascii="方正仿宋简体" w:eastAsia="方正仿宋简体" w:cs="方正仿宋简体"/>
          <w:color w:val="auto"/>
          <w:sz w:val="32"/>
          <w:szCs w:val="32"/>
        </w:rPr>
        <w:t>3</w:t>
      </w:r>
      <w:r>
        <w:rPr>
          <w:rFonts w:hint="eastAsia" w:ascii="方正仿宋简体" w:eastAsia="方正仿宋简体" w:cs="方正仿宋简体"/>
          <w:color w:val="auto"/>
          <w:sz w:val="32"/>
          <w:szCs w:val="32"/>
        </w:rPr>
        <w:t>家，省级以</w:t>
      </w:r>
      <w:r>
        <w:rPr>
          <w:rFonts w:hint="eastAsia" w:ascii="方正仿宋简体" w:eastAsia="方正仿宋简体" w:cs="方正仿宋简体"/>
          <w:color w:val="FF0000"/>
          <w:sz w:val="32"/>
          <w:szCs w:val="32"/>
        </w:rPr>
        <w:t>上创新平台达到</w:t>
      </w:r>
      <w:r>
        <w:rPr>
          <w:rFonts w:ascii="方正仿宋简体" w:eastAsia="方正仿宋简体" w:cs="方正仿宋简体"/>
          <w:color w:val="FF0000"/>
          <w:sz w:val="32"/>
          <w:szCs w:val="32"/>
        </w:rPr>
        <w:t>60</w:t>
      </w:r>
      <w:r>
        <w:rPr>
          <w:rFonts w:hint="eastAsia" w:ascii="方正仿宋简体" w:eastAsia="方正仿宋简体" w:cs="方正仿宋简体"/>
          <w:color w:val="FF0000"/>
          <w:sz w:val="32"/>
          <w:szCs w:val="32"/>
        </w:rPr>
        <w:t>家</w:t>
      </w:r>
      <w:r>
        <w:rPr>
          <w:rFonts w:hint="eastAsia" w:ascii="方正仿宋简体" w:eastAsia="方正仿宋简体" w:cs="方正仿宋简体"/>
          <w:color w:val="auto"/>
          <w:sz w:val="32"/>
          <w:szCs w:val="32"/>
        </w:rPr>
        <w:t>，科技进步贡献率达</w:t>
      </w:r>
      <w:r>
        <w:rPr>
          <w:rFonts w:ascii="方正仿宋简体" w:eastAsia="方正仿宋简体" w:cs="方正仿宋简体"/>
          <w:color w:val="auto"/>
          <w:sz w:val="32"/>
          <w:szCs w:val="32"/>
        </w:rPr>
        <w:t>55%</w:t>
      </w:r>
      <w:r>
        <w:rPr>
          <w:rFonts w:hint="eastAsia" w:ascii="方正仿宋简体" w:eastAsia="方正仿宋简体" w:cs="方正仿宋简体"/>
          <w:color w:val="auto"/>
          <w:sz w:val="32"/>
          <w:szCs w:val="32"/>
        </w:rPr>
        <w:t>，高新技术产业、战略性新兴产业和规模工业新产品产值实现翻番。</w:t>
      </w:r>
    </w:p>
    <w:p w14:paraId="6CE0115B">
      <w:pPr>
        <w:pStyle w:val="4"/>
        <w:spacing w:after="60" w:line="480" w:lineRule="auto"/>
        <w:ind w:firstLine="643" w:firstLineChars="200"/>
        <w:jc w:val="left"/>
        <w:rPr>
          <w:rFonts w:ascii="方正仿宋简体" w:hAnsi="黑体" w:eastAsia="方正仿宋简体"/>
        </w:rPr>
      </w:pPr>
      <w:bookmarkStart w:id="115" w:name="_Toc449037236"/>
      <w:bookmarkStart w:id="116" w:name="_Toc432670980"/>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推进创新平台建设</w:t>
      </w:r>
      <w:bookmarkEnd w:id="115"/>
      <w:bookmarkEnd w:id="116"/>
    </w:p>
    <w:p w14:paraId="7A976F7E">
      <w:pPr>
        <w:pStyle w:val="23"/>
        <w:shd w:val="clear" w:color="auto" w:fill="FFFFFF"/>
        <w:spacing w:before="0" w:after="0" w:line="620" w:lineRule="exact"/>
        <w:ind w:firstLine="640" w:firstLineChars="200"/>
        <w:jc w:val="both"/>
        <w:rPr>
          <w:rFonts w:ascii="方正仿宋简体" w:eastAsia="方正仿宋简体" w:cs="Times New Roman"/>
          <w:color w:val="auto"/>
          <w:sz w:val="32"/>
          <w:szCs w:val="32"/>
        </w:rPr>
      </w:pPr>
      <w:r>
        <w:rPr>
          <w:rFonts w:hint="eastAsia" w:ascii="方正仿宋简体" w:eastAsia="方正仿宋简体" w:cs="方正仿宋简体"/>
          <w:color w:val="auto"/>
          <w:sz w:val="32"/>
          <w:szCs w:val="32"/>
        </w:rPr>
        <w:t>加快池州高新区科技孵化器建设步伐，积极争创国家级孵化器；着力推进前江工业园区组建服务于循环经济产业发展的综合性科技企业孵化器，并用</w:t>
      </w:r>
      <w:r>
        <w:rPr>
          <w:rFonts w:ascii="方正仿宋简体" w:eastAsia="方正仿宋简体" w:cs="方正仿宋简体"/>
          <w:color w:val="auto"/>
          <w:sz w:val="32"/>
          <w:szCs w:val="32"/>
        </w:rPr>
        <w:t>3</w:t>
      </w:r>
      <w:r>
        <w:rPr>
          <w:rFonts w:hint="eastAsia" w:ascii="方正仿宋简体" w:eastAsia="方正仿宋简体" w:cs="方正仿宋简体"/>
          <w:color w:val="auto"/>
          <w:sz w:val="32"/>
          <w:szCs w:val="32"/>
        </w:rPr>
        <w:t>年时间将其升级为省级科技孵化器。同时，支持相关重点企业组建相关专业科技孵化器</w:t>
      </w:r>
      <w:r>
        <w:rPr>
          <w:rFonts w:ascii="方正仿宋简体" w:eastAsia="方正仿宋简体" w:cs="方正仿宋简体"/>
          <w:color w:val="auto"/>
          <w:sz w:val="32"/>
          <w:szCs w:val="32"/>
        </w:rPr>
        <w:t>1-2</w:t>
      </w:r>
      <w:r>
        <w:rPr>
          <w:rFonts w:hint="eastAsia" w:ascii="方正仿宋简体" w:eastAsia="方正仿宋简体" w:cs="方正仿宋简体"/>
          <w:color w:val="auto"/>
          <w:sz w:val="32"/>
          <w:szCs w:val="32"/>
        </w:rPr>
        <w:t>个。推行“孵化</w:t>
      </w:r>
      <w:r>
        <w:rPr>
          <w:rFonts w:ascii="方正仿宋简体" w:eastAsia="方正仿宋简体" w:cs="方正仿宋简体"/>
          <w:color w:val="auto"/>
          <w:sz w:val="32"/>
          <w:szCs w:val="32"/>
        </w:rPr>
        <w:t>+</w:t>
      </w:r>
      <w:r>
        <w:rPr>
          <w:rFonts w:hint="eastAsia" w:ascii="方正仿宋简体" w:eastAsia="方正仿宋简体" w:cs="方正仿宋简体"/>
          <w:color w:val="auto"/>
          <w:sz w:val="32"/>
          <w:szCs w:val="32"/>
        </w:rPr>
        <w:t>创投”等孵化模式，建设“创业苗圃</w:t>
      </w:r>
      <w:r>
        <w:rPr>
          <w:rFonts w:ascii="方正仿宋简体" w:eastAsia="方正仿宋简体" w:cs="方正仿宋简体"/>
          <w:color w:val="auto"/>
          <w:sz w:val="32"/>
          <w:szCs w:val="32"/>
        </w:rPr>
        <w:t>+</w:t>
      </w:r>
      <w:r>
        <w:rPr>
          <w:rFonts w:hint="eastAsia" w:ascii="方正仿宋简体" w:eastAsia="方正仿宋简体" w:cs="方正仿宋简体"/>
          <w:color w:val="auto"/>
          <w:sz w:val="32"/>
          <w:szCs w:val="32"/>
        </w:rPr>
        <w:t>孵化器</w:t>
      </w:r>
      <w:r>
        <w:rPr>
          <w:rFonts w:ascii="方正仿宋简体" w:eastAsia="方正仿宋简体" w:cs="方正仿宋简体"/>
          <w:color w:val="auto"/>
          <w:sz w:val="32"/>
          <w:szCs w:val="32"/>
        </w:rPr>
        <w:t>+</w:t>
      </w:r>
      <w:r>
        <w:rPr>
          <w:rFonts w:hint="eastAsia" w:ascii="方正仿宋简体" w:eastAsia="方正仿宋简体" w:cs="方正仿宋简体"/>
          <w:color w:val="auto"/>
          <w:sz w:val="32"/>
          <w:szCs w:val="32"/>
        </w:rPr>
        <w:t>加速器”的孵化服务链条。做好农业科技示范区的建设工作，重点扶持国家级杏花村农业科技示范园区建设，抓好省级谷潭科技示范园、省级渔业科技示范园及省级汉东农业科技示范园建设，着力推进西山焦枣科技示范基地、黄颡鱼良种繁育科技示范基地及循环经济示范基地建设，为全区农业产业结构转型升级提供科技支撑。</w:t>
      </w:r>
    </w:p>
    <w:p w14:paraId="486BA9FB">
      <w:pPr>
        <w:pStyle w:val="4"/>
        <w:spacing w:after="60" w:line="480" w:lineRule="auto"/>
        <w:ind w:firstLine="643" w:firstLineChars="200"/>
        <w:jc w:val="left"/>
        <w:rPr>
          <w:rFonts w:ascii="方正仿宋简体" w:hAnsi="黑体" w:eastAsia="方正仿宋简体"/>
        </w:rPr>
      </w:pPr>
      <w:bookmarkStart w:id="117" w:name="_Toc432670981"/>
      <w:bookmarkStart w:id="118" w:name="_Toc449037237"/>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全面拓展众创空间</w:t>
      </w:r>
      <w:bookmarkEnd w:id="117"/>
      <w:bookmarkEnd w:id="118"/>
    </w:p>
    <w:p w14:paraId="1B739491">
      <w:pPr>
        <w:pStyle w:val="23"/>
        <w:shd w:val="clear" w:color="auto" w:fill="FFFFFF"/>
        <w:spacing w:before="0" w:after="0" w:line="620" w:lineRule="exact"/>
        <w:ind w:firstLine="640" w:firstLineChars="200"/>
        <w:jc w:val="both"/>
        <w:rPr>
          <w:rFonts w:ascii="方正仿宋简体" w:eastAsia="方正仿宋简体" w:cs="Times New Roman"/>
          <w:color w:val="auto"/>
          <w:sz w:val="32"/>
          <w:szCs w:val="32"/>
        </w:rPr>
      </w:pPr>
      <w:r>
        <w:rPr>
          <w:rFonts w:hint="eastAsia" w:ascii="方正仿宋简体" w:eastAsia="方正仿宋简体" w:cs="方正仿宋简体"/>
          <w:color w:val="auto"/>
          <w:sz w:val="32"/>
          <w:szCs w:val="32"/>
        </w:rPr>
        <w:t>依托科技企业孵化器、中小企业创业基地等平台，集聚创新要素，推广创客空间、创业咖啡、创新工场等新型孵化载体，实现创新与创业相结合、线上与线下相结合、孵化与投资相结合，构建低成本、便利化、开放式的众创空间。“十三五”期间，建立</w:t>
      </w:r>
      <w:r>
        <w:rPr>
          <w:rFonts w:ascii="方正仿宋简体" w:eastAsia="方正仿宋简体" w:cs="方正仿宋简体"/>
          <w:color w:val="auto"/>
          <w:sz w:val="32"/>
          <w:szCs w:val="32"/>
        </w:rPr>
        <w:t>3-5</w:t>
      </w:r>
      <w:r>
        <w:rPr>
          <w:rFonts w:hint="eastAsia" w:ascii="方正仿宋简体" w:eastAsia="方正仿宋简体" w:cs="方正仿宋简体"/>
          <w:color w:val="auto"/>
          <w:sz w:val="32"/>
          <w:szCs w:val="32"/>
        </w:rPr>
        <w:t>个面向普通大众提供创新、创业及成果转化服务的创业苗圃或创新工场，同时依托重点骨干企业建立</w:t>
      </w:r>
      <w:r>
        <w:rPr>
          <w:rFonts w:ascii="方正仿宋简体" w:eastAsia="方正仿宋简体" w:cs="方正仿宋简体"/>
          <w:color w:val="auto"/>
          <w:sz w:val="32"/>
          <w:szCs w:val="32"/>
        </w:rPr>
        <w:t>3-5</w:t>
      </w:r>
      <w:r>
        <w:rPr>
          <w:rFonts w:hint="eastAsia" w:ascii="方正仿宋简体" w:eastAsia="方正仿宋简体" w:cs="方正仿宋简体"/>
          <w:color w:val="auto"/>
          <w:sz w:val="32"/>
          <w:szCs w:val="32"/>
        </w:rPr>
        <w:t>个电子信息、智能装备制造等专业创客空间。</w:t>
      </w:r>
    </w:p>
    <w:p w14:paraId="353AB036">
      <w:pPr>
        <w:pStyle w:val="23"/>
        <w:shd w:val="clear" w:color="auto" w:fill="FFFFFF"/>
        <w:spacing w:before="0" w:after="0" w:line="620" w:lineRule="exact"/>
        <w:ind w:firstLine="640" w:firstLineChars="200"/>
        <w:jc w:val="both"/>
        <w:rPr>
          <w:rFonts w:ascii="方正仿宋简体" w:eastAsia="方正仿宋简体" w:cs="Times New Roman"/>
          <w:color w:val="auto"/>
          <w:sz w:val="32"/>
          <w:szCs w:val="32"/>
        </w:rPr>
      </w:pPr>
      <w:r>
        <w:rPr>
          <w:rFonts w:hint="eastAsia" w:ascii="方正仿宋简体" w:eastAsia="方正仿宋简体" w:cs="方正仿宋简体"/>
          <w:color w:val="auto"/>
          <w:sz w:val="32"/>
          <w:szCs w:val="32"/>
        </w:rPr>
        <w:t>加快推进大众创业，万众创新。主动邀请拥有丰富经验和创业资源的企业家、天使投资人和专家学者来贵池开展创业创新辅导，支持社会力量举办创业沙龙、创业大讲堂、创业训练营等创业培训活动。积极举办创新创业大赛等赛事活动，支持企业参与国际创新创业大赛，为投资机构与创新创业者提供对接平台。推动形成包括创业投资、产业基金、信用担保、银行贷款、企业上市、债券发行等在内的融资体系。通过股权激励、财政补助、贷款支持等方式，充分调动高校院所科技人员、高层次人才、青年大学生以及草根能人创新创业激情，营造崇尚创新、宽容失败、开放包容的创新文化。</w:t>
      </w:r>
    </w:p>
    <w:p w14:paraId="0A9F6C0F">
      <w:pPr>
        <w:pStyle w:val="4"/>
        <w:spacing w:after="60" w:line="480" w:lineRule="auto"/>
        <w:ind w:firstLine="643" w:firstLineChars="200"/>
        <w:jc w:val="left"/>
        <w:rPr>
          <w:rFonts w:ascii="方正仿宋简体" w:hAnsi="黑体" w:eastAsia="方正仿宋简体"/>
        </w:rPr>
      </w:pPr>
      <w:bookmarkStart w:id="119" w:name="_Toc449037238"/>
      <w:r>
        <w:rPr>
          <w:rFonts w:hint="eastAsia" w:ascii="方正仿宋简体" w:hAnsi="黑体" w:eastAsia="方正仿宋简体" w:cs="方正仿宋简体"/>
        </w:rPr>
        <w:t>第四节</w:t>
      </w:r>
      <w:r>
        <w:rPr>
          <w:rFonts w:ascii="方正仿宋简体" w:hAnsi="黑体" w:eastAsia="方正仿宋简体" w:cs="方正仿宋简体"/>
        </w:rPr>
        <w:t xml:space="preserve">  </w:t>
      </w:r>
      <w:r>
        <w:rPr>
          <w:rFonts w:hint="eastAsia" w:ascii="方正仿宋简体" w:hAnsi="黑体" w:eastAsia="方正仿宋简体" w:cs="方正仿宋简体"/>
        </w:rPr>
        <w:t>加强质量品牌建设</w:t>
      </w:r>
      <w:bookmarkEnd w:id="119"/>
    </w:p>
    <w:p w14:paraId="2814538A">
      <w:pPr>
        <w:pStyle w:val="23"/>
        <w:shd w:val="clear" w:color="auto" w:fill="FFFFFF"/>
        <w:spacing w:before="0" w:after="0" w:line="620" w:lineRule="exact"/>
        <w:ind w:firstLine="640" w:firstLineChars="200"/>
        <w:jc w:val="both"/>
        <w:rPr>
          <w:rFonts w:ascii="方正仿宋简体" w:eastAsia="方正仿宋简体" w:cs="Times New Roman"/>
          <w:color w:val="auto"/>
          <w:sz w:val="32"/>
          <w:szCs w:val="32"/>
        </w:rPr>
      </w:pPr>
      <w:bookmarkStart w:id="120" w:name="_Toc432670982"/>
      <w:r>
        <w:rPr>
          <w:rFonts w:hint="eastAsia" w:ascii="方正仿宋简体" w:eastAsia="方正仿宋简体" w:cs="方正仿宋简体"/>
          <w:color w:val="auto"/>
          <w:sz w:val="32"/>
          <w:szCs w:val="32"/>
        </w:rPr>
        <w:t>以争创国家、省质量奖及中国驰名商标、省著名商标、市知名商标等为引领，以培育“名企、名品、名牌”为抓手，推动贵池质量品牌升级。支持企业推进管理对标、流程再造、兼并重组、项目建设，打造一批在全省具有较强竞争力的集团公司，培育一批具有核心竞争力、引领行业发展的优秀企业。实施工业产品质量提升计划，开展质量标杆和领先企业示范行动，推广先进质量管理技术和方法，提高贵池品牌市场占有率和美誉度。推进商标品牌建设，制定名牌培育规划和推进措施，支持企业主导或参与制定国际标准、行业标准和地方标准。加大品牌宣传保护力度，营造全社会创牌、用牌、护牌的良好氛围。到</w:t>
      </w:r>
      <w:r>
        <w:rPr>
          <w:rFonts w:ascii="方正仿宋简体" w:eastAsia="方正仿宋简体" w:cs="方正仿宋简体"/>
          <w:color w:val="auto"/>
          <w:sz w:val="32"/>
          <w:szCs w:val="32"/>
        </w:rPr>
        <w:t>2020</w:t>
      </w:r>
      <w:r>
        <w:rPr>
          <w:rFonts w:hint="eastAsia" w:ascii="方正仿宋简体" w:eastAsia="方正仿宋简体" w:cs="方正仿宋简体"/>
          <w:color w:val="auto"/>
          <w:sz w:val="32"/>
          <w:szCs w:val="32"/>
        </w:rPr>
        <w:t>年，产品质量安全监测体系全面建成，工程质量优质工程率高于全省平均水平，全区中国驰名商标达</w:t>
      </w:r>
      <w:r>
        <w:rPr>
          <w:rFonts w:ascii="方正仿宋简体" w:eastAsia="方正仿宋简体" w:cs="方正仿宋简体"/>
          <w:color w:val="auto"/>
          <w:sz w:val="32"/>
          <w:szCs w:val="32"/>
        </w:rPr>
        <w:t>3</w:t>
      </w:r>
      <w:r>
        <w:rPr>
          <w:rFonts w:hint="eastAsia" w:ascii="方正仿宋简体" w:eastAsia="方正仿宋简体" w:cs="方正仿宋简体"/>
          <w:color w:val="auto"/>
          <w:sz w:val="32"/>
          <w:szCs w:val="32"/>
        </w:rPr>
        <w:t>个，安徽省著名商标达</w:t>
      </w:r>
      <w:r>
        <w:rPr>
          <w:rFonts w:ascii="方正仿宋简体" w:eastAsia="方正仿宋简体" w:cs="方正仿宋简体"/>
          <w:color w:val="auto"/>
          <w:sz w:val="32"/>
          <w:szCs w:val="32"/>
        </w:rPr>
        <w:t>40</w:t>
      </w:r>
      <w:r>
        <w:rPr>
          <w:rFonts w:hint="eastAsia" w:ascii="方正仿宋简体" w:eastAsia="方正仿宋简体" w:cs="方正仿宋简体"/>
          <w:color w:val="auto"/>
          <w:sz w:val="32"/>
          <w:szCs w:val="32"/>
        </w:rPr>
        <w:t>个，安徽名牌产品达</w:t>
      </w:r>
      <w:r>
        <w:rPr>
          <w:rFonts w:ascii="方正仿宋简体" w:eastAsia="方正仿宋简体" w:cs="方正仿宋简体"/>
          <w:color w:val="auto"/>
          <w:sz w:val="32"/>
          <w:szCs w:val="32"/>
        </w:rPr>
        <w:t>20</w:t>
      </w:r>
      <w:r>
        <w:rPr>
          <w:rFonts w:hint="eastAsia" w:ascii="方正仿宋简体" w:eastAsia="方正仿宋简体" w:cs="方正仿宋简体"/>
          <w:color w:val="auto"/>
          <w:sz w:val="32"/>
          <w:szCs w:val="32"/>
        </w:rPr>
        <w:t>个。</w:t>
      </w:r>
    </w:p>
    <w:bookmarkEnd w:id="120"/>
    <w:p w14:paraId="4B4633FD">
      <w:pPr>
        <w:jc w:val="center"/>
        <w:rPr>
          <w:rFonts w:ascii="黑体" w:hAnsi="黑体" w:eastAsia="黑体"/>
          <w:b/>
          <w:bCs/>
          <w:kern w:val="44"/>
          <w:sz w:val="32"/>
          <w:szCs w:val="32"/>
        </w:rPr>
      </w:pPr>
      <w:bookmarkStart w:id="121" w:name="_Toc432670938"/>
    </w:p>
    <w:p w14:paraId="1921DDE3">
      <w:pPr>
        <w:spacing w:beforeLines="50" w:afterLines="50" w:line="620" w:lineRule="exact"/>
        <w:jc w:val="center"/>
        <w:rPr>
          <w:rFonts w:ascii="仿宋" w:hAnsi="仿宋" w:eastAsia="仿宋"/>
          <w:b/>
          <w:bCs/>
          <w:sz w:val="28"/>
          <w:szCs w:val="28"/>
        </w:rPr>
      </w:pPr>
      <w:r>
        <w:rPr>
          <w:rFonts w:hint="eastAsia" w:ascii="仿宋" w:hAnsi="仿宋" w:eastAsia="仿宋" w:cs="仿宋"/>
          <w:b/>
          <w:bCs/>
          <w:sz w:val="28"/>
          <w:szCs w:val="28"/>
        </w:rPr>
        <w:t>专栏</w:t>
      </w:r>
      <w:r>
        <w:rPr>
          <w:rFonts w:ascii="仿宋" w:hAnsi="仿宋" w:eastAsia="仿宋" w:cs="仿宋"/>
          <w:b/>
          <w:bCs/>
          <w:sz w:val="28"/>
          <w:szCs w:val="28"/>
        </w:rPr>
        <w:t xml:space="preserve">10  </w:t>
      </w:r>
      <w:r>
        <w:rPr>
          <w:rFonts w:hint="eastAsia" w:ascii="仿宋" w:hAnsi="仿宋" w:eastAsia="仿宋" w:cs="仿宋"/>
          <w:b/>
          <w:bCs/>
          <w:sz w:val="28"/>
          <w:szCs w:val="28"/>
        </w:rPr>
        <w:t>创新创业重点项目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69A28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center"/>
          </w:tcPr>
          <w:p w14:paraId="33525016">
            <w:pPr>
              <w:spacing w:line="560" w:lineRule="exact"/>
              <w:ind w:firstLine="562" w:firstLineChars="200"/>
              <w:rPr>
                <w:rFonts w:ascii="方正仿宋简体" w:hAnsi="宋体" w:eastAsia="方正仿宋简体"/>
                <w:sz w:val="28"/>
                <w:szCs w:val="28"/>
              </w:rPr>
            </w:pPr>
            <w:r>
              <w:rPr>
                <w:rFonts w:hint="eastAsia" w:ascii="方正楷体简体" w:hAnsi="宋体" w:eastAsia="方正楷体简体" w:cs="方正楷体简体"/>
                <w:b/>
                <w:bCs/>
                <w:sz w:val="28"/>
                <w:szCs w:val="28"/>
              </w:rPr>
              <w:t>池州高新区国家级科技企业孵化器：</w:t>
            </w:r>
            <w:r>
              <w:rPr>
                <w:rFonts w:hint="eastAsia" w:ascii="方正仿宋简体" w:hAnsi="宋体" w:eastAsia="方正仿宋简体" w:cs="方正仿宋简体"/>
                <w:sz w:val="28"/>
                <w:szCs w:val="28"/>
              </w:rPr>
              <w:t>依托池州高新区省级科技企业孵化器，建设科技孵化中心，主要为电子信息、数控装备制造及节能环保等产业发展提供公共检测服务、培训、网络技术、产品展示等服务。</w:t>
            </w:r>
          </w:p>
          <w:p w14:paraId="6DDA827F">
            <w:pPr>
              <w:spacing w:line="560" w:lineRule="exact"/>
              <w:ind w:firstLine="562" w:firstLineChars="200"/>
              <w:rPr>
                <w:rFonts w:ascii="方正仿宋简体" w:hAnsi="宋体" w:eastAsia="方正仿宋简体"/>
                <w:sz w:val="28"/>
                <w:szCs w:val="28"/>
              </w:rPr>
            </w:pPr>
            <w:r>
              <w:rPr>
                <w:rFonts w:hint="eastAsia" w:ascii="方正楷体简体" w:hAnsi="宋体" w:eastAsia="方正楷体简体" w:cs="方正楷体简体"/>
                <w:b/>
                <w:bCs/>
                <w:sz w:val="28"/>
                <w:szCs w:val="28"/>
              </w:rPr>
              <w:t>前江工业园区科创产业园：</w:t>
            </w:r>
            <w:r>
              <w:rPr>
                <w:rFonts w:hint="eastAsia" w:ascii="方正仿宋简体" w:hAnsi="宋体" w:eastAsia="方正仿宋简体" w:cs="方正仿宋简体"/>
                <w:sz w:val="28"/>
                <w:szCs w:val="28"/>
              </w:rPr>
              <w:t>占地</w:t>
            </w:r>
            <w:r>
              <w:rPr>
                <w:rFonts w:ascii="方正仿宋简体" w:hAnsi="宋体" w:eastAsia="方正仿宋简体" w:cs="方正仿宋简体"/>
                <w:sz w:val="28"/>
                <w:szCs w:val="28"/>
              </w:rPr>
              <w:t>100</w:t>
            </w:r>
            <w:r>
              <w:rPr>
                <w:rFonts w:hint="eastAsia" w:ascii="方正仿宋简体" w:hAnsi="宋体" w:eastAsia="方正仿宋简体" w:cs="方正仿宋简体"/>
                <w:sz w:val="28"/>
                <w:szCs w:val="28"/>
              </w:rPr>
              <w:t>亩，建设研发中心及公辅设施、标准化厂房，加强与高校联系合作，重点培育和孵化新材料和循环经济补链项目。</w:t>
            </w:r>
          </w:p>
          <w:p w14:paraId="61BBE257">
            <w:pPr>
              <w:spacing w:line="560" w:lineRule="exact"/>
              <w:ind w:firstLine="562" w:firstLineChars="200"/>
              <w:rPr>
                <w:rFonts w:ascii="方正仿宋简体" w:hAnsi="宋体" w:eastAsia="方正仿宋简体"/>
                <w:sz w:val="28"/>
                <w:szCs w:val="28"/>
              </w:rPr>
            </w:pPr>
            <w:r>
              <w:rPr>
                <w:rFonts w:hint="eastAsia" w:ascii="方正楷体简体" w:hAnsi="宋体" w:eastAsia="方正楷体简体" w:cs="方正楷体简体"/>
                <w:b/>
                <w:bCs/>
                <w:sz w:val="28"/>
                <w:szCs w:val="28"/>
              </w:rPr>
              <w:t>涓桥农民工创业园：</w:t>
            </w:r>
            <w:r>
              <w:rPr>
                <w:rFonts w:hint="eastAsia" w:ascii="方正仿宋简体" w:hAnsi="宋体" w:eastAsia="方正仿宋简体" w:cs="方正仿宋简体"/>
                <w:sz w:val="28"/>
                <w:szCs w:val="28"/>
              </w:rPr>
              <w:t>主要建设标准化厂房、钢结构厂房、写字楼、住宿楼等以及相关配套设施，打造农民工创业平台。</w:t>
            </w:r>
          </w:p>
          <w:p w14:paraId="36DAAC73">
            <w:pPr>
              <w:spacing w:line="560" w:lineRule="exact"/>
              <w:ind w:firstLine="562" w:firstLineChars="200"/>
              <w:rPr>
                <w:rFonts w:ascii="方正仿宋简体" w:hAnsi="宋体" w:eastAsia="方正仿宋简体"/>
                <w:sz w:val="28"/>
                <w:szCs w:val="28"/>
              </w:rPr>
            </w:pPr>
            <w:r>
              <w:rPr>
                <w:rFonts w:hint="eastAsia" w:ascii="方正楷体简体" w:hAnsi="宋体" w:eastAsia="方正楷体简体" w:cs="方正楷体简体"/>
                <w:b/>
                <w:bCs/>
                <w:sz w:val="28"/>
                <w:szCs w:val="28"/>
              </w:rPr>
              <w:t>互联网产业园：</w:t>
            </w:r>
            <w:r>
              <w:rPr>
                <w:rFonts w:hint="eastAsia" w:ascii="方正仿宋简体" w:hAnsi="宋体" w:eastAsia="方正仿宋简体" w:cs="方正仿宋简体"/>
                <w:sz w:val="28"/>
                <w:szCs w:val="28"/>
              </w:rPr>
              <w:t>规划用地</w:t>
            </w:r>
            <w:r>
              <w:rPr>
                <w:rFonts w:ascii="方正仿宋简体" w:hAnsi="宋体" w:eastAsia="方正仿宋简体" w:cs="方正仿宋简体"/>
                <w:sz w:val="28"/>
                <w:szCs w:val="28"/>
              </w:rPr>
              <w:t>5000</w:t>
            </w:r>
            <w:r>
              <w:rPr>
                <w:rFonts w:hint="eastAsia" w:ascii="方正仿宋简体" w:hAnsi="宋体" w:eastAsia="方正仿宋简体" w:cs="方正仿宋简体"/>
                <w:sz w:val="28"/>
                <w:szCs w:val="28"/>
              </w:rPr>
              <w:t>亩，主要建设互联网终端产品研发生产基地，大力培育电子商务服务企业，促进电子商务与辖区支柱产业或优势产业融合。</w:t>
            </w:r>
          </w:p>
          <w:p w14:paraId="2CD9C192">
            <w:pPr>
              <w:spacing w:line="560" w:lineRule="exact"/>
              <w:ind w:firstLine="562" w:firstLineChars="200"/>
              <w:rPr>
                <w:rFonts w:ascii="宋体"/>
              </w:rPr>
            </w:pPr>
            <w:r>
              <w:rPr>
                <w:rFonts w:hint="eastAsia" w:ascii="方正楷体简体" w:hAnsi="宋体" w:eastAsia="方正楷体简体" w:cs="方正楷体简体"/>
                <w:b/>
                <w:bCs/>
                <w:sz w:val="28"/>
                <w:szCs w:val="28"/>
              </w:rPr>
              <w:t>梅里农民工创业园：</w:t>
            </w:r>
            <w:r>
              <w:rPr>
                <w:rFonts w:hint="eastAsia" w:ascii="方正仿宋简体" w:hAnsi="宋体" w:eastAsia="方正仿宋简体" w:cs="方正仿宋简体"/>
                <w:sz w:val="28"/>
                <w:szCs w:val="28"/>
              </w:rPr>
              <w:t>主要建设标准化厂房、钢结构厂房、写字楼、住宿楼等以及相关配套设施，打造农民工创业平台。</w:t>
            </w:r>
          </w:p>
        </w:tc>
      </w:tr>
    </w:tbl>
    <w:p w14:paraId="2E7E3B8F">
      <w:pPr>
        <w:jc w:val="center"/>
        <w:rPr>
          <w:rFonts w:ascii="黑体" w:hAnsi="黑体" w:eastAsia="黑体"/>
          <w:b/>
          <w:bCs/>
          <w:kern w:val="44"/>
          <w:sz w:val="36"/>
          <w:szCs w:val="36"/>
        </w:rPr>
      </w:pPr>
    </w:p>
    <w:p w14:paraId="7B8E762C">
      <w:pPr>
        <w:pStyle w:val="3"/>
        <w:spacing w:after="120" w:line="480" w:lineRule="auto"/>
        <w:ind w:firstLine="640" w:firstLineChars="200"/>
        <w:jc w:val="left"/>
        <w:rPr>
          <w:rFonts w:ascii="方正黑体简体" w:hAnsi="黑体" w:eastAsia="方正黑体简体" w:cs="Times New Roman"/>
          <w:b w:val="0"/>
          <w:bCs w:val="0"/>
        </w:rPr>
      </w:pPr>
      <w:bookmarkStart w:id="122" w:name="_Toc449037239"/>
      <w:r>
        <w:rPr>
          <w:rFonts w:hint="eastAsia" w:ascii="方正黑体简体" w:hAnsi="黑体" w:eastAsia="方正黑体简体" w:cs="方正黑体简体"/>
          <w:b w:val="0"/>
          <w:bCs w:val="0"/>
        </w:rPr>
        <w:t>第九章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实施“互联网</w:t>
      </w:r>
      <w:r>
        <w:rPr>
          <w:rFonts w:ascii="方正黑体简体" w:hAnsi="黑体" w:eastAsia="方正黑体简体" w:cs="方正黑体简体"/>
          <w:b w:val="0"/>
          <w:bCs w:val="0"/>
        </w:rPr>
        <w:t>+</w:t>
      </w:r>
      <w:r>
        <w:rPr>
          <w:rFonts w:hint="eastAsia" w:ascii="方正黑体简体" w:hAnsi="黑体" w:eastAsia="方正黑体简体" w:cs="方正黑体简体"/>
          <w:b w:val="0"/>
          <w:bCs w:val="0"/>
        </w:rPr>
        <w:t>”行动计划，拓展网络经济空间</w:t>
      </w:r>
      <w:bookmarkEnd w:id="122"/>
    </w:p>
    <w:p w14:paraId="431B5C72">
      <w:pPr>
        <w:spacing w:line="620" w:lineRule="exact"/>
        <w:ind w:firstLine="640" w:firstLineChars="200"/>
        <w:rPr>
          <w:rFonts w:ascii="方正仿宋简体" w:hAnsi="宋体" w:eastAsia="方正仿宋简体"/>
          <w:kern w:val="0"/>
          <w:sz w:val="32"/>
          <w:szCs w:val="32"/>
        </w:rPr>
      </w:pPr>
      <w:r>
        <w:rPr>
          <w:rFonts w:hint="eastAsia" w:ascii="方正仿宋简体" w:hAnsi="宋体" w:eastAsia="方正仿宋简体" w:cs="方正仿宋简体"/>
          <w:kern w:val="0"/>
          <w:sz w:val="32"/>
          <w:szCs w:val="32"/>
        </w:rPr>
        <w:t>充分利用“互联网</w:t>
      </w:r>
      <w:r>
        <w:rPr>
          <w:rFonts w:ascii="方正仿宋简体" w:hAnsi="宋体" w:eastAsia="方正仿宋简体" w:cs="方正仿宋简体"/>
          <w:kern w:val="0"/>
          <w:sz w:val="32"/>
          <w:szCs w:val="32"/>
        </w:rPr>
        <w:t>+</w:t>
      </w:r>
      <w:r>
        <w:rPr>
          <w:rFonts w:hint="eastAsia" w:ascii="方正仿宋简体" w:hAnsi="宋体" w:eastAsia="方正仿宋简体" w:cs="方正仿宋简体"/>
          <w:kern w:val="0"/>
          <w:sz w:val="32"/>
          <w:szCs w:val="32"/>
        </w:rPr>
        <w:t>”技术和模式，融入经济社会各领域，加快推动众创、众包、众扶、众筹，加速培育互联网新产品、新业态，催生经济社会发展新动能、新增长极。到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年，互联网服务业占服务业比重达到</w:t>
      </w:r>
      <w:r>
        <w:rPr>
          <w:rFonts w:ascii="方正仿宋简体" w:hAnsi="宋体" w:eastAsia="方正仿宋简体" w:cs="方正仿宋简体"/>
          <w:kern w:val="0"/>
          <w:sz w:val="32"/>
          <w:szCs w:val="32"/>
        </w:rPr>
        <w:t>20%</w:t>
      </w:r>
      <w:r>
        <w:rPr>
          <w:rFonts w:hint="eastAsia" w:ascii="方正仿宋简体" w:hAnsi="宋体" w:eastAsia="方正仿宋简体" w:cs="方正仿宋简体"/>
          <w:kern w:val="0"/>
          <w:sz w:val="32"/>
          <w:szCs w:val="32"/>
        </w:rPr>
        <w:t>。</w:t>
      </w:r>
    </w:p>
    <w:p w14:paraId="764F6CF2">
      <w:pPr>
        <w:pStyle w:val="4"/>
        <w:spacing w:after="60" w:line="480" w:lineRule="auto"/>
        <w:ind w:firstLine="643" w:firstLineChars="200"/>
        <w:jc w:val="left"/>
        <w:rPr>
          <w:rFonts w:ascii="方正仿宋简体" w:hAnsi="黑体" w:eastAsia="方正仿宋简体"/>
        </w:rPr>
      </w:pPr>
      <w:bookmarkStart w:id="123" w:name="_Toc449037240"/>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运用“互联网</w:t>
      </w:r>
      <w:r>
        <w:rPr>
          <w:rFonts w:ascii="方正仿宋简体" w:hAnsi="黑体" w:eastAsia="方正仿宋简体" w:cs="方正仿宋简体"/>
        </w:rPr>
        <w:t>+</w:t>
      </w:r>
      <w:r>
        <w:rPr>
          <w:rFonts w:hint="eastAsia" w:ascii="方正仿宋简体" w:hAnsi="黑体" w:eastAsia="方正仿宋简体" w:cs="方正仿宋简体"/>
        </w:rPr>
        <w:t>”三次产业</w:t>
      </w:r>
      <w:bookmarkEnd w:id="123"/>
    </w:p>
    <w:p w14:paraId="4575ED4B">
      <w:pPr>
        <w:spacing w:line="620" w:lineRule="exact"/>
        <w:ind w:firstLine="602"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0"/>
          <w:szCs w:val="30"/>
        </w:rPr>
        <w:t>推动“互联网</w:t>
      </w:r>
      <w:r>
        <w:rPr>
          <w:rFonts w:ascii="方正楷体简体" w:hAnsi="宋体" w:eastAsia="方正楷体简体" w:cs="方正楷体简体"/>
          <w:b/>
          <w:bCs/>
          <w:kern w:val="0"/>
          <w:sz w:val="30"/>
          <w:szCs w:val="30"/>
        </w:rPr>
        <w:t>+</w:t>
      </w:r>
      <w:r>
        <w:rPr>
          <w:rFonts w:hint="eastAsia" w:ascii="方正楷体简体" w:hAnsi="宋体" w:eastAsia="方正楷体简体" w:cs="方正楷体简体"/>
          <w:b/>
          <w:bCs/>
          <w:kern w:val="0"/>
          <w:sz w:val="30"/>
          <w:szCs w:val="30"/>
        </w:rPr>
        <w:t>”工业。</w:t>
      </w:r>
      <w:r>
        <w:rPr>
          <w:rFonts w:hint="eastAsia" w:ascii="方正仿宋简体" w:hAnsi="宋体" w:eastAsia="方正仿宋简体" w:cs="方正仿宋简体"/>
          <w:kern w:val="0"/>
          <w:sz w:val="32"/>
          <w:szCs w:val="32"/>
        </w:rPr>
        <w:t>以</w:t>
      </w:r>
      <w:r>
        <w:rPr>
          <w:rFonts w:ascii="方正仿宋简体" w:hAnsi="宋体" w:eastAsia="方正仿宋简体" w:cs="方正仿宋简体"/>
          <w:kern w:val="0"/>
          <w:sz w:val="32"/>
          <w:szCs w:val="32"/>
        </w:rPr>
        <w:t>C2B</w:t>
      </w:r>
      <w:r>
        <w:rPr>
          <w:rFonts w:hint="eastAsia" w:ascii="方正仿宋简体" w:hAnsi="宋体" w:eastAsia="方正仿宋简体" w:cs="方正仿宋简体"/>
          <w:kern w:val="0"/>
          <w:sz w:val="32"/>
          <w:szCs w:val="32"/>
        </w:rPr>
        <w:t>个性定制、在线增值服务等模式创新为重点，推动制造业产业链各环节的互联网化；以产品和装备互联为主线，重点突破网络协同研发与制造、远程运维服务化、智能制造等模式变革，推动发展工业互联网。加快推广分布式能源系统、能源集成优化系统等技术的普及，提高重点行业能源利用智能化水平；积极开展企业数字能源应用等级评价，推动发展能源互联网。</w:t>
      </w:r>
    </w:p>
    <w:p w14:paraId="385F3448">
      <w:pPr>
        <w:spacing w:line="620" w:lineRule="exact"/>
        <w:ind w:firstLine="602"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0"/>
          <w:szCs w:val="30"/>
        </w:rPr>
        <w:t>推动“互联网</w:t>
      </w:r>
      <w:r>
        <w:rPr>
          <w:rFonts w:ascii="方正楷体简体" w:hAnsi="宋体" w:eastAsia="方正楷体简体" w:cs="方正楷体简体"/>
          <w:b/>
          <w:bCs/>
          <w:kern w:val="0"/>
          <w:sz w:val="30"/>
          <w:szCs w:val="30"/>
        </w:rPr>
        <w:t>+</w:t>
      </w:r>
      <w:r>
        <w:rPr>
          <w:rFonts w:hint="eastAsia" w:ascii="方正楷体简体" w:hAnsi="宋体" w:eastAsia="方正楷体简体" w:cs="方正楷体简体"/>
          <w:b/>
          <w:bCs/>
          <w:kern w:val="0"/>
          <w:sz w:val="30"/>
          <w:szCs w:val="30"/>
        </w:rPr>
        <w:t>”农业。</w:t>
      </w:r>
      <w:r>
        <w:rPr>
          <w:rFonts w:hint="eastAsia" w:ascii="方正仿宋简体" w:hAnsi="宋体" w:eastAsia="方正仿宋简体" w:cs="方正仿宋简体"/>
          <w:kern w:val="0"/>
          <w:sz w:val="32"/>
          <w:szCs w:val="32"/>
        </w:rPr>
        <w:t>推广成熟可复制的农业物联网应用模式。逐步普及基于环境感知、实时监测、自动控制的网络化农业环境监测系统。完善农副产品质量安全追溯体系。充分利用现有互联网资源，构建农副产品质量安全追溯公共服务平台。</w:t>
      </w:r>
    </w:p>
    <w:p w14:paraId="4CE28768">
      <w:pPr>
        <w:spacing w:line="620" w:lineRule="exact"/>
        <w:ind w:firstLine="602"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0"/>
          <w:szCs w:val="30"/>
        </w:rPr>
        <w:t>推动“互联网</w:t>
      </w:r>
      <w:r>
        <w:rPr>
          <w:rFonts w:ascii="方正楷体简体" w:hAnsi="宋体" w:eastAsia="方正楷体简体" w:cs="方正楷体简体"/>
          <w:b/>
          <w:bCs/>
          <w:kern w:val="0"/>
          <w:sz w:val="30"/>
          <w:szCs w:val="30"/>
        </w:rPr>
        <w:t>+</w:t>
      </w:r>
      <w:r>
        <w:rPr>
          <w:rFonts w:hint="eastAsia" w:ascii="方正楷体简体" w:hAnsi="宋体" w:eastAsia="方正楷体简体" w:cs="方正楷体简体"/>
          <w:b/>
          <w:bCs/>
          <w:kern w:val="0"/>
          <w:sz w:val="30"/>
          <w:szCs w:val="30"/>
        </w:rPr>
        <w:t>”服务业。</w:t>
      </w:r>
      <w:r>
        <w:rPr>
          <w:rFonts w:hint="eastAsia" w:ascii="方正仿宋简体" w:hAnsi="宋体" w:eastAsia="方正仿宋简体" w:cs="方正仿宋简体"/>
          <w:kern w:val="0"/>
          <w:sz w:val="32"/>
          <w:szCs w:val="32"/>
        </w:rPr>
        <w:t>深化信息技术在服务业领域的广泛应用，促进信息技术应用向生产性服务业和生活性服务业渗透，实现传统服务业向现代服务业转变。推动服务业智能化和网络化升级，推进现代服务业结构向高级化发展。发展体验经济、社区经济、共享经济，培育形式多样的新型业态。到</w:t>
      </w:r>
      <w:r>
        <w:rPr>
          <w:rFonts w:ascii="方正仿宋简体" w:hAnsi="宋体" w:eastAsia="方正仿宋简体" w:cs="方正仿宋简体"/>
          <w:kern w:val="0"/>
          <w:sz w:val="32"/>
          <w:szCs w:val="32"/>
        </w:rPr>
        <w:t>2020</w:t>
      </w:r>
      <w:r>
        <w:rPr>
          <w:rFonts w:hint="eastAsia" w:ascii="方正仿宋简体" w:hAnsi="宋体" w:eastAsia="方正仿宋简体" w:cs="方正仿宋简体"/>
          <w:kern w:val="0"/>
          <w:sz w:val="32"/>
          <w:szCs w:val="32"/>
        </w:rPr>
        <w:t>年，基于互联网的新兴业态不断涌现，电子商务、互联网金融快速发展。</w:t>
      </w:r>
    </w:p>
    <w:p w14:paraId="78EF0D5B">
      <w:pPr>
        <w:spacing w:line="620" w:lineRule="exact"/>
        <w:ind w:firstLine="602" w:firstLineChars="200"/>
        <w:rPr>
          <w:rFonts w:ascii="方正仿宋简体" w:hAnsi="宋体" w:eastAsia="方正仿宋简体"/>
          <w:kern w:val="0"/>
          <w:sz w:val="32"/>
          <w:szCs w:val="32"/>
        </w:rPr>
      </w:pPr>
      <w:r>
        <w:rPr>
          <w:rFonts w:ascii="方正仿宋简体" w:hAnsi="宋体" w:eastAsia="方正仿宋简体" w:cs="方正仿宋简体"/>
          <w:b/>
          <w:bCs/>
          <w:kern w:val="0"/>
          <w:sz w:val="30"/>
          <w:szCs w:val="30"/>
        </w:rPr>
        <w:t>——</w:t>
      </w:r>
      <w:r>
        <w:rPr>
          <w:rFonts w:hint="eastAsia" w:ascii="方正仿宋简体" w:hAnsi="宋体" w:eastAsia="方正仿宋简体" w:cs="方正仿宋简体"/>
          <w:b/>
          <w:bCs/>
          <w:kern w:val="0"/>
          <w:sz w:val="30"/>
          <w:szCs w:val="30"/>
        </w:rPr>
        <w:t>“互联网</w:t>
      </w:r>
      <w:r>
        <w:rPr>
          <w:rFonts w:ascii="方正仿宋简体" w:hAnsi="宋体" w:eastAsia="方正仿宋简体" w:cs="方正仿宋简体"/>
          <w:b/>
          <w:bCs/>
          <w:kern w:val="0"/>
          <w:sz w:val="30"/>
          <w:szCs w:val="30"/>
        </w:rPr>
        <w:t>+</w:t>
      </w:r>
      <w:r>
        <w:rPr>
          <w:rFonts w:hint="eastAsia" w:ascii="方正仿宋简体" w:hAnsi="宋体" w:eastAsia="方正仿宋简体" w:cs="方正仿宋简体"/>
          <w:b/>
          <w:bCs/>
          <w:kern w:val="0"/>
          <w:sz w:val="30"/>
          <w:szCs w:val="30"/>
        </w:rPr>
        <w:t>”电子商务。</w:t>
      </w:r>
      <w:r>
        <w:rPr>
          <w:rFonts w:hint="eastAsia" w:ascii="方正仿宋简体" w:hAnsi="宋体" w:eastAsia="方正仿宋简体" w:cs="方正仿宋简体"/>
          <w:kern w:val="0"/>
          <w:sz w:val="32"/>
          <w:szCs w:val="32"/>
        </w:rPr>
        <w:t>推动线上线下融合发展，大力发展移动电子商务。培育加快推进网络经济与实体经济深度融合，加大电子商务龙头企业引进培育力度。着力扩大地产品网络销售，完善电子商务产业体系。</w:t>
      </w:r>
    </w:p>
    <w:p w14:paraId="3C145A5B">
      <w:pPr>
        <w:spacing w:line="620" w:lineRule="exact"/>
        <w:ind w:firstLine="602" w:firstLineChars="200"/>
        <w:rPr>
          <w:rFonts w:ascii="方正仿宋简体" w:hAnsi="宋体" w:eastAsia="方正仿宋简体"/>
          <w:kern w:val="0"/>
          <w:sz w:val="32"/>
          <w:szCs w:val="32"/>
        </w:rPr>
      </w:pPr>
      <w:r>
        <w:rPr>
          <w:rFonts w:ascii="方正仿宋简体" w:hAnsi="宋体" w:eastAsia="方正仿宋简体" w:cs="方正仿宋简体"/>
          <w:b/>
          <w:bCs/>
          <w:kern w:val="0"/>
          <w:sz w:val="30"/>
          <w:szCs w:val="30"/>
        </w:rPr>
        <w:t>——</w:t>
      </w:r>
      <w:r>
        <w:rPr>
          <w:rFonts w:hint="eastAsia" w:ascii="方正仿宋简体" w:hAnsi="宋体" w:eastAsia="方正仿宋简体" w:cs="方正仿宋简体"/>
          <w:b/>
          <w:bCs/>
          <w:kern w:val="0"/>
          <w:sz w:val="30"/>
          <w:szCs w:val="30"/>
        </w:rPr>
        <w:t>“互联网</w:t>
      </w:r>
      <w:r>
        <w:rPr>
          <w:rFonts w:ascii="方正仿宋简体" w:hAnsi="宋体" w:eastAsia="方正仿宋简体" w:cs="方正仿宋简体"/>
          <w:b/>
          <w:bCs/>
          <w:kern w:val="0"/>
          <w:sz w:val="30"/>
          <w:szCs w:val="30"/>
        </w:rPr>
        <w:t>+</w:t>
      </w:r>
      <w:r>
        <w:rPr>
          <w:rFonts w:hint="eastAsia" w:ascii="方正仿宋简体" w:hAnsi="宋体" w:eastAsia="方正仿宋简体" w:cs="方正仿宋简体"/>
          <w:b/>
          <w:bCs/>
          <w:kern w:val="0"/>
          <w:sz w:val="30"/>
          <w:szCs w:val="30"/>
        </w:rPr>
        <w:t>”金融。</w:t>
      </w:r>
      <w:r>
        <w:rPr>
          <w:rFonts w:hint="eastAsia" w:ascii="方正仿宋简体" w:hAnsi="宋体" w:eastAsia="方正仿宋简体" w:cs="方正仿宋简体"/>
          <w:kern w:val="0"/>
          <w:sz w:val="32"/>
          <w:szCs w:val="32"/>
        </w:rPr>
        <w:t>规范发展网络借贷和互联网消费信贷业务，探索互联网金融服务创新，更好满足中小微企业、创新型企业和个人的投融资需求。积极引导风险投资基金、私募股权投资基金和产业投资基金投资于互联网金融企业。鼓励金融机构利用互联网拓宽服务覆盖面。</w:t>
      </w:r>
    </w:p>
    <w:p w14:paraId="1941B331">
      <w:pPr>
        <w:spacing w:line="620" w:lineRule="exact"/>
        <w:ind w:firstLine="602" w:firstLineChars="200"/>
        <w:rPr>
          <w:rFonts w:ascii="方正仿宋简体" w:hAnsi="宋体" w:eastAsia="方正仿宋简体"/>
          <w:kern w:val="0"/>
          <w:sz w:val="32"/>
          <w:szCs w:val="32"/>
        </w:rPr>
      </w:pPr>
      <w:r>
        <w:rPr>
          <w:rFonts w:ascii="方正仿宋简体" w:hAnsi="宋体" w:eastAsia="方正仿宋简体" w:cs="方正仿宋简体"/>
          <w:b/>
          <w:bCs/>
          <w:kern w:val="0"/>
          <w:sz w:val="30"/>
          <w:szCs w:val="30"/>
        </w:rPr>
        <w:t>——</w:t>
      </w:r>
      <w:r>
        <w:rPr>
          <w:rFonts w:hint="eastAsia" w:ascii="方正仿宋简体" w:hAnsi="宋体" w:eastAsia="方正仿宋简体" w:cs="方正仿宋简体"/>
          <w:b/>
          <w:bCs/>
          <w:kern w:val="0"/>
          <w:sz w:val="30"/>
          <w:szCs w:val="30"/>
        </w:rPr>
        <w:t>“互联网</w:t>
      </w:r>
      <w:r>
        <w:rPr>
          <w:rFonts w:ascii="方正仿宋简体" w:hAnsi="宋体" w:eastAsia="方正仿宋简体" w:cs="方正仿宋简体"/>
          <w:b/>
          <w:bCs/>
          <w:kern w:val="0"/>
          <w:sz w:val="30"/>
          <w:szCs w:val="30"/>
        </w:rPr>
        <w:t>+</w:t>
      </w:r>
      <w:r>
        <w:rPr>
          <w:rFonts w:hint="eastAsia" w:ascii="方正仿宋简体" w:hAnsi="宋体" w:eastAsia="方正仿宋简体" w:cs="方正仿宋简体"/>
          <w:b/>
          <w:bCs/>
          <w:kern w:val="0"/>
          <w:sz w:val="30"/>
          <w:szCs w:val="30"/>
        </w:rPr>
        <w:t>”物流。</w:t>
      </w:r>
      <w:r>
        <w:rPr>
          <w:rFonts w:hint="eastAsia" w:ascii="方正仿宋简体" w:hAnsi="宋体" w:eastAsia="方正仿宋简体" w:cs="方正仿宋简体"/>
          <w:kern w:val="0"/>
          <w:sz w:val="32"/>
          <w:szCs w:val="32"/>
        </w:rPr>
        <w:t>积极发展交通运输物流公共信息平台、跨境电子商务配送等重大现代物流项目，鼓励大数据、云计算在物流领域的应用，建设智能仓储体系，优化物流运作流程，提高物流供需信息对接和使用效率。完善居民区、产业园区网购商品投送公共设施和农村网络代购网点。</w:t>
      </w:r>
    </w:p>
    <w:p w14:paraId="77A118E4">
      <w:pPr>
        <w:spacing w:line="620" w:lineRule="exact"/>
        <w:ind w:firstLine="602" w:firstLineChars="200"/>
        <w:rPr>
          <w:rFonts w:ascii="方正仿宋简体" w:hAnsi="宋体" w:eastAsia="方正仿宋简体"/>
          <w:kern w:val="0"/>
          <w:sz w:val="32"/>
          <w:szCs w:val="32"/>
        </w:rPr>
      </w:pPr>
      <w:r>
        <w:rPr>
          <w:rFonts w:ascii="方正仿宋简体" w:hAnsi="宋体" w:eastAsia="方正仿宋简体" w:cs="方正仿宋简体"/>
          <w:b/>
          <w:bCs/>
          <w:kern w:val="0"/>
          <w:sz w:val="30"/>
          <w:szCs w:val="30"/>
        </w:rPr>
        <w:t>——</w:t>
      </w:r>
      <w:r>
        <w:rPr>
          <w:rFonts w:hint="eastAsia" w:ascii="方正仿宋简体" w:hAnsi="宋体" w:eastAsia="方正仿宋简体" w:cs="方正仿宋简体"/>
          <w:b/>
          <w:bCs/>
          <w:kern w:val="0"/>
          <w:sz w:val="30"/>
          <w:szCs w:val="30"/>
        </w:rPr>
        <w:t>“互联网</w:t>
      </w:r>
      <w:r>
        <w:rPr>
          <w:rFonts w:ascii="方正仿宋简体" w:hAnsi="宋体" w:eastAsia="方正仿宋简体" w:cs="方正仿宋简体"/>
          <w:b/>
          <w:bCs/>
          <w:kern w:val="0"/>
          <w:sz w:val="30"/>
          <w:szCs w:val="30"/>
        </w:rPr>
        <w:t>+</w:t>
      </w:r>
      <w:r>
        <w:rPr>
          <w:rFonts w:hint="eastAsia" w:ascii="方正仿宋简体" w:hAnsi="宋体" w:eastAsia="方正仿宋简体" w:cs="方正仿宋简体"/>
          <w:b/>
          <w:bCs/>
          <w:kern w:val="0"/>
          <w:sz w:val="30"/>
          <w:szCs w:val="30"/>
        </w:rPr>
        <w:t>”新服务模式。</w:t>
      </w:r>
      <w:r>
        <w:rPr>
          <w:rFonts w:hint="eastAsia" w:ascii="方正仿宋简体" w:hAnsi="宋体" w:eastAsia="方正仿宋简体" w:cs="方正仿宋简体"/>
          <w:kern w:val="0"/>
          <w:sz w:val="32"/>
          <w:szCs w:val="32"/>
        </w:rPr>
        <w:t>加快培育下一代互联网、移动互联网、物联网等环境下的新兴服务业态。积极推动建设政务云、工业云、农业云等行业专有云，为行业提供专业云服务。</w:t>
      </w:r>
    </w:p>
    <w:p w14:paraId="382D8A69">
      <w:pPr>
        <w:pStyle w:val="4"/>
        <w:spacing w:after="60" w:line="480" w:lineRule="auto"/>
        <w:ind w:firstLine="643" w:firstLineChars="200"/>
        <w:jc w:val="left"/>
        <w:rPr>
          <w:rFonts w:ascii="方正仿宋简体" w:hAnsi="黑体" w:eastAsia="方正仿宋简体"/>
        </w:rPr>
      </w:pPr>
      <w:bookmarkStart w:id="124" w:name="_Toc449037241"/>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运用“互联网</w:t>
      </w:r>
      <w:r>
        <w:rPr>
          <w:rFonts w:ascii="方正仿宋简体" w:hAnsi="黑体" w:eastAsia="方正仿宋简体" w:cs="方正仿宋简体"/>
        </w:rPr>
        <w:t>+</w:t>
      </w:r>
      <w:r>
        <w:rPr>
          <w:rFonts w:hint="eastAsia" w:ascii="方正仿宋简体" w:hAnsi="黑体" w:eastAsia="方正仿宋简体" w:cs="方正仿宋简体"/>
        </w:rPr>
        <w:t>”公共服务</w:t>
      </w:r>
      <w:bookmarkEnd w:id="124"/>
    </w:p>
    <w:p w14:paraId="1A4EFEDB">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“互联网</w:t>
      </w:r>
      <w:r>
        <w:rPr>
          <w:rFonts w:ascii="方正楷体简体" w:hAnsi="宋体" w:eastAsia="方正楷体简体" w:cs="方正楷体简体"/>
          <w:b/>
          <w:bCs/>
          <w:kern w:val="0"/>
          <w:sz w:val="32"/>
          <w:szCs w:val="32"/>
        </w:rPr>
        <w:t>+</w:t>
      </w:r>
      <w:r>
        <w:rPr>
          <w:rFonts w:hint="eastAsia" w:ascii="方正楷体简体" w:hAnsi="宋体" w:eastAsia="方正楷体简体" w:cs="方正楷体简体"/>
          <w:b/>
          <w:bCs/>
          <w:kern w:val="0"/>
          <w:sz w:val="32"/>
          <w:szCs w:val="32"/>
        </w:rPr>
        <w:t>”政务。</w:t>
      </w:r>
      <w:r>
        <w:rPr>
          <w:rFonts w:hint="eastAsia" w:ascii="方正仿宋简体" w:hAnsi="宋体" w:eastAsia="方正仿宋简体" w:cs="方正仿宋简体"/>
          <w:kern w:val="0"/>
          <w:sz w:val="32"/>
          <w:szCs w:val="32"/>
        </w:rPr>
        <w:t>加快构建基于云平台的跨层级、跨部门的互联互通的统一电子政务公共服务平台，推动网上政务服务体系建设从传统电子政务向“互联网</w:t>
      </w:r>
      <w:r>
        <w:rPr>
          <w:rFonts w:ascii="方正仿宋简体" w:hAnsi="宋体" w:eastAsia="方正仿宋简体" w:cs="方正仿宋简体"/>
          <w:kern w:val="0"/>
          <w:sz w:val="32"/>
          <w:szCs w:val="32"/>
        </w:rPr>
        <w:t>+</w:t>
      </w:r>
      <w:r>
        <w:rPr>
          <w:rFonts w:hint="eastAsia" w:ascii="方正仿宋简体" w:hAnsi="宋体" w:eastAsia="方正仿宋简体" w:cs="方正仿宋简体"/>
          <w:kern w:val="0"/>
          <w:sz w:val="32"/>
          <w:szCs w:val="32"/>
        </w:rPr>
        <w:t>政务”的模式转型，逐步形成网上服务与实体大厅服务、线上服务与线下服务相结合的一体化新型政府服务模式。</w:t>
      </w:r>
    </w:p>
    <w:p w14:paraId="17A04190">
      <w:pPr>
        <w:spacing w:line="620" w:lineRule="exact"/>
        <w:ind w:firstLine="643" w:firstLineChars="200"/>
        <w:rPr>
          <w:rFonts w:ascii="方正仿宋简体" w:hAnsi="宋体" w:eastAsia="方正仿宋简体"/>
          <w:kern w:val="0"/>
          <w:sz w:val="32"/>
          <w:szCs w:val="32"/>
        </w:rPr>
      </w:pPr>
      <w:r>
        <w:rPr>
          <w:rFonts w:hint="eastAsia" w:ascii="方正楷体简体" w:hAnsi="宋体" w:eastAsia="方正楷体简体" w:cs="方正楷体简体"/>
          <w:b/>
          <w:bCs/>
          <w:kern w:val="0"/>
          <w:sz w:val="32"/>
          <w:szCs w:val="32"/>
        </w:rPr>
        <w:t>“互联网</w:t>
      </w:r>
      <w:r>
        <w:rPr>
          <w:rFonts w:ascii="方正楷体简体" w:hAnsi="宋体" w:eastAsia="方正楷体简体" w:cs="方正楷体简体"/>
          <w:b/>
          <w:bCs/>
          <w:kern w:val="0"/>
          <w:sz w:val="32"/>
          <w:szCs w:val="32"/>
        </w:rPr>
        <w:t>+</w:t>
      </w:r>
      <w:r>
        <w:rPr>
          <w:rFonts w:hint="eastAsia" w:ascii="方正楷体简体" w:hAnsi="宋体" w:eastAsia="方正楷体简体" w:cs="方正楷体简体"/>
          <w:b/>
          <w:bCs/>
          <w:kern w:val="0"/>
          <w:sz w:val="32"/>
          <w:szCs w:val="32"/>
        </w:rPr>
        <w:t>”民生服务。</w:t>
      </w:r>
      <w:r>
        <w:rPr>
          <w:rFonts w:hint="eastAsia" w:ascii="方正仿宋简体" w:hAnsi="宋体" w:eastAsia="方正仿宋简体" w:cs="方正仿宋简体"/>
          <w:kern w:val="0"/>
          <w:sz w:val="32"/>
          <w:szCs w:val="32"/>
        </w:rPr>
        <w:t>大力发展以互联网为载体、线上线下互动的新兴消费，加快发展基于互联网的医疗、健康、养老、社会保障等新兴服务。发展基于互联网的医疗卫生服务，支持第三方机构构建医疗信息共享服务平台。鼓励健康服务机构利用云计算、大数据等技术搭建公共信息平台，提供长期跟踪、预测预警的个性化健康管理服务。建设完善教育信息化基础设施，推进优质教育资源共享与服务。加强数字图书馆、数字档案馆、数字博物馆等公益设施建设。鼓励发展基于移动互联网的旅游服务系统和旅游管理信息平台。</w:t>
      </w:r>
    </w:p>
    <w:p w14:paraId="3063BFBA">
      <w:pPr>
        <w:jc w:val="center"/>
        <w:rPr>
          <w:rFonts w:ascii="黑体" w:hAnsi="黑体" w:eastAsia="黑体"/>
          <w:b/>
          <w:bCs/>
          <w:kern w:val="44"/>
          <w:sz w:val="36"/>
          <w:szCs w:val="36"/>
        </w:rPr>
      </w:pPr>
    </w:p>
    <w:p w14:paraId="08D684E2">
      <w:pPr>
        <w:jc w:val="center"/>
        <w:rPr>
          <w:rFonts w:ascii="黑体" w:hAnsi="黑体" w:eastAsia="黑体"/>
          <w:b/>
          <w:bCs/>
          <w:kern w:val="44"/>
          <w:sz w:val="36"/>
          <w:szCs w:val="36"/>
        </w:rPr>
      </w:pPr>
    </w:p>
    <w:p w14:paraId="0CCE4BAA">
      <w:pPr>
        <w:pStyle w:val="2"/>
        <w:spacing w:before="260" w:after="260" w:line="480" w:lineRule="auto"/>
        <w:jc w:val="center"/>
        <w:rPr>
          <w:rFonts w:ascii="方正小标宋简体" w:hAnsi="黑体" w:eastAsia="方正小标宋简体"/>
          <w:b w:val="0"/>
          <w:bCs w:val="0"/>
          <w:color w:val="000000"/>
        </w:rPr>
      </w:pPr>
      <w:bookmarkStart w:id="125" w:name="_Toc449037242"/>
      <w:r>
        <w:rPr>
          <w:rFonts w:hint="eastAsia" w:ascii="方正小标宋简体" w:hAnsi="黑体" w:eastAsia="方正小标宋简体" w:cs="方正小标宋简体"/>
          <w:b w:val="0"/>
          <w:bCs w:val="0"/>
          <w:color w:val="000000"/>
        </w:rPr>
        <w:t>第三篇</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强化协调发展</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构建统筹推进新格局</w:t>
      </w:r>
      <w:bookmarkEnd w:id="125"/>
    </w:p>
    <w:p w14:paraId="1BD887C6">
      <w:pPr>
        <w:pStyle w:val="3"/>
        <w:spacing w:after="120" w:line="480" w:lineRule="auto"/>
        <w:ind w:firstLine="640" w:firstLineChars="200"/>
        <w:jc w:val="left"/>
        <w:rPr>
          <w:rFonts w:ascii="方正黑体简体" w:hAnsi="黑体" w:eastAsia="方正黑体简体" w:cs="Times New Roman"/>
          <w:b w:val="0"/>
          <w:bCs w:val="0"/>
        </w:rPr>
      </w:pPr>
      <w:bookmarkStart w:id="126" w:name="_Toc449037243"/>
      <w:r>
        <w:rPr>
          <w:rFonts w:hint="eastAsia" w:ascii="方正黑体简体" w:hAnsi="黑体" w:eastAsia="方正黑体简体" w:cs="方正黑体简体"/>
          <w:b w:val="0"/>
          <w:bCs w:val="0"/>
        </w:rPr>
        <w:t>第十章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坚持特色发展，振兴镇域经济</w:t>
      </w:r>
      <w:bookmarkEnd w:id="126"/>
    </w:p>
    <w:p w14:paraId="31E14A84">
      <w:pPr>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坚持“宜工则工、宜农则农、宜旅则旅、宜商则商”，积极打造工业重镇、商贸名镇、文化旅游强镇、现代农业大镇，形成错位发展、互为补充的镇域特色产业发展格局，推动镇域经济快速协调发展。到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年，全区镇街财政收入达</w:t>
      </w:r>
      <w:r>
        <w:rPr>
          <w:rFonts w:ascii="方正仿宋简体" w:hAnsi="宋体" w:eastAsia="方正仿宋简体" w:cs="方正仿宋简体"/>
          <w:color w:val="000000"/>
          <w:kern w:val="0"/>
          <w:sz w:val="32"/>
          <w:szCs w:val="32"/>
        </w:rPr>
        <w:t>5000</w:t>
      </w:r>
      <w:r>
        <w:rPr>
          <w:rFonts w:hint="eastAsia" w:ascii="方正仿宋简体" w:hAnsi="宋体" w:eastAsia="方正仿宋简体" w:cs="方正仿宋简体"/>
          <w:color w:val="000000"/>
          <w:kern w:val="0"/>
          <w:sz w:val="32"/>
          <w:szCs w:val="32"/>
        </w:rPr>
        <w:t>万元的镇街道</w:t>
      </w:r>
      <w:r>
        <w:rPr>
          <w:rFonts w:ascii="方正仿宋简体" w:hAnsi="宋体" w:eastAsia="方正仿宋简体" w:cs="方正仿宋简体"/>
          <w:color w:val="000000"/>
          <w:kern w:val="0"/>
          <w:sz w:val="32"/>
          <w:szCs w:val="32"/>
        </w:rPr>
        <w:t>11</w:t>
      </w:r>
      <w:r>
        <w:rPr>
          <w:rFonts w:hint="eastAsia" w:ascii="方正仿宋简体" w:hAnsi="宋体" w:eastAsia="方正仿宋简体" w:cs="方正仿宋简体"/>
          <w:color w:val="000000"/>
          <w:kern w:val="0"/>
          <w:sz w:val="32"/>
          <w:szCs w:val="32"/>
        </w:rPr>
        <w:t>个，达</w:t>
      </w:r>
      <w:r>
        <w:rPr>
          <w:rFonts w:ascii="方正仿宋简体" w:hAnsi="宋体" w:eastAsia="方正仿宋简体" w:cs="方正仿宋简体"/>
          <w:color w:val="000000"/>
          <w:kern w:val="0"/>
          <w:sz w:val="32"/>
          <w:szCs w:val="32"/>
        </w:rPr>
        <w:t>1</w:t>
      </w:r>
      <w:r>
        <w:rPr>
          <w:rFonts w:hint="eastAsia" w:ascii="方正仿宋简体" w:hAnsi="宋体" w:eastAsia="方正仿宋简体" w:cs="方正仿宋简体"/>
          <w:color w:val="000000"/>
          <w:kern w:val="0"/>
          <w:sz w:val="32"/>
          <w:szCs w:val="32"/>
        </w:rPr>
        <w:t>亿元的镇街道</w:t>
      </w:r>
      <w:r>
        <w:rPr>
          <w:rFonts w:ascii="方正仿宋简体" w:hAnsi="宋体" w:eastAsia="方正仿宋简体" w:cs="方正仿宋简体"/>
          <w:color w:val="000000"/>
          <w:kern w:val="0"/>
          <w:sz w:val="32"/>
          <w:szCs w:val="32"/>
        </w:rPr>
        <w:t>6</w:t>
      </w:r>
      <w:r>
        <w:rPr>
          <w:rFonts w:hint="eastAsia" w:ascii="方正仿宋简体" w:hAnsi="宋体" w:eastAsia="方正仿宋简体" w:cs="方正仿宋简体"/>
          <w:color w:val="000000"/>
          <w:kern w:val="0"/>
          <w:sz w:val="32"/>
          <w:szCs w:val="32"/>
        </w:rPr>
        <w:t>个。</w:t>
      </w:r>
    </w:p>
    <w:p w14:paraId="67FF2404">
      <w:pPr>
        <w:pStyle w:val="4"/>
        <w:spacing w:after="60" w:line="480" w:lineRule="auto"/>
        <w:ind w:firstLine="643" w:firstLineChars="200"/>
        <w:jc w:val="left"/>
        <w:rPr>
          <w:rFonts w:ascii="方正仿宋简体" w:hAnsi="黑体" w:eastAsia="方正仿宋简体"/>
        </w:rPr>
      </w:pPr>
      <w:bookmarkStart w:id="127" w:name="_Toc449037244"/>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优化产业发展空间布局</w:t>
      </w:r>
      <w:bookmarkEnd w:id="127"/>
    </w:p>
    <w:p w14:paraId="5E737209">
      <w:pPr>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坚持“因地制宜、特色发展”理念，把产业发展与当地的资源秉赋、区位条件、产业基础紧密结合起来，形成优势互补、错位发展的产业发展格局。</w:t>
      </w:r>
    </w:p>
    <w:p w14:paraId="2B312479">
      <w:pPr>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kern w:val="0"/>
          <w:sz w:val="32"/>
          <w:szCs w:val="32"/>
        </w:rPr>
        <w:t>明确产业发展定位。</w:t>
      </w:r>
      <w:r>
        <w:rPr>
          <w:rFonts w:hint="eastAsia" w:ascii="方正仿宋简体" w:hAnsi="宋体" w:eastAsia="方正仿宋简体" w:cs="方正仿宋简体"/>
          <w:color w:val="000000"/>
          <w:kern w:val="0"/>
          <w:sz w:val="32"/>
          <w:szCs w:val="32"/>
        </w:rPr>
        <w:t>围绕“一线、两核、三区、四带”的总体布局，发展镇域带状特色经济。鼓励和支持梅街、棠溪、里山、牌楼、梅龙等镇街道重点发展金属和非金属矿科学采选及精深加工，形成沿齐石线金属和非金属开采及精深加工产业带。乌沙、秋江、涓桥等镇街道重点发展装备制造、机械加工、纺纱纺织和农副产品加工等产业，形成沿江工业经济产业带。墩上、马衙、梅村、牌楼、唐田、涓桥、殷汇等镇街大力发展文化旅游业，形成池青九、青十、秋浦河沿线文化旅游产业带。</w:t>
      </w:r>
    </w:p>
    <w:p w14:paraId="04E49D84">
      <w:pPr>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kern w:val="0"/>
          <w:sz w:val="32"/>
          <w:szCs w:val="32"/>
        </w:rPr>
        <w:t>认真落实产业发展规划。</w:t>
      </w:r>
      <w:r>
        <w:rPr>
          <w:rFonts w:hint="eastAsia" w:ascii="方正仿宋简体" w:hAnsi="宋体" w:eastAsia="方正仿宋简体" w:cs="方正仿宋简体"/>
          <w:color w:val="000000"/>
          <w:kern w:val="0"/>
          <w:sz w:val="32"/>
          <w:szCs w:val="32"/>
        </w:rPr>
        <w:t>充分发挥镇街产业发展规划的引领作用，推动产业集聚发展，扩大产业规模，增强产业市场竞争力。围绕镇街产业发展规划，制定产业发展行动计划，有计划、有步骤地抓好规划落实。</w:t>
      </w:r>
    </w:p>
    <w:p w14:paraId="568BA8C6">
      <w:pPr>
        <w:pStyle w:val="4"/>
        <w:spacing w:after="60" w:line="480" w:lineRule="auto"/>
        <w:ind w:firstLine="643" w:firstLineChars="200"/>
        <w:jc w:val="left"/>
        <w:rPr>
          <w:rFonts w:ascii="方正仿宋简体" w:hAnsi="黑体" w:eastAsia="方正仿宋简体"/>
        </w:rPr>
      </w:pPr>
      <w:bookmarkStart w:id="128" w:name="_Toc449037245"/>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大力发展特色产业</w:t>
      </w:r>
      <w:bookmarkEnd w:id="128"/>
    </w:p>
    <w:p w14:paraId="4B722243">
      <w:pPr>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把培育壮大特色产业作为增强镇域经济竞争优势和振兴镇域经济的主抓手，做大产业规模，提升产业竞争优势。</w:t>
      </w:r>
    </w:p>
    <w:p w14:paraId="04712AB4">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发展矿产品科学采选及精深加工业。</w:t>
      </w:r>
      <w:r>
        <w:rPr>
          <w:rFonts w:hint="eastAsia" w:ascii="方正仿宋简体" w:hAnsi="宋体" w:eastAsia="方正仿宋简体" w:cs="方正仿宋简体"/>
          <w:color w:val="000000"/>
          <w:kern w:val="0"/>
          <w:sz w:val="32"/>
          <w:szCs w:val="32"/>
        </w:rPr>
        <w:t>按照整合资源、保护环境、创新技术、深度加工的整体要求，重点发展石灰石、方解石、白云石等“三石”资源和金、银、铜、钼等金属矿的科学采选及精深加工，积极推动金属矿整合技改、扩规升级，重点发展非金属矿粉体功能材料、复合新材料等深加工产品以及新型建材等终端应用产品，延伸矿产品产业链，推动金属和非金属矿产业科学发展。</w:t>
      </w:r>
    </w:p>
    <w:p w14:paraId="0A1A658E">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发展装备制造及机械加工业。</w:t>
      </w:r>
      <w:r>
        <w:rPr>
          <w:rFonts w:hint="eastAsia" w:ascii="方正仿宋简体" w:hAnsi="宋体" w:eastAsia="方正仿宋简体" w:cs="方正仿宋简体"/>
          <w:color w:val="000000"/>
          <w:kern w:val="0"/>
          <w:sz w:val="32"/>
          <w:szCs w:val="32"/>
        </w:rPr>
        <w:t>坚持整合资源、完善配套、提升功能、转型发展的工作思路，在培育壮大装备制造及机械加工业的基础上，突出抓好产业链招商，完善产业配套，推动装备制造及机械加工产业集聚发展。</w:t>
      </w:r>
    </w:p>
    <w:p w14:paraId="3522B633">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发展纺纱纺织及特色农产品加工业。</w:t>
      </w:r>
      <w:r>
        <w:rPr>
          <w:rFonts w:hint="eastAsia" w:ascii="方正仿宋简体" w:hAnsi="宋体" w:eastAsia="方正仿宋简体" w:cs="方正仿宋简体"/>
          <w:color w:val="000000"/>
          <w:kern w:val="0"/>
          <w:sz w:val="32"/>
          <w:szCs w:val="32"/>
        </w:rPr>
        <w:t>遵循因地制宜、彰显特色、龙头带动、产业化提升的发展导向，大力推行规模化、标准化、品牌化和市场化建设，着力发展大棚蔬菜、茶叶、经果、苗木花卉、特种水产品养殖等特色农业；鼓励支持特色产业开展“三品一标（有机食品、绿色食品、无公害食品，地理标志产品）”认证和商标注册，重点扶持“西山焦枣”、“梅里富硒米”</w:t>
      </w:r>
      <w:r>
        <w:rPr>
          <w:rFonts w:ascii="方正仿宋简体" w:hAnsi="宋体" w:eastAsia="方正仿宋简体" w:cs="方正仿宋简体"/>
          <w:color w:val="000000"/>
          <w:kern w:val="0"/>
          <w:sz w:val="32"/>
          <w:szCs w:val="32"/>
        </w:rPr>
        <w:t xml:space="preserve"> </w:t>
      </w:r>
      <w:r>
        <w:rPr>
          <w:rFonts w:hint="eastAsia" w:ascii="方正仿宋简体" w:hAnsi="宋体" w:eastAsia="方正仿宋简体" w:cs="方正仿宋简体"/>
          <w:color w:val="000000"/>
          <w:kern w:val="0"/>
          <w:sz w:val="32"/>
          <w:szCs w:val="32"/>
        </w:rPr>
        <w:t>、“霄坑绿茶”、“秋浦花鳜”等优势农产品扩量提质、做强品牌；秋江、乌沙、殷汇等镇街加强规划引导，优化空间布局，推动纺织纺纱企业集聚发展；深化农产品信息服务体系建设，鼓励发展电子商务开展网上交易，实现增产增收，推动特色农业快速发展。</w:t>
      </w:r>
    </w:p>
    <w:p w14:paraId="710CE66E">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发展乡村文化旅游业。</w:t>
      </w:r>
      <w:r>
        <w:rPr>
          <w:rFonts w:hint="eastAsia" w:ascii="方正仿宋简体" w:hAnsi="宋体" w:eastAsia="方正仿宋简体" w:cs="方正仿宋简体"/>
          <w:color w:val="000000"/>
          <w:kern w:val="0"/>
          <w:sz w:val="32"/>
          <w:szCs w:val="32"/>
        </w:rPr>
        <w:t>落实政府主导、项目带动、产业融合、可持续发展基本方略，充分发挥杏花村文化旅游区带动作用，依托升金湖自然保护区、大王洞、霄坑大峡谷、九华天池、万罗山等知名旅游景点，利用镇街自然资源、生态资源优势，挖掘民俗文化内涵，推动旅游、生态、农业、文化、科技融合发展。</w:t>
      </w:r>
    </w:p>
    <w:p w14:paraId="5239965C">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加快发展农村电商。</w:t>
      </w:r>
      <w:r>
        <w:rPr>
          <w:rFonts w:hint="eastAsia" w:ascii="方正仿宋简体" w:hAnsi="宋体" w:eastAsia="方正仿宋简体" w:cs="方正仿宋简体"/>
          <w:color w:val="000000"/>
          <w:kern w:val="0"/>
          <w:sz w:val="32"/>
          <w:szCs w:val="32"/>
        </w:rPr>
        <w:t>鼓励各类主体建设涉农电商平台，拓宽特色农产品、民俗产品、乡村旅游等市场。加强交通、信息、产地集配、冷链等设施建设，鼓励镇街商贸企业建设配送中心，发展第三方配送，提高流通效率。大力培养农村电商人才，加大金融支持力度，推动创业就业，优化电商发展环境。</w:t>
      </w:r>
    </w:p>
    <w:p w14:paraId="54230592">
      <w:pPr>
        <w:ind w:firstLine="602" w:firstLineChars="200"/>
        <w:rPr>
          <w:rFonts w:ascii="方正仿宋简体" w:hAnsi="宋体" w:eastAsia="方正仿宋简体"/>
          <w:color w:val="FF0000"/>
          <w:kern w:val="0"/>
          <w:sz w:val="32"/>
          <w:szCs w:val="32"/>
        </w:rPr>
      </w:pPr>
      <w:r>
        <w:rPr>
          <w:rFonts w:hint="eastAsia" w:ascii="方正楷体简体" w:hAnsi="宋体" w:eastAsia="方正楷体简体" w:cs="方正楷体简体"/>
          <w:b/>
          <w:bCs/>
          <w:color w:val="000000"/>
          <w:kern w:val="0"/>
          <w:sz w:val="30"/>
          <w:szCs w:val="30"/>
        </w:rPr>
        <w:t>积极发展新能源产业。</w:t>
      </w:r>
      <w:r>
        <w:rPr>
          <w:rFonts w:hint="eastAsia" w:ascii="方正仿宋简体" w:hAnsi="宋体" w:eastAsia="方正仿宋简体" w:cs="方正仿宋简体"/>
          <w:color w:val="000000"/>
          <w:kern w:val="0"/>
          <w:sz w:val="32"/>
          <w:szCs w:val="32"/>
        </w:rPr>
        <w:t>支持</w:t>
      </w:r>
      <w:r>
        <w:rPr>
          <w:rFonts w:hint="eastAsia" w:ascii="方正仿宋简体" w:eastAsia="方正仿宋简体" w:cs="方正仿宋简体"/>
          <w:sz w:val="32"/>
          <w:szCs w:val="32"/>
        </w:rPr>
        <w:t>镇街利用资源优势，大力发展清洁能源。鼓励乌沙、唐田、牌楼、牛头山、梅街等镇街发展太阳能光伏发电，唐田、里山、梅街等镇街发展风能发电，马衙街道、棠溪镇发展抽水蓄能发电。继续推广农村沼气，推进生物质能开发利用。</w:t>
      </w:r>
    </w:p>
    <w:p w14:paraId="44F38D5C">
      <w:pPr>
        <w:pStyle w:val="4"/>
        <w:spacing w:after="60" w:line="480" w:lineRule="auto"/>
        <w:ind w:firstLine="643" w:firstLineChars="200"/>
        <w:jc w:val="left"/>
        <w:rPr>
          <w:rFonts w:ascii="方正仿宋简体" w:hAnsi="黑体" w:eastAsia="方正仿宋简体"/>
        </w:rPr>
      </w:pPr>
      <w:bookmarkStart w:id="129" w:name="_Toc449037246"/>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持续扩大有效投入</w:t>
      </w:r>
      <w:bookmarkEnd w:id="129"/>
    </w:p>
    <w:p w14:paraId="22904BDC">
      <w:pPr>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充分发挥投资的关键作用，利用资源优势，全方位扩大招商，推进项目建设，着力改善民生，夯实发展基础，增强发展后劲。</w:t>
      </w:r>
    </w:p>
    <w:p w14:paraId="44954C63">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加强招商引资。</w:t>
      </w:r>
      <w:r>
        <w:rPr>
          <w:rFonts w:hint="eastAsia" w:ascii="方正仿宋简体" w:hAnsi="宋体" w:eastAsia="方正仿宋简体" w:cs="方正仿宋简体"/>
          <w:color w:val="000000"/>
          <w:kern w:val="0"/>
          <w:sz w:val="32"/>
          <w:szCs w:val="32"/>
        </w:rPr>
        <w:t>坚持招商引资为第一要务，强化主体责任，加强招商队伍建设，形成一名主要领导主抓招商、一名班子成员专职招商、镇街上下合力推进招商的工作机制。创新招商方式，拓宽招商渠道，围绕镇街资源优势、产业基础和区位条件，积极开展以商招商、产业链招商，大力发展特色产业；依托乡村人脉资源优势，收集、挖掘招商信息，提高招商实效。</w:t>
      </w:r>
    </w:p>
    <w:p w14:paraId="2E676E20">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强化项目建设。</w:t>
      </w:r>
      <w:r>
        <w:rPr>
          <w:rFonts w:hint="eastAsia" w:ascii="方正仿宋简体" w:hAnsi="宋体" w:eastAsia="方正仿宋简体" w:cs="方正仿宋简体"/>
          <w:color w:val="000000"/>
          <w:kern w:val="0"/>
          <w:sz w:val="32"/>
          <w:szCs w:val="32"/>
        </w:rPr>
        <w:t>完善项目建设推进机制，落实工作责任，加快推动项目建设。抢抓政策机遇，结合当地实际，加大项目谋划编制力度，争取上级资金扶持，实施一批打基础、增后劲、惠民生的项目，补短板，促提升。积极争创产业集群专业镇、特色景观名镇、农业标准化生产基地、现代农业示范区，大力实施一批特色产业项目，做大产业规模，厚植发展优势。以农田水利、交通、能源、信息和新型城镇化建设为重点，增强农村基础设施综合承载力。加强生态文明建设，深入推进美丽乡村建设，突出抓好农村环境综合整治，改善农村居住环境，建设农村美好家园。大力推动农村危房改造、农村饮用水安全等民生工程建设，提高农民生活质量。</w:t>
      </w:r>
    </w:p>
    <w:p w14:paraId="07E22686">
      <w:pPr>
        <w:pStyle w:val="4"/>
        <w:spacing w:after="60" w:line="480" w:lineRule="auto"/>
        <w:ind w:firstLine="643" w:firstLineChars="200"/>
        <w:jc w:val="left"/>
        <w:rPr>
          <w:rFonts w:ascii="方正仿宋简体" w:hAnsi="黑体" w:eastAsia="方正仿宋简体"/>
        </w:rPr>
      </w:pPr>
      <w:bookmarkStart w:id="130" w:name="_Toc449037247"/>
      <w:r>
        <w:rPr>
          <w:rFonts w:hint="eastAsia" w:ascii="方正仿宋简体" w:hAnsi="黑体" w:eastAsia="方正仿宋简体" w:cs="方正仿宋简体"/>
        </w:rPr>
        <w:t>第四节</w:t>
      </w:r>
      <w:r>
        <w:rPr>
          <w:rFonts w:ascii="方正仿宋简体" w:hAnsi="黑体" w:eastAsia="方正仿宋简体" w:cs="方正仿宋简体"/>
        </w:rPr>
        <w:t xml:space="preserve">  </w:t>
      </w:r>
      <w:r>
        <w:rPr>
          <w:rFonts w:hint="eastAsia" w:ascii="方正仿宋简体" w:hAnsi="黑体" w:eastAsia="方正仿宋简体" w:cs="方正仿宋简体"/>
        </w:rPr>
        <w:t>加强产业平台建设</w:t>
      </w:r>
      <w:bookmarkEnd w:id="130"/>
    </w:p>
    <w:p w14:paraId="77235DA1">
      <w:pPr>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围绕振兴镇域经济，加大投入力度，推进基础设施建设，优化功能配套，为产业发展提供有效支撑。</w:t>
      </w:r>
    </w:p>
    <w:p w14:paraId="7540F73E">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推进城镇基础设施建设。</w:t>
      </w:r>
      <w:r>
        <w:rPr>
          <w:rFonts w:hint="eastAsia" w:ascii="方正仿宋简体" w:hAnsi="宋体" w:eastAsia="方正仿宋简体" w:cs="方正仿宋简体"/>
          <w:color w:val="000000"/>
          <w:kern w:val="0"/>
          <w:sz w:val="32"/>
          <w:szCs w:val="32"/>
        </w:rPr>
        <w:t>按照新型城镇化建设的总体要求，优化城镇空间布局，积极推进产城融合发展。坚持以市场为导向，吸引社会力量参与城镇基础设施建设，配套完善自来水厂、污水处理厂、垃圾处理系统、农贸市场、有线电视、互联网等公共服务体系，提升集镇综合承载能力。</w:t>
      </w:r>
    </w:p>
    <w:p w14:paraId="5D9104BA">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打造产业发展平台。</w:t>
      </w:r>
      <w:r>
        <w:rPr>
          <w:rFonts w:hint="eastAsia" w:ascii="方正仿宋简体" w:hAnsi="宋体" w:eastAsia="方正仿宋简体" w:cs="方正仿宋简体"/>
          <w:color w:val="000000"/>
          <w:kern w:val="0"/>
          <w:sz w:val="32"/>
          <w:szCs w:val="32"/>
        </w:rPr>
        <w:t>加强资源节约集利用，推动生产要素向集镇、基地、工业集中区（工业小区）集聚。鼓励有条件的镇街道规划建设工业集中区（工业小区）、加工基地、专业市场等。积极支持秋江街道发展莲台新型工业集中区；乌沙镇发展临港工业园；梅街、棠溪、里山加大资源整合力度，发展非金属矿深加工产业示范基地；殷汇镇发展读山、榨岭工业小区；梅村镇发展长山工业集中区；里山街道发展石材加工市场等。积极推动秋江、乌沙、涓桥、梅龙等镇街道加大工业集中区（基地）土地清理力度，盘活存量资产，借助租赁、转让、入股等方式，提高产业承载能力。</w:t>
      </w:r>
    </w:p>
    <w:p w14:paraId="4C4DE23B">
      <w:pPr>
        <w:pStyle w:val="4"/>
        <w:spacing w:after="60" w:line="480" w:lineRule="auto"/>
        <w:ind w:firstLine="643" w:firstLineChars="200"/>
        <w:jc w:val="left"/>
        <w:rPr>
          <w:rFonts w:ascii="方正仿宋简体" w:hAnsi="黑体" w:eastAsia="方正仿宋简体"/>
        </w:rPr>
      </w:pPr>
      <w:bookmarkStart w:id="131" w:name="_Toc449037248"/>
      <w:r>
        <w:rPr>
          <w:rFonts w:hint="eastAsia" w:ascii="方正仿宋简体" w:hAnsi="黑体" w:eastAsia="方正仿宋简体" w:cs="方正仿宋简体"/>
        </w:rPr>
        <w:t>第五节</w:t>
      </w:r>
      <w:r>
        <w:rPr>
          <w:rFonts w:ascii="方正仿宋简体" w:hAnsi="黑体" w:eastAsia="方正仿宋简体" w:cs="方正仿宋简体"/>
        </w:rPr>
        <w:t xml:space="preserve">  </w:t>
      </w:r>
      <w:r>
        <w:rPr>
          <w:rFonts w:hint="eastAsia" w:ascii="方正仿宋简体" w:hAnsi="黑体" w:eastAsia="方正仿宋简体" w:cs="方正仿宋简体"/>
        </w:rPr>
        <w:t>营造良好发展环境</w:t>
      </w:r>
      <w:bookmarkEnd w:id="131"/>
    </w:p>
    <w:p w14:paraId="7910BA57">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按照园区经济和镇域经济协同发展的工作思路，调动一切积极因素振兴镇域经济，为全面建成小康社会提供强大动力。</w:t>
      </w:r>
    </w:p>
    <w:p w14:paraId="72717014">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完善财政激励机制。</w:t>
      </w:r>
      <w:r>
        <w:rPr>
          <w:rFonts w:hint="eastAsia" w:ascii="方正仿宋简体" w:hAnsi="宋体" w:eastAsia="方正仿宋简体" w:cs="方正仿宋简体"/>
          <w:color w:val="000000"/>
          <w:kern w:val="0"/>
          <w:sz w:val="32"/>
          <w:szCs w:val="32"/>
        </w:rPr>
        <w:t>鼓励和支持镇街道增收挖潜，促进财政收入快速增长。认真落实国家、省、市扶持“三农”发展的各项政策措施，加大政策配套力度，完善财政奖补办法。按照事权与财权相匹配的原则，提高镇街道财政一般预算收入超收额和土地出让金分成比例，用于镇街道发展工业和新型城镇化建设。加强涉农资金整合，优先支持优势产业和重点项目建设。</w:t>
      </w:r>
    </w:p>
    <w:p w14:paraId="483584FA">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强化土地要素保障。</w:t>
      </w:r>
      <w:r>
        <w:rPr>
          <w:rFonts w:hint="eastAsia" w:ascii="方正仿宋简体" w:hAnsi="宋体" w:eastAsia="方正仿宋简体" w:cs="方正仿宋简体"/>
          <w:color w:val="000000"/>
          <w:kern w:val="0"/>
          <w:sz w:val="32"/>
          <w:szCs w:val="32"/>
        </w:rPr>
        <w:t>在全区范围内统筹调配各类用地，实行有偿使用、有序流转、合理配置、规范管理。通过上级下达的圈内指标、单独选址和增减挂钩等方式，加大土地报批力度，满足镇街道项目建设用地需求。全面开展农村土地承包经营权确权登记颁证工作，积极推进土地流转工作，认真落实各项政策措施，把土地流转与规模经营、农业产业化和产业基地建设紧密结合起来，提升农业规模化、专业化、现代化水平。</w:t>
      </w:r>
    </w:p>
    <w:p w14:paraId="332E8A0D">
      <w:pPr>
        <w:ind w:firstLine="602"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0"/>
          <w:szCs w:val="30"/>
        </w:rPr>
        <w:t>完善人才科技支撑。</w:t>
      </w:r>
      <w:r>
        <w:rPr>
          <w:rFonts w:hint="eastAsia" w:ascii="方正仿宋简体" w:hAnsi="宋体" w:eastAsia="方正仿宋简体" w:cs="方正仿宋简体"/>
          <w:color w:val="000000"/>
          <w:kern w:val="0"/>
          <w:sz w:val="32"/>
          <w:szCs w:val="32"/>
        </w:rPr>
        <w:t>加强镇街道农业科技推广和社会化体系建设，提高服务水平，创新服务形式，增强服务效能。充分发挥各类人力资源培训平台作用，创新培训模式，加大农村实用技术人才和农民工转产培训力度。建立特色产业、示范基地、重大项目首席科技专家制度，引导和支持科技型企业开展产学研合作。鼓励专利和科技成果产业化，对引进发明专利或自主专利技术和科技成果形成产业化、市场前景良好的，优先给予政策扶持。</w:t>
      </w:r>
    </w:p>
    <w:p w14:paraId="28FFC940">
      <w:pPr>
        <w:ind w:firstLine="640" w:firstLineChars="200"/>
        <w:rPr>
          <w:rFonts w:ascii="方正仿宋简体" w:hAnsi="宋体" w:eastAsia="方正仿宋简体"/>
          <w:color w:val="000000"/>
          <w:kern w:val="0"/>
          <w:sz w:val="32"/>
          <w:szCs w:val="32"/>
        </w:rPr>
      </w:pPr>
    </w:p>
    <w:p w14:paraId="532A6073">
      <w:pPr>
        <w:ind w:firstLine="640" w:firstLineChars="200"/>
        <w:rPr>
          <w:rFonts w:ascii="方正仿宋简体" w:hAnsi="宋体" w:eastAsia="方正仿宋简体"/>
          <w:color w:val="000000"/>
          <w:kern w:val="0"/>
          <w:sz w:val="32"/>
          <w:szCs w:val="32"/>
        </w:rPr>
      </w:pPr>
    </w:p>
    <w:p w14:paraId="44C1D218">
      <w:pPr>
        <w:spacing w:afterLines="50" w:line="620" w:lineRule="exact"/>
        <w:jc w:val="center"/>
        <w:rPr>
          <w:rFonts w:ascii="宋体"/>
          <w:b/>
          <w:bCs/>
          <w:sz w:val="28"/>
          <w:szCs w:val="28"/>
        </w:rPr>
      </w:pPr>
      <w:r>
        <w:rPr>
          <w:rFonts w:hint="eastAsia" w:ascii="宋体" w:hAnsi="宋体" w:cs="宋体"/>
          <w:b/>
          <w:bCs/>
          <w:sz w:val="28"/>
          <w:szCs w:val="28"/>
        </w:rPr>
        <w:t>专栏</w:t>
      </w:r>
      <w:r>
        <w:rPr>
          <w:rFonts w:ascii="宋体" w:hAnsi="宋体" w:cs="宋体"/>
          <w:b/>
          <w:bCs/>
          <w:sz w:val="28"/>
          <w:szCs w:val="28"/>
        </w:rPr>
        <w:t xml:space="preserve">11  </w:t>
      </w:r>
      <w:r>
        <w:rPr>
          <w:rFonts w:hint="eastAsia" w:ascii="宋体" w:hAnsi="宋体" w:cs="宋体"/>
          <w:b/>
          <w:bCs/>
          <w:sz w:val="28"/>
          <w:szCs w:val="28"/>
        </w:rPr>
        <w:t>镇域经济重点建设项目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7C201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EDF14BE">
            <w:pPr>
              <w:spacing w:line="560" w:lineRule="exact"/>
              <w:ind w:firstLine="560" w:firstLineChars="200"/>
              <w:rPr>
                <w:rFonts w:ascii="方正仿宋简体" w:eastAsia="方正仿宋简体"/>
                <w:sz w:val="28"/>
                <w:szCs w:val="28"/>
              </w:rPr>
            </w:pPr>
            <w:r>
              <w:rPr>
                <w:rFonts w:hint="eastAsia" w:ascii="方正仿宋简体" w:hAnsi="宋体" w:eastAsia="方正仿宋简体" w:cs="方正仿宋简体"/>
                <w:sz w:val="28"/>
                <w:szCs w:val="28"/>
              </w:rPr>
              <w:t>主要推动农特产品加工产业园</w:t>
            </w:r>
            <w:r>
              <w:rPr>
                <w:rFonts w:hint="eastAsia" w:ascii="方正仿宋简体" w:hAnsi="宋体" w:eastAsia="方正仿宋简体" w:cs="方正仿宋简体"/>
                <w:color w:val="000000"/>
                <w:sz w:val="28"/>
                <w:szCs w:val="28"/>
              </w:rPr>
              <w:t>标准化厂房及基础设施建设、</w:t>
            </w:r>
            <w:r>
              <w:rPr>
                <w:rFonts w:hint="eastAsia" w:ascii="方正仿宋简体" w:hAnsi="宋体" w:eastAsia="方正仿宋简体" w:cs="方正仿宋简体"/>
                <w:sz w:val="28"/>
                <w:szCs w:val="28"/>
              </w:rPr>
              <w:t>年产</w:t>
            </w:r>
            <w:r>
              <w:rPr>
                <w:rFonts w:ascii="方正仿宋简体" w:hAnsi="宋体" w:eastAsia="方正仿宋简体" w:cs="方正仿宋简体"/>
                <w:sz w:val="28"/>
                <w:szCs w:val="28"/>
              </w:rPr>
              <w:t>200</w:t>
            </w:r>
            <w:r>
              <w:rPr>
                <w:rFonts w:hint="eastAsia" w:ascii="方正仿宋简体" w:hAnsi="宋体" w:eastAsia="方正仿宋简体" w:cs="方正仿宋简体"/>
                <w:sz w:val="28"/>
                <w:szCs w:val="28"/>
              </w:rPr>
              <w:t>万件服装加工、古建园林修复建造、年产</w:t>
            </w:r>
            <w:r>
              <w:rPr>
                <w:rFonts w:ascii="方正仿宋简体" w:hAnsi="宋体" w:eastAsia="方正仿宋简体" w:cs="方正仿宋简体"/>
                <w:sz w:val="28"/>
                <w:szCs w:val="28"/>
              </w:rPr>
              <w:t>2</w:t>
            </w:r>
            <w:r>
              <w:rPr>
                <w:rFonts w:hint="eastAsia" w:ascii="方正仿宋简体" w:hAnsi="宋体" w:eastAsia="方正仿宋简体" w:cs="方正仿宋简体"/>
                <w:sz w:val="28"/>
                <w:szCs w:val="28"/>
              </w:rPr>
              <w:t>万吨植物蛋白生产、大石门铜多金属矿、年产</w:t>
            </w:r>
            <w:r>
              <w:rPr>
                <w:rFonts w:ascii="方正仿宋简体" w:hAnsi="宋体" w:eastAsia="方正仿宋简体" w:cs="方正仿宋简体"/>
                <w:sz w:val="28"/>
                <w:szCs w:val="28"/>
              </w:rPr>
              <w:t>5</w:t>
            </w:r>
            <w:r>
              <w:rPr>
                <w:rFonts w:hint="eastAsia" w:ascii="方正仿宋简体" w:hAnsi="宋体" w:eastAsia="方正仿宋简体" w:cs="方正仿宋简体"/>
                <w:sz w:val="28"/>
                <w:szCs w:val="28"/>
              </w:rPr>
              <w:t>万套宠物木制品、神山水泥用灰岩矿综合开发及配套码头、乌沙镇服装产业基地建设、</w:t>
            </w:r>
            <w:r>
              <w:rPr>
                <w:rFonts w:hint="eastAsia" w:ascii="方正仿宋简体" w:hAnsi="宋体" w:eastAsia="方正仿宋简体" w:cs="方正仿宋简体"/>
                <w:color w:val="000000"/>
                <w:sz w:val="28"/>
                <w:szCs w:val="28"/>
              </w:rPr>
              <w:t>涓桥工业集中区综合体开发、</w:t>
            </w:r>
            <w:r>
              <w:rPr>
                <w:rFonts w:hint="eastAsia" w:ascii="方正仿宋简体" w:hAnsi="宋体" w:eastAsia="方正仿宋简体" w:cs="方正仿宋简体"/>
                <w:sz w:val="28"/>
                <w:szCs w:val="28"/>
              </w:rPr>
              <w:t>斗溪水库旅游开发和安徽池州升金湖（国家）青少年户外体育活动营地等项目建设。</w:t>
            </w:r>
          </w:p>
          <w:p w14:paraId="7576D8B3">
            <w:pPr>
              <w:spacing w:line="360" w:lineRule="exact"/>
              <w:jc w:val="center"/>
              <w:rPr>
                <w:rFonts w:ascii="宋体"/>
                <w:b/>
                <w:bCs/>
                <w:kern w:val="0"/>
                <w:sz w:val="28"/>
                <w:szCs w:val="28"/>
              </w:rPr>
            </w:pPr>
          </w:p>
        </w:tc>
      </w:tr>
    </w:tbl>
    <w:p w14:paraId="4BB129E7"/>
    <w:p w14:paraId="66547A6D">
      <w:pPr>
        <w:pStyle w:val="3"/>
        <w:spacing w:after="120" w:line="480" w:lineRule="auto"/>
        <w:ind w:firstLine="640" w:firstLineChars="200"/>
        <w:jc w:val="left"/>
        <w:rPr>
          <w:rFonts w:ascii="方正黑体简体" w:hAnsi="黑体" w:eastAsia="方正黑体简体" w:cs="Times New Roman"/>
          <w:b w:val="0"/>
          <w:bCs w:val="0"/>
        </w:rPr>
      </w:pPr>
      <w:bookmarkStart w:id="132" w:name="_Toc449037249"/>
      <w:r>
        <w:rPr>
          <w:rFonts w:hint="eastAsia" w:ascii="方正黑体简体" w:hAnsi="黑体" w:eastAsia="方正黑体简体" w:cs="方正黑体简体"/>
          <w:b w:val="0"/>
          <w:bCs w:val="0"/>
        </w:rPr>
        <w:t>第十一章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推进新型城镇化建设，促进城乡统筹发展</w:t>
      </w:r>
      <w:bookmarkEnd w:id="132"/>
    </w:p>
    <w:bookmarkEnd w:id="54"/>
    <w:bookmarkEnd w:id="121"/>
    <w:p w14:paraId="200332C0">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按照“强功能、提品位、严管理”的思路，高标准实施城乡规划建设，完善城镇功能。围绕东部新区、西部新城集聚功能，推动产城融合发展。加快中心镇建设，突出特色培育，强化集聚功能，构建“一主城、两新城、若干新市镇和新型社区”的布局，推进新型城镇化健康发展，打造</w:t>
      </w:r>
      <w:r>
        <w:rPr>
          <w:rFonts w:hint="eastAsia" w:ascii="方正仿宋简体" w:hAnsi="仿宋" w:eastAsia="方正仿宋简体" w:cs="方正仿宋简体"/>
          <w:sz w:val="32"/>
          <w:szCs w:val="32"/>
        </w:rPr>
        <w:t>皖江地区新型城镇化先行区</w:t>
      </w:r>
      <w:r>
        <w:rPr>
          <w:rFonts w:hint="eastAsia" w:ascii="方正仿宋简体" w:hAnsi="宋体" w:eastAsia="方正仿宋简体" w:cs="方正仿宋简体"/>
          <w:color w:val="000000"/>
          <w:kern w:val="0"/>
          <w:sz w:val="32"/>
          <w:szCs w:val="32"/>
        </w:rPr>
        <w:t>。</w:t>
      </w:r>
    </w:p>
    <w:p w14:paraId="0503648F">
      <w:pPr>
        <w:pStyle w:val="4"/>
        <w:spacing w:after="60" w:line="480" w:lineRule="auto"/>
        <w:ind w:firstLine="643" w:firstLineChars="200"/>
        <w:jc w:val="left"/>
        <w:rPr>
          <w:rFonts w:ascii="方正仿宋简体" w:hAnsi="黑体" w:eastAsia="方正仿宋简体"/>
        </w:rPr>
      </w:pPr>
      <w:bookmarkStart w:id="133" w:name="_Toc432670939"/>
      <w:bookmarkStart w:id="134" w:name="_Toc432405456"/>
      <w:bookmarkStart w:id="135" w:name="_Toc449037250"/>
      <w:r>
        <w:rPr>
          <w:rFonts w:hint="eastAsia" w:ascii="方正仿宋简体" w:hAnsi="黑体" w:eastAsia="方正仿宋简体" w:cs="方正仿宋简体"/>
        </w:rPr>
        <w:t>第一节</w:t>
      </w:r>
      <w:r>
        <w:rPr>
          <w:rFonts w:ascii="方正仿宋简体" w:hAnsi="黑体" w:eastAsia="方正仿宋简体" w:cs="方正仿宋简体"/>
        </w:rPr>
        <w:t xml:space="preserve"> </w:t>
      </w:r>
      <w:bookmarkEnd w:id="133"/>
      <w:bookmarkEnd w:id="134"/>
      <w:r>
        <w:rPr>
          <w:rFonts w:ascii="方正仿宋简体" w:hAnsi="黑体" w:eastAsia="方正仿宋简体" w:cs="方正仿宋简体"/>
        </w:rPr>
        <w:t xml:space="preserve"> </w:t>
      </w:r>
      <w:r>
        <w:rPr>
          <w:rFonts w:hint="eastAsia" w:ascii="方正仿宋简体" w:hAnsi="黑体" w:eastAsia="方正仿宋简体" w:cs="方正仿宋简体"/>
        </w:rPr>
        <w:t>加强东部新区和西部新城建设</w:t>
      </w:r>
      <w:bookmarkEnd w:id="135"/>
    </w:p>
    <w:p w14:paraId="477946E0">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以池州高新区和前江工业园区为依托，优化园区产业、城市、生态功能，分别打造池州东部新区、西部新城。以“三治”（治脏、治乱、治违）、“三增”（增强功能、增加绿量、增进文明）为突破口，推动“三提升”（提升规划水平、提升建设水平、提升管理水平），进一步彰显生态特色，增强文化魅力，完善旅游功能，提升宜居品质，打造碧水青山、绿色低碳、人文厚重、和谐宜居的生态文明城市。</w:t>
      </w:r>
    </w:p>
    <w:p w14:paraId="178AB78B">
      <w:pPr>
        <w:pStyle w:val="11"/>
        <w:spacing w:line="620" w:lineRule="exact"/>
        <w:ind w:firstLine="643" w:firstLineChars="200"/>
        <w:rPr>
          <w:rFonts w:ascii="方正仿宋简体" w:hAnsi="宋体" w:eastAsia="方正仿宋简体" w:cs="Times New Roman"/>
          <w:color w:val="000000"/>
          <w:kern w:val="0"/>
          <w:sz w:val="32"/>
          <w:szCs w:val="32"/>
        </w:rPr>
      </w:pPr>
      <w:r>
        <w:rPr>
          <w:rFonts w:hint="eastAsia" w:ascii="方正楷体简体" w:hAnsi="Times New Roman" w:eastAsia="方正楷体简体" w:cs="方正楷体简体"/>
          <w:b/>
          <w:bCs/>
          <w:color w:val="000000"/>
          <w:sz w:val="32"/>
          <w:szCs w:val="32"/>
          <w:lang w:val="zh-CN"/>
        </w:rPr>
        <w:t>提升东部新区。</w:t>
      </w:r>
      <w:r>
        <w:rPr>
          <w:rFonts w:hint="eastAsia" w:ascii="方正仿宋简体" w:hAnsi="宋体" w:eastAsia="方正仿宋简体" w:cs="方正仿宋简体"/>
          <w:color w:val="000000"/>
          <w:kern w:val="0"/>
          <w:sz w:val="32"/>
          <w:szCs w:val="32"/>
        </w:rPr>
        <w:t>加快道路、管网、人才公寓等基础设施建设，继续实施道路交通工程和厂房消防喷淋及报警系统，新建西园路、栖云路延伸段及雨污水管网，白浦路延伸段供水管网和高压架空线路。立足政务中心建设和产城融合发展，加快金融保险、邮政储蓄、商场超市、文体设施等城市配套项目建设，积极引进商购、娱乐、剧院、宾馆等项目完善生产和生活服务功能。加强与金融机构的对接、协调力度，力争“十三五”有</w:t>
      </w:r>
      <w:r>
        <w:rPr>
          <w:rFonts w:ascii="方正仿宋简体" w:hAnsi="宋体" w:eastAsia="方正仿宋简体" w:cs="方正仿宋简体"/>
          <w:color w:val="000000"/>
          <w:kern w:val="0"/>
          <w:sz w:val="32"/>
          <w:szCs w:val="32"/>
        </w:rPr>
        <w:t>5</w:t>
      </w:r>
      <w:r>
        <w:rPr>
          <w:rFonts w:hint="eastAsia" w:ascii="方正仿宋简体" w:hAnsi="宋体" w:eastAsia="方正仿宋简体" w:cs="方正仿宋简体"/>
          <w:color w:val="000000"/>
          <w:kern w:val="0"/>
          <w:sz w:val="32"/>
          <w:szCs w:val="32"/>
        </w:rPr>
        <w:t>家商业银行入驻园区。加快标准化厂房配套设施建设，保障园区企业用水、用电、用气需求。到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年，居住人口达</w:t>
      </w:r>
      <w:r>
        <w:rPr>
          <w:rFonts w:ascii="方正仿宋简体" w:hAnsi="仿宋" w:eastAsia="方正仿宋简体" w:cs="方正仿宋简体"/>
          <w:sz w:val="32"/>
          <w:szCs w:val="32"/>
        </w:rPr>
        <w:t>10</w:t>
      </w:r>
      <w:r>
        <w:rPr>
          <w:rFonts w:hint="eastAsia" w:ascii="方正仿宋简体" w:hAnsi="宋体" w:eastAsia="方正仿宋简体" w:cs="方正仿宋简体"/>
          <w:color w:val="000000"/>
          <w:kern w:val="0"/>
          <w:sz w:val="32"/>
          <w:szCs w:val="32"/>
        </w:rPr>
        <w:t>万人，打造池州市区级中心。</w:t>
      </w:r>
    </w:p>
    <w:p w14:paraId="7485CE68">
      <w:pPr>
        <w:pStyle w:val="11"/>
        <w:spacing w:line="620" w:lineRule="exact"/>
        <w:ind w:firstLine="643" w:firstLineChars="200"/>
        <w:rPr>
          <w:rFonts w:ascii="方正仿宋简体" w:hAnsi="宋体" w:eastAsia="方正仿宋简体" w:cs="Times New Roman"/>
          <w:color w:val="000000"/>
          <w:kern w:val="0"/>
          <w:sz w:val="32"/>
          <w:szCs w:val="32"/>
        </w:rPr>
      </w:pPr>
      <w:r>
        <w:rPr>
          <w:rFonts w:hint="eastAsia" w:ascii="方正楷体简体" w:hAnsi="Times New Roman" w:eastAsia="方正楷体简体" w:cs="方正楷体简体"/>
          <w:b/>
          <w:bCs/>
          <w:color w:val="000000"/>
          <w:sz w:val="32"/>
          <w:szCs w:val="32"/>
          <w:lang w:val="zh-CN"/>
        </w:rPr>
        <w:t>培育西部新城。</w:t>
      </w:r>
      <w:r>
        <w:rPr>
          <w:rFonts w:hint="eastAsia" w:ascii="方正仿宋简体" w:hAnsi="宋体" w:eastAsia="方正仿宋简体" w:cs="方正仿宋简体"/>
          <w:color w:val="000000"/>
          <w:kern w:val="0"/>
          <w:sz w:val="32"/>
          <w:szCs w:val="32"/>
        </w:rPr>
        <w:t>加快路网、房建、医院、金融商务中心等公共服务项目建设，形成“五横两纵”干道系统，实现园区配套在质量和形象上大的提升。继续推进园区绿化、亮化、美化工程，加快宝赛湖、杨湾湖、汪矶湖整治步伐，营建生产区与生活区间的绿色屏障，全面建成生态防护区。加速发展现代服务业，做好金融、通讯、保险、咨询等中介服务类及酒店、宾馆、商业综合体等休闲娱乐类项目引入，并根据企业产业工人规模及下步发展目标，科学配置百货、饮食、邮政、储蓄等商业网点，为职工生产生活提供便利。完善园区内循环交通建设，并接入外围公共交通，努力实现生产区、服务区、居住区、消费区以及与周边镇街互联互通，加速产城融合发展。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年，居住人口达</w:t>
      </w:r>
      <w:r>
        <w:rPr>
          <w:rFonts w:ascii="方正仿宋简体" w:hAnsi="仿宋" w:eastAsia="方正仿宋简体" w:cs="方正仿宋简体"/>
          <w:sz w:val="32"/>
          <w:szCs w:val="32"/>
        </w:rPr>
        <w:t>6</w:t>
      </w:r>
      <w:r>
        <w:rPr>
          <w:rFonts w:hint="eastAsia" w:ascii="方正仿宋简体" w:hAnsi="宋体" w:eastAsia="方正仿宋简体" w:cs="方正仿宋简体"/>
          <w:color w:val="000000"/>
          <w:kern w:val="0"/>
          <w:sz w:val="32"/>
          <w:szCs w:val="32"/>
        </w:rPr>
        <w:t>万人。</w:t>
      </w:r>
    </w:p>
    <w:p w14:paraId="75E3DCFE">
      <w:pPr>
        <w:pStyle w:val="11"/>
        <w:spacing w:line="620" w:lineRule="exact"/>
        <w:ind w:firstLine="643" w:firstLineChars="200"/>
        <w:rPr>
          <w:rFonts w:ascii="方正仿宋简体" w:hAnsi="宋体" w:eastAsia="方正仿宋简体" w:cs="Times New Roman"/>
          <w:color w:val="000000"/>
          <w:kern w:val="0"/>
          <w:sz w:val="32"/>
          <w:szCs w:val="32"/>
        </w:rPr>
      </w:pPr>
      <w:r>
        <w:rPr>
          <w:rFonts w:hint="eastAsia" w:ascii="方正楷体简体" w:hAnsi="Times New Roman" w:eastAsia="方正楷体简体" w:cs="方正楷体简体"/>
          <w:b/>
          <w:bCs/>
          <w:color w:val="000000"/>
          <w:sz w:val="32"/>
          <w:szCs w:val="32"/>
          <w:lang w:val="zh-CN"/>
        </w:rPr>
        <w:t>推进智慧城市和海绵城市创建。</w:t>
      </w:r>
      <w:r>
        <w:rPr>
          <w:rFonts w:hint="eastAsia" w:ascii="方正仿宋简体" w:hAnsi="宋体" w:eastAsia="方正仿宋简体" w:cs="方正仿宋简体"/>
          <w:color w:val="000000"/>
          <w:kern w:val="0"/>
          <w:sz w:val="32"/>
          <w:szCs w:val="32"/>
        </w:rPr>
        <w:t>重点建设信息化基础设施、公共基础数据库、公共信息平台、智慧规划、智慧管网、智慧建筑、智慧政务、智慧城管、智慧能源、智慧旅游、智慧社区等项目，提高城镇信息化水平。推进城镇绿化，加强雨水生态管理，积极推广透水性铺装，促进海绵城市建设。</w:t>
      </w:r>
    </w:p>
    <w:p w14:paraId="040FA133">
      <w:pPr>
        <w:pStyle w:val="4"/>
        <w:spacing w:after="60" w:line="480" w:lineRule="auto"/>
        <w:ind w:firstLine="643" w:firstLineChars="200"/>
        <w:jc w:val="left"/>
        <w:rPr>
          <w:rFonts w:ascii="方正仿宋简体" w:hAnsi="黑体" w:eastAsia="方正仿宋简体"/>
        </w:rPr>
      </w:pPr>
      <w:bookmarkStart w:id="136" w:name="_Toc449037251"/>
      <w:bookmarkStart w:id="137" w:name="_Toc432670940"/>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完善城镇发展体系</w:t>
      </w:r>
      <w:bookmarkEnd w:id="136"/>
      <w:bookmarkEnd w:id="137"/>
    </w:p>
    <w:p w14:paraId="328780D5">
      <w:pPr>
        <w:pStyle w:val="11"/>
        <w:spacing w:line="620" w:lineRule="exact"/>
        <w:ind w:firstLine="640" w:firstLineChars="200"/>
        <w:rPr>
          <w:rFonts w:ascii="方正仿宋简体" w:hAnsi="宋体" w:eastAsia="方正仿宋简体" w:cs="Times New Roman"/>
          <w:color w:val="000000"/>
          <w:kern w:val="0"/>
          <w:sz w:val="32"/>
          <w:szCs w:val="32"/>
        </w:rPr>
      </w:pPr>
      <w:r>
        <w:rPr>
          <w:rFonts w:hint="eastAsia" w:ascii="方正仿宋简体" w:hAnsi="宋体" w:eastAsia="方正仿宋简体" w:cs="方正仿宋简体"/>
          <w:color w:val="000000"/>
          <w:kern w:val="0"/>
          <w:sz w:val="32"/>
          <w:szCs w:val="32"/>
        </w:rPr>
        <w:t>大力推进“一融双新”，扎实开展新型城镇化试点省建设。坚持产城融合理念，明确镇街道城镇发展定位，优化产业和空间布局，形成以殷汇、牛头山为重点，乌沙、马衙、梅村、梅街为支撑，唐田、牌楼、棠溪、墩上、涓桥、秋江、里山、梅龙等特色镇为纽带的新型城镇体系。把集镇发展规划与产业发展规划、土地利用总体规划等规划相衔接，将产业功能、城镇功能和生态功能融为一体，实现以产兴城、以城聚产、产城联动、融合发展。着力推动人口城镇化，完善相关配套措施，积极开展宅基地复垦工作，鼓励人口异地转移，推动人口向城镇聚集。</w:t>
      </w:r>
    </w:p>
    <w:p w14:paraId="3B7A6C4D">
      <w:pPr>
        <w:pStyle w:val="11"/>
        <w:spacing w:line="620" w:lineRule="exact"/>
        <w:ind w:firstLine="640" w:firstLineChars="200"/>
        <w:rPr>
          <w:rFonts w:ascii="方正仿宋简体" w:hAnsi="宋体" w:eastAsia="方正仿宋简体" w:cs="Times New Roman"/>
          <w:color w:val="000000"/>
          <w:kern w:val="0"/>
          <w:sz w:val="32"/>
          <w:szCs w:val="32"/>
        </w:rPr>
      </w:pPr>
    </w:p>
    <w:p w14:paraId="74B81451">
      <w:pPr>
        <w:pStyle w:val="11"/>
        <w:spacing w:line="620" w:lineRule="exact"/>
        <w:jc w:val="center"/>
        <w:rPr>
          <w:rFonts w:hAnsi="宋体" w:cs="Times New Roman"/>
          <w:b/>
          <w:bCs/>
          <w:color w:val="000000"/>
          <w:sz w:val="28"/>
          <w:szCs w:val="28"/>
        </w:rPr>
      </w:pPr>
      <w:r>
        <w:rPr>
          <w:rFonts w:hint="eastAsia" w:hAnsi="宋体"/>
          <w:b/>
          <w:bCs/>
          <w:color w:val="000000"/>
          <w:sz w:val="28"/>
          <w:szCs w:val="28"/>
        </w:rPr>
        <w:t>专栏</w:t>
      </w:r>
      <w:r>
        <w:rPr>
          <w:rFonts w:hAnsi="宋体"/>
          <w:b/>
          <w:bCs/>
          <w:color w:val="000000"/>
          <w:sz w:val="28"/>
          <w:szCs w:val="28"/>
        </w:rPr>
        <w:t xml:space="preserve">12  </w:t>
      </w:r>
      <w:r>
        <w:rPr>
          <w:rFonts w:hint="eastAsia" w:hAnsi="宋体"/>
          <w:b/>
          <w:bCs/>
          <w:color w:val="000000"/>
          <w:sz w:val="28"/>
          <w:szCs w:val="28"/>
        </w:rPr>
        <w:t>“十三五”时期重点镇建设</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2EBF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8" w:hRule="atLeast"/>
        </w:trPr>
        <w:tc>
          <w:tcPr>
            <w:tcW w:w="5000" w:type="pct"/>
          </w:tcPr>
          <w:p w14:paraId="7B559D53">
            <w:pPr>
              <w:pStyle w:val="11"/>
              <w:spacing w:line="520" w:lineRule="exact"/>
              <w:ind w:firstLine="562" w:firstLineChars="200"/>
              <w:rPr>
                <w:rFonts w:ascii="方正仿宋简体" w:hAnsi="宋体" w:eastAsia="方正仿宋简体" w:cs="Times New Roman"/>
                <w:color w:val="000000"/>
                <w:kern w:val="0"/>
                <w:sz w:val="28"/>
                <w:szCs w:val="28"/>
                <w:lang w:val="zh-CN"/>
              </w:rPr>
            </w:pPr>
            <w:r>
              <w:rPr>
                <w:rFonts w:hint="eastAsia" w:ascii="方正楷体简体" w:hAnsi="宋体" w:eastAsia="方正楷体简体" w:cs="方正楷体简体"/>
                <w:b/>
                <w:bCs/>
                <w:color w:val="000000"/>
                <w:kern w:val="0"/>
                <w:sz w:val="28"/>
                <w:szCs w:val="28"/>
                <w:lang w:val="zh-CN"/>
              </w:rPr>
              <w:t>殷汇镇</w:t>
            </w:r>
            <w:r>
              <w:rPr>
                <w:rFonts w:hint="eastAsia" w:ascii="方正楷体简体" w:hAnsi="宋体" w:eastAsia="方正楷体简体" w:cs="方正楷体简体"/>
                <w:color w:val="000000"/>
                <w:kern w:val="0"/>
                <w:sz w:val="28"/>
                <w:szCs w:val="28"/>
                <w:lang w:val="zh-CN"/>
              </w:rPr>
              <w:t>：</w:t>
            </w:r>
            <w:r>
              <w:rPr>
                <w:rFonts w:hint="eastAsia" w:ascii="方正仿宋简体" w:hAnsi="宋体" w:eastAsia="方正仿宋简体" w:cs="方正仿宋简体"/>
                <w:color w:val="000000"/>
                <w:kern w:val="0"/>
                <w:sz w:val="28"/>
                <w:szCs w:val="28"/>
                <w:lang w:val="zh-CN"/>
              </w:rPr>
              <w:t>利用生态农业资源，发展商贸和农副产品加工业，同时，开发以秋浦河自然风光和人文景观为主要内容的沿岸景观带，作为长江岸线生态旅游景观带向腹地的延伸。加强商业服务设施和旅游服务设施建设，加强公共服务配套，起到辐射周边乡镇的作用。加强对历史文化的保护利用。规划城镇职能为商贸城镇，规划城镇人口规模</w:t>
            </w:r>
            <w:r>
              <w:rPr>
                <w:rFonts w:ascii="方正仿宋简体" w:hAnsi="宋体" w:eastAsia="方正仿宋简体" w:cs="方正仿宋简体"/>
                <w:color w:val="000000"/>
                <w:kern w:val="0"/>
                <w:sz w:val="28"/>
                <w:szCs w:val="28"/>
                <w:lang w:val="zh-CN"/>
              </w:rPr>
              <w:t>2</w:t>
            </w:r>
            <w:r>
              <w:rPr>
                <w:rFonts w:hint="eastAsia" w:ascii="方正仿宋简体" w:hAnsi="宋体" w:eastAsia="方正仿宋简体" w:cs="方正仿宋简体"/>
                <w:color w:val="000000"/>
                <w:kern w:val="0"/>
                <w:sz w:val="28"/>
                <w:szCs w:val="28"/>
                <w:lang w:val="zh-CN"/>
              </w:rPr>
              <w:t>万人。</w:t>
            </w:r>
          </w:p>
          <w:p w14:paraId="5D9665DD">
            <w:pPr>
              <w:pStyle w:val="11"/>
              <w:spacing w:line="520" w:lineRule="exact"/>
              <w:ind w:firstLine="562" w:firstLineChars="200"/>
              <w:rPr>
                <w:rFonts w:ascii="方正仿宋简体" w:hAnsi="宋体" w:eastAsia="方正仿宋简体" w:cs="Times New Roman"/>
                <w:color w:val="000000"/>
                <w:kern w:val="0"/>
                <w:sz w:val="28"/>
                <w:szCs w:val="28"/>
                <w:lang w:val="zh-CN"/>
              </w:rPr>
            </w:pPr>
            <w:r>
              <w:rPr>
                <w:rFonts w:hint="eastAsia" w:ascii="方正楷体简体" w:hAnsi="宋体" w:eastAsia="方正楷体简体" w:cs="方正楷体简体"/>
                <w:b/>
                <w:bCs/>
                <w:color w:val="000000"/>
                <w:kern w:val="0"/>
                <w:sz w:val="28"/>
                <w:szCs w:val="28"/>
                <w:lang w:val="zh-CN"/>
              </w:rPr>
              <w:t>牛头山镇：</w:t>
            </w:r>
            <w:r>
              <w:rPr>
                <w:rFonts w:hint="eastAsia" w:ascii="方正仿宋简体" w:hAnsi="宋体" w:eastAsia="方正仿宋简体" w:cs="方正仿宋简体"/>
                <w:color w:val="000000"/>
                <w:kern w:val="0"/>
                <w:sz w:val="28"/>
                <w:szCs w:val="28"/>
                <w:lang w:val="zh-CN"/>
              </w:rPr>
              <w:t>牛头山镇依托前江工业园区发展金属材料、新型功能材料、临港配套产业和循环化改造相关的绿色环保型产业的功能定位，积极引进生产性和生活性服务业入驻发展，完善集镇基础设施建设和功能配套，推动产城融合发展。规划城镇职能为工贸城镇，规划城镇人口规模</w:t>
            </w:r>
            <w:r>
              <w:rPr>
                <w:rFonts w:ascii="方正仿宋简体" w:hAnsi="宋体" w:eastAsia="方正仿宋简体" w:cs="方正仿宋简体"/>
                <w:color w:val="000000"/>
                <w:kern w:val="0"/>
                <w:sz w:val="28"/>
                <w:szCs w:val="28"/>
                <w:lang w:val="zh-CN"/>
              </w:rPr>
              <w:t>2</w:t>
            </w:r>
            <w:r>
              <w:rPr>
                <w:rFonts w:hint="eastAsia" w:ascii="方正仿宋简体" w:hAnsi="宋体" w:eastAsia="方正仿宋简体" w:cs="方正仿宋简体"/>
                <w:color w:val="000000"/>
                <w:kern w:val="0"/>
                <w:sz w:val="28"/>
                <w:szCs w:val="28"/>
                <w:lang w:val="zh-CN"/>
              </w:rPr>
              <w:t>万人。</w:t>
            </w:r>
          </w:p>
          <w:p w14:paraId="7B4C94B3">
            <w:pPr>
              <w:pStyle w:val="11"/>
              <w:spacing w:line="520" w:lineRule="exact"/>
              <w:ind w:firstLine="562" w:firstLineChars="200"/>
              <w:rPr>
                <w:rFonts w:ascii="方正仿宋简体" w:hAnsi="宋体" w:eastAsia="方正仿宋简体" w:cs="Times New Roman"/>
                <w:color w:val="000000"/>
                <w:kern w:val="0"/>
                <w:sz w:val="28"/>
                <w:szCs w:val="28"/>
                <w:lang w:val="zh-CN"/>
              </w:rPr>
            </w:pPr>
            <w:r>
              <w:rPr>
                <w:rFonts w:hint="eastAsia" w:ascii="方正楷体简体" w:hAnsi="宋体" w:eastAsia="方正楷体简体" w:cs="方正楷体简体"/>
                <w:b/>
                <w:bCs/>
                <w:color w:val="000000"/>
                <w:kern w:val="0"/>
                <w:sz w:val="28"/>
                <w:szCs w:val="28"/>
                <w:lang w:val="zh-CN"/>
              </w:rPr>
              <w:t>马衙街道：</w:t>
            </w:r>
            <w:r>
              <w:rPr>
                <w:rFonts w:hint="eastAsia" w:ascii="方正仿宋简体" w:hAnsi="宋体" w:eastAsia="方正仿宋简体" w:cs="方正仿宋简体"/>
                <w:color w:val="000000"/>
                <w:kern w:val="0"/>
                <w:sz w:val="28"/>
                <w:szCs w:val="28"/>
                <w:lang w:val="zh-CN"/>
              </w:rPr>
              <w:t>大力实施“稳工促游，以游带商，工农商游”发展战略，按照“一心三带六区”的总体布局，重点发展旅游、商贸、物流服务业，突出打造“九华天池”等旅游文化品牌，不断完善交通、水电、宽带、数字电视、公共卫生、医疗服务体系及文化娱乐等设施建设，努力建成沿线重要的物流、商贸和旅游集散中心。规划城镇人口规模</w:t>
            </w:r>
            <w:r>
              <w:rPr>
                <w:rFonts w:ascii="方正仿宋简体" w:hAnsi="宋体" w:eastAsia="方正仿宋简体" w:cs="方正仿宋简体"/>
                <w:color w:val="000000"/>
                <w:kern w:val="0"/>
                <w:sz w:val="28"/>
                <w:szCs w:val="28"/>
                <w:lang w:val="zh-CN"/>
              </w:rPr>
              <w:t>1.5</w:t>
            </w:r>
            <w:r>
              <w:rPr>
                <w:rFonts w:hint="eastAsia" w:ascii="方正仿宋简体" w:hAnsi="宋体" w:eastAsia="方正仿宋简体" w:cs="方正仿宋简体"/>
                <w:color w:val="000000"/>
                <w:kern w:val="0"/>
                <w:sz w:val="28"/>
                <w:szCs w:val="28"/>
                <w:lang w:val="zh-CN"/>
              </w:rPr>
              <w:t>万人。</w:t>
            </w:r>
          </w:p>
          <w:p w14:paraId="33B7D63A">
            <w:pPr>
              <w:pStyle w:val="11"/>
              <w:spacing w:line="520" w:lineRule="exact"/>
              <w:ind w:firstLine="562" w:firstLineChars="200"/>
              <w:rPr>
                <w:rFonts w:ascii="方正仿宋简体" w:hAnsi="宋体" w:eastAsia="方正仿宋简体" w:cs="Times New Roman"/>
                <w:color w:val="000000"/>
                <w:kern w:val="0"/>
                <w:sz w:val="28"/>
                <w:szCs w:val="28"/>
                <w:lang w:val="zh-CN"/>
              </w:rPr>
            </w:pPr>
            <w:r>
              <w:rPr>
                <w:rFonts w:hint="eastAsia" w:ascii="方正楷体简体" w:hAnsi="宋体" w:eastAsia="方正楷体简体" w:cs="方正楷体简体"/>
                <w:b/>
                <w:bCs/>
                <w:color w:val="000000"/>
                <w:kern w:val="0"/>
                <w:sz w:val="28"/>
                <w:szCs w:val="28"/>
                <w:lang w:val="zh-CN"/>
              </w:rPr>
              <w:t>乌沙镇：</w:t>
            </w:r>
            <w:r>
              <w:rPr>
                <w:rFonts w:hint="eastAsia" w:ascii="方正仿宋简体" w:hAnsi="宋体" w:eastAsia="方正仿宋简体" w:cs="方正仿宋简体"/>
                <w:color w:val="000000"/>
                <w:kern w:val="0"/>
                <w:sz w:val="28"/>
                <w:szCs w:val="28"/>
                <w:lang w:val="zh-CN"/>
              </w:rPr>
              <w:t>按照“一核、两园、三组”，大力发展船舶修造、服装加工、生态农业和物流运输四大主导产业，强力推进船舶基地、服装产业园、粮食产业园和物流园区建设，完善道路、供电、供水和防洪设施建设，强化集镇环境整治，努力打造工贸型集镇。规划城镇人口规模</w:t>
            </w:r>
            <w:r>
              <w:rPr>
                <w:rFonts w:ascii="方正仿宋简体" w:hAnsi="宋体" w:eastAsia="方正仿宋简体" w:cs="方正仿宋简体"/>
                <w:color w:val="000000"/>
                <w:kern w:val="0"/>
                <w:sz w:val="28"/>
                <w:szCs w:val="28"/>
                <w:lang w:val="zh-CN"/>
              </w:rPr>
              <w:t>1.5</w:t>
            </w:r>
            <w:r>
              <w:rPr>
                <w:rFonts w:hint="eastAsia" w:ascii="方正仿宋简体" w:hAnsi="宋体" w:eastAsia="方正仿宋简体" w:cs="方正仿宋简体"/>
                <w:color w:val="000000"/>
                <w:kern w:val="0"/>
                <w:sz w:val="28"/>
                <w:szCs w:val="28"/>
                <w:lang w:val="zh-CN"/>
              </w:rPr>
              <w:t>万人。</w:t>
            </w:r>
          </w:p>
          <w:p w14:paraId="4E897A1C">
            <w:pPr>
              <w:widowControl/>
              <w:spacing w:line="520" w:lineRule="exact"/>
              <w:ind w:firstLine="562" w:firstLineChars="200"/>
              <w:rPr>
                <w:rFonts w:ascii="宋体"/>
                <w:color w:val="000000"/>
                <w:kern w:val="0"/>
                <w:sz w:val="28"/>
                <w:szCs w:val="28"/>
                <w:lang w:val="zh-CN"/>
              </w:rPr>
            </w:pPr>
            <w:r>
              <w:rPr>
                <w:rFonts w:hint="eastAsia" w:ascii="方正楷体简体" w:hAnsi="宋体" w:eastAsia="方正楷体简体" w:cs="方正楷体简体"/>
                <w:b/>
                <w:bCs/>
                <w:color w:val="000000"/>
                <w:kern w:val="0"/>
                <w:sz w:val="28"/>
                <w:szCs w:val="28"/>
                <w:lang w:val="zh-CN"/>
              </w:rPr>
              <w:t>梅街镇：</w:t>
            </w:r>
            <w:r>
              <w:rPr>
                <w:rFonts w:hint="eastAsia" w:ascii="方正仿宋简体" w:hAnsi="宋体" w:eastAsia="方正仿宋简体" w:cs="方正仿宋简体"/>
                <w:color w:val="000000"/>
                <w:kern w:val="0"/>
                <w:sz w:val="28"/>
                <w:szCs w:val="28"/>
                <w:lang w:val="zh-CN"/>
              </w:rPr>
              <w:t>梅街镇重点发展非金属矿深加工产业，深入推进非金属矿及精深加工产业集群专业镇建设，着力打造“非金属矿深加工产业基地”。加强集镇道路、供排水、污水处理厂、绿化、亮化等基础设施建设，推动傩文化休闲广场、农贸市场改扩建、文化教育等配套设施建设，完善集镇功能。集镇规划人口规模</w:t>
            </w:r>
            <w:r>
              <w:rPr>
                <w:rFonts w:ascii="方正仿宋简体" w:hAnsi="宋体" w:eastAsia="方正仿宋简体" w:cs="方正仿宋简体"/>
                <w:color w:val="000000"/>
                <w:kern w:val="0"/>
                <w:sz w:val="28"/>
                <w:szCs w:val="28"/>
                <w:lang w:val="zh-CN"/>
              </w:rPr>
              <w:t>1.5</w:t>
            </w:r>
            <w:r>
              <w:rPr>
                <w:rFonts w:hint="eastAsia" w:ascii="方正仿宋简体" w:hAnsi="宋体" w:eastAsia="方正仿宋简体" w:cs="方正仿宋简体"/>
                <w:color w:val="000000"/>
                <w:kern w:val="0"/>
                <w:sz w:val="28"/>
                <w:szCs w:val="28"/>
                <w:lang w:val="zh-CN"/>
              </w:rPr>
              <w:t>万人。</w:t>
            </w:r>
          </w:p>
          <w:p w14:paraId="2F78F13A">
            <w:pPr>
              <w:pStyle w:val="11"/>
              <w:spacing w:line="520" w:lineRule="exact"/>
              <w:ind w:firstLine="562" w:firstLineChars="200"/>
              <w:rPr>
                <w:rFonts w:ascii="仿宋_GB2312" w:eastAsia="仿宋_GB2312" w:cs="Times New Roman"/>
                <w:color w:val="000000"/>
                <w:sz w:val="28"/>
                <w:szCs w:val="28"/>
              </w:rPr>
            </w:pPr>
            <w:r>
              <w:rPr>
                <w:rFonts w:hint="eastAsia" w:ascii="方正楷体简体" w:hAnsi="宋体" w:eastAsia="方正楷体简体" w:cs="方正楷体简体"/>
                <w:b/>
                <w:bCs/>
                <w:color w:val="000000"/>
                <w:kern w:val="0"/>
                <w:sz w:val="28"/>
                <w:szCs w:val="28"/>
                <w:lang w:val="zh-CN"/>
              </w:rPr>
              <w:t>梅村镇：</w:t>
            </w:r>
            <w:r>
              <w:rPr>
                <w:rFonts w:hint="eastAsia" w:ascii="方正仿宋简体" w:hAnsi="宋体" w:eastAsia="方正仿宋简体" w:cs="方正仿宋简体"/>
                <w:color w:val="000000"/>
                <w:kern w:val="0"/>
                <w:sz w:val="28"/>
                <w:szCs w:val="28"/>
                <w:lang w:val="zh-CN"/>
              </w:rPr>
              <w:t>大力发展生态乡村旅游业、现代生态农业、竹木精深加工业，重点抓好梅村长山工业集中区、省道</w:t>
            </w:r>
            <w:r>
              <w:rPr>
                <w:rFonts w:ascii="方正仿宋简体" w:hAnsi="宋体" w:eastAsia="方正仿宋简体" w:cs="方正仿宋简体"/>
                <w:color w:val="000000"/>
                <w:kern w:val="0"/>
                <w:sz w:val="28"/>
                <w:szCs w:val="28"/>
                <w:lang w:val="zh-CN"/>
              </w:rPr>
              <w:t>221</w:t>
            </w:r>
            <w:r>
              <w:rPr>
                <w:rFonts w:hint="eastAsia" w:ascii="方正仿宋简体" w:hAnsi="宋体" w:eastAsia="方正仿宋简体" w:cs="方正仿宋简体"/>
                <w:color w:val="000000"/>
                <w:kern w:val="0"/>
                <w:sz w:val="28"/>
                <w:szCs w:val="28"/>
                <w:lang w:val="zh-CN"/>
              </w:rPr>
              <w:t>三农示范带、霄坑大峡谷旅游景区建设，加快推进雨污管网、东西两个日处理</w:t>
            </w:r>
            <w:r>
              <w:rPr>
                <w:rFonts w:ascii="方正仿宋简体" w:hAnsi="宋体" w:eastAsia="方正仿宋简体" w:cs="方正仿宋简体"/>
                <w:color w:val="000000"/>
                <w:kern w:val="0"/>
                <w:sz w:val="28"/>
                <w:szCs w:val="28"/>
                <w:lang w:val="zh-CN"/>
              </w:rPr>
              <w:t>1</w:t>
            </w:r>
            <w:r>
              <w:rPr>
                <w:rFonts w:hint="eastAsia" w:ascii="方正仿宋简体" w:hAnsi="宋体" w:eastAsia="方正仿宋简体" w:cs="方正仿宋简体"/>
                <w:color w:val="000000"/>
                <w:kern w:val="0"/>
                <w:sz w:val="28"/>
                <w:szCs w:val="28"/>
                <w:lang w:val="zh-CN"/>
              </w:rPr>
              <w:t>万吨、</w:t>
            </w:r>
            <w:r>
              <w:rPr>
                <w:rFonts w:ascii="方正仿宋简体" w:hAnsi="宋体" w:eastAsia="方正仿宋简体" w:cs="方正仿宋简体"/>
                <w:color w:val="000000"/>
                <w:kern w:val="0"/>
                <w:sz w:val="28"/>
                <w:szCs w:val="28"/>
                <w:lang w:val="zh-CN"/>
              </w:rPr>
              <w:t>0.5</w:t>
            </w:r>
            <w:r>
              <w:rPr>
                <w:rFonts w:hint="eastAsia" w:ascii="方正仿宋简体" w:hAnsi="宋体" w:eastAsia="方正仿宋简体" w:cs="方正仿宋简体"/>
                <w:color w:val="000000"/>
                <w:kern w:val="0"/>
                <w:sz w:val="28"/>
                <w:szCs w:val="28"/>
                <w:lang w:val="zh-CN"/>
              </w:rPr>
              <w:t>万吨污水处理厂和年处理</w:t>
            </w:r>
            <w:r>
              <w:rPr>
                <w:rFonts w:ascii="方正仿宋简体" w:hAnsi="宋体" w:eastAsia="方正仿宋简体" w:cs="方正仿宋简体"/>
                <w:color w:val="000000"/>
                <w:kern w:val="0"/>
                <w:sz w:val="28"/>
                <w:szCs w:val="28"/>
                <w:lang w:val="zh-CN"/>
              </w:rPr>
              <w:t>1</w:t>
            </w:r>
            <w:r>
              <w:rPr>
                <w:rFonts w:hint="eastAsia" w:ascii="方正仿宋简体" w:hAnsi="宋体" w:eastAsia="方正仿宋简体" w:cs="方正仿宋简体"/>
                <w:color w:val="000000"/>
                <w:kern w:val="0"/>
                <w:sz w:val="28"/>
                <w:szCs w:val="28"/>
                <w:lang w:val="zh-CN"/>
              </w:rPr>
              <w:t>万吨标准垃圾处理厂，以及集镇绿化、亮化、美化工程建设，强化镇容镇貌管理、道路整治，努力建设生活服务型、生态乡村旅游型集镇。集镇规划人口规模在</w:t>
            </w:r>
            <w:r>
              <w:rPr>
                <w:rFonts w:ascii="方正仿宋简体" w:hAnsi="宋体" w:eastAsia="方正仿宋简体" w:cs="方正仿宋简体"/>
                <w:color w:val="000000"/>
                <w:kern w:val="0"/>
                <w:sz w:val="28"/>
                <w:szCs w:val="28"/>
                <w:lang w:val="zh-CN"/>
              </w:rPr>
              <w:t>1.5</w:t>
            </w:r>
            <w:r>
              <w:rPr>
                <w:rFonts w:hint="eastAsia" w:ascii="方正仿宋简体" w:hAnsi="宋体" w:eastAsia="方正仿宋简体" w:cs="方正仿宋简体"/>
                <w:color w:val="000000"/>
                <w:kern w:val="0"/>
                <w:sz w:val="28"/>
                <w:szCs w:val="28"/>
                <w:lang w:val="zh-CN"/>
              </w:rPr>
              <w:t>万人。</w:t>
            </w:r>
          </w:p>
        </w:tc>
      </w:tr>
    </w:tbl>
    <w:p w14:paraId="07DF6EDD">
      <w:pPr>
        <w:spacing w:line="240" w:lineRule="exact"/>
        <w:jc w:val="center"/>
        <w:rPr>
          <w:rFonts w:ascii="仿宋_GB2312" w:eastAsia="仿宋_GB2312"/>
          <w:color w:val="000000"/>
          <w:sz w:val="28"/>
          <w:szCs w:val="28"/>
        </w:rPr>
      </w:pPr>
    </w:p>
    <w:p w14:paraId="53B90187">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其他一般镇街在城镇化发展中起重要的基础作用，并作为中心城市和重点镇的重要补充。通过发展一般镇，形成区域内重要的节点，配合快速发展的城镇化进程，吸纳一部分农业剩余劳动力。推动城镇向乡村渗透发展，带动农村生活和生产服务提质升级。</w:t>
      </w:r>
    </w:p>
    <w:p w14:paraId="1907EC05">
      <w:pPr>
        <w:pStyle w:val="4"/>
        <w:spacing w:after="60" w:line="480" w:lineRule="auto"/>
        <w:ind w:firstLine="643" w:firstLineChars="200"/>
        <w:jc w:val="left"/>
        <w:rPr>
          <w:rFonts w:ascii="方正仿宋简体" w:hAnsi="黑体" w:eastAsia="方正仿宋简体"/>
        </w:rPr>
      </w:pPr>
      <w:bookmarkStart w:id="138" w:name="_Toc432405458"/>
      <w:bookmarkStart w:id="139" w:name="_Toc17384"/>
      <w:bookmarkStart w:id="140" w:name="_Toc2636"/>
      <w:bookmarkStart w:id="141" w:name="_Toc2123"/>
      <w:bookmarkStart w:id="142" w:name="_Toc432670941"/>
      <w:bookmarkStart w:id="143" w:name="_Toc437240663"/>
      <w:bookmarkStart w:id="144" w:name="_Toc449037252"/>
      <w:r>
        <w:rPr>
          <w:rFonts w:hint="eastAsia" w:ascii="方正仿宋简体" w:hAnsi="黑体" w:eastAsia="方正仿宋简体" w:cs="方正仿宋简体"/>
        </w:rPr>
        <w:t>第三节</w:t>
      </w:r>
      <w:r>
        <w:rPr>
          <w:rFonts w:ascii="方正仿宋简体" w:hAnsi="黑体" w:eastAsia="方正仿宋简体" w:cs="方正仿宋简体"/>
        </w:rPr>
        <w:t xml:space="preserve">  </w:t>
      </w:r>
      <w:bookmarkEnd w:id="138"/>
      <w:bookmarkEnd w:id="139"/>
      <w:bookmarkEnd w:id="140"/>
      <w:bookmarkEnd w:id="141"/>
      <w:bookmarkEnd w:id="142"/>
      <w:bookmarkEnd w:id="143"/>
      <w:r>
        <w:rPr>
          <w:rFonts w:hint="eastAsia" w:ascii="方正仿宋简体" w:hAnsi="黑体" w:eastAsia="方正仿宋简体" w:cs="方正仿宋简体"/>
        </w:rPr>
        <w:t>推动以人为核心的城镇化</w:t>
      </w:r>
      <w:bookmarkEnd w:id="144"/>
    </w:p>
    <w:p w14:paraId="797E093E">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深化户籍制度改革，加快实现基本公共服务常住人口全覆盖；落实进城落户农民土地承包经营权、宅基地使用权、集体收益分配权，加快推进“劳有所得、住有所居、学有所教、病有所医、老有所养”并轨。按照尊重自愿、自主选择、因地制宜、分步推进的原则，以农业转移人口为重点，兼顾其他类型人口，推进符合条件农业转移人口落户城镇，稳步提升城镇化的水平和质量。</w:t>
      </w:r>
    </w:p>
    <w:p w14:paraId="11DF6769">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坚持规划同绘、设施同建、产业同兴、环境同治，分类推进重点镇、一般乡镇建设，加快城乡联动发展、一体化发展。加快基础设施向农村延伸，推动水电路气等基础设施城乡联网共建。推进公共产品、公共服务城乡一体化，建立城乡统筹的医疗、养老等保障机制，提高城乡公共服务均等化与城乡生活等质化水平。</w:t>
      </w:r>
    </w:p>
    <w:p w14:paraId="0D04EB1C">
      <w:pPr>
        <w:spacing w:beforeLines="50" w:afterLines="50" w:line="620" w:lineRule="exact"/>
        <w:jc w:val="center"/>
        <w:rPr>
          <w:rFonts w:ascii="宋体"/>
          <w:b/>
          <w:bCs/>
          <w:color w:val="000000"/>
          <w:sz w:val="30"/>
          <w:szCs w:val="30"/>
        </w:rPr>
      </w:pPr>
      <w:r>
        <w:rPr>
          <w:rFonts w:hint="eastAsia" w:ascii="宋体" w:hAnsi="宋体" w:cs="宋体"/>
          <w:b/>
          <w:bCs/>
          <w:color w:val="000000"/>
          <w:sz w:val="30"/>
          <w:szCs w:val="30"/>
        </w:rPr>
        <w:t>专栏</w:t>
      </w:r>
      <w:r>
        <w:rPr>
          <w:rFonts w:ascii="宋体" w:hAnsi="宋体" w:cs="宋体"/>
          <w:b/>
          <w:bCs/>
          <w:color w:val="000000"/>
          <w:sz w:val="30"/>
          <w:szCs w:val="30"/>
        </w:rPr>
        <w:t xml:space="preserve">13  </w:t>
      </w:r>
      <w:r>
        <w:rPr>
          <w:rFonts w:hint="eastAsia" w:ascii="宋体" w:hAnsi="宋体" w:cs="宋体"/>
          <w:b/>
          <w:bCs/>
          <w:color w:val="000000"/>
          <w:sz w:val="30"/>
          <w:szCs w:val="30"/>
        </w:rPr>
        <w:t>新型城镇化建设项目</w:t>
      </w:r>
    </w:p>
    <w:tbl>
      <w:tblPr>
        <w:tblStyle w:val="25"/>
        <w:tblW w:w="5066"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0"/>
      </w:tblGrid>
      <w:tr w14:paraId="7CAE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center"/>
          </w:tcPr>
          <w:p w14:paraId="0D8D1131">
            <w:pPr>
              <w:spacing w:line="560" w:lineRule="exact"/>
              <w:ind w:firstLine="560" w:firstLineChars="200"/>
              <w:rPr>
                <w:rFonts w:ascii="宋体"/>
                <w:b/>
                <w:bCs/>
                <w:color w:val="000000"/>
                <w:kern w:val="0"/>
                <w:sz w:val="28"/>
                <w:szCs w:val="28"/>
              </w:rPr>
            </w:pPr>
            <w:r>
              <w:rPr>
                <w:rFonts w:hint="eastAsia" w:ascii="方正仿宋简体" w:hAnsi="宋体" w:eastAsia="方正仿宋简体" w:cs="方正仿宋简体"/>
                <w:color w:val="000000"/>
                <w:kern w:val="0"/>
                <w:sz w:val="28"/>
                <w:szCs w:val="28"/>
              </w:rPr>
              <w:t>重点推动</w:t>
            </w:r>
            <w:r>
              <w:rPr>
                <w:rFonts w:hint="eastAsia" w:ascii="方正仿宋简体" w:hAnsi="宋体" w:eastAsia="方正仿宋简体" w:cs="方正仿宋简体"/>
                <w:color w:val="000000"/>
                <w:sz w:val="28"/>
                <w:szCs w:val="28"/>
              </w:rPr>
              <w:t>新型城镇化重点镇建设、新型城镇化特色镇建设、前江工业园区产城融合、前江工业园污水处理厂、杏花村文化旅游区污水处理厂及配套管网建设、解放集镇农贸市场、贵池美丽乡村建设、孔井</w:t>
            </w:r>
            <w:r>
              <w:rPr>
                <w:rFonts w:ascii="方正仿宋简体" w:hAnsi="宋体" w:eastAsia="方正仿宋简体" w:cs="方正仿宋简体"/>
                <w:color w:val="000000"/>
                <w:sz w:val="28"/>
                <w:szCs w:val="28"/>
              </w:rPr>
              <w:t>C</w:t>
            </w:r>
            <w:r>
              <w:rPr>
                <w:rFonts w:hint="eastAsia" w:ascii="方正仿宋简体" w:hAnsi="宋体" w:eastAsia="方正仿宋简体" w:cs="方正仿宋简体"/>
                <w:color w:val="000000"/>
                <w:sz w:val="28"/>
                <w:szCs w:val="28"/>
              </w:rPr>
              <w:t>区棚户区改造、兴民花园棚户区、十里杏花棚户区改造一期、生态路（九华河大道延伸至九华河大桥）路网工程、九华河大道（生态路延伸至迎宾大道）路网工程、西园路（银海</w:t>
            </w:r>
            <w:r>
              <w:rPr>
                <w:rFonts w:ascii="方正仿宋简体" w:hAnsi="宋体" w:eastAsia="方正仿宋简体" w:cs="方正仿宋简体"/>
                <w:color w:val="000000"/>
                <w:sz w:val="28"/>
                <w:szCs w:val="28"/>
              </w:rPr>
              <w:t>C</w:t>
            </w:r>
            <w:r>
              <w:rPr>
                <w:rFonts w:hint="eastAsia" w:ascii="方正仿宋简体" w:hAnsi="宋体" w:eastAsia="方正仿宋简体" w:cs="方正仿宋简体"/>
                <w:color w:val="000000"/>
                <w:sz w:val="28"/>
                <w:szCs w:val="28"/>
              </w:rPr>
              <w:t>区）、栖云路（卫生服务区北侧）路网工程、高新区新八路延伸段、滨江区六号棚户区、万罗路延伸段（生态路</w:t>
            </w:r>
            <w:r>
              <w:rPr>
                <w:rFonts w:ascii="方正仿宋简体" w:hAnsi="宋体" w:eastAsia="方正仿宋简体" w:cs="方正仿宋简体"/>
                <w:color w:val="000000"/>
                <w:sz w:val="28"/>
                <w:szCs w:val="28"/>
              </w:rPr>
              <w:t>-</w:t>
            </w:r>
            <w:r>
              <w:rPr>
                <w:rFonts w:hint="eastAsia" w:ascii="方正仿宋简体" w:hAnsi="宋体" w:eastAsia="方正仿宋简体" w:cs="方正仿宋简体"/>
                <w:color w:val="000000"/>
                <w:sz w:val="28"/>
                <w:szCs w:val="28"/>
              </w:rPr>
              <w:t>丰收路段）、杏花村文化旅游区征迁与安置工程、滨江区八号棚户区</w:t>
            </w:r>
            <w:r>
              <w:rPr>
                <w:rFonts w:ascii="方正仿宋简体" w:hAnsi="宋体" w:eastAsia="方正仿宋简体" w:cs="方正仿宋简体"/>
                <w:color w:val="000000"/>
                <w:sz w:val="28"/>
                <w:szCs w:val="28"/>
              </w:rPr>
              <w:t>-</w:t>
            </w:r>
            <w:r>
              <w:rPr>
                <w:rFonts w:hint="eastAsia" w:ascii="方正仿宋简体" w:hAnsi="宋体" w:eastAsia="方正仿宋简体" w:cs="方正仿宋简体"/>
                <w:color w:val="000000"/>
                <w:sz w:val="28"/>
                <w:szCs w:val="28"/>
              </w:rPr>
              <w:t>西庙周边地块、滨江区五号棚户区</w:t>
            </w:r>
            <w:r>
              <w:rPr>
                <w:rFonts w:ascii="方正仿宋简体" w:hAnsi="宋体" w:eastAsia="方正仿宋简体" w:cs="方正仿宋简体"/>
                <w:color w:val="000000"/>
                <w:sz w:val="28"/>
                <w:szCs w:val="28"/>
              </w:rPr>
              <w:t>-</w:t>
            </w:r>
            <w:r>
              <w:rPr>
                <w:rFonts w:hint="eastAsia" w:ascii="方正仿宋简体" w:hAnsi="宋体" w:eastAsia="方正仿宋简体" w:cs="方正仿宋简体"/>
                <w:color w:val="000000"/>
                <w:sz w:val="28"/>
                <w:szCs w:val="28"/>
              </w:rPr>
              <w:t>港务局宿舍周边地块、滨江区二号棚户区</w:t>
            </w:r>
            <w:r>
              <w:rPr>
                <w:rFonts w:ascii="方正仿宋简体" w:hAnsi="宋体" w:eastAsia="方正仿宋简体" w:cs="方正仿宋简体"/>
                <w:color w:val="000000"/>
                <w:sz w:val="28"/>
                <w:szCs w:val="28"/>
              </w:rPr>
              <w:t>-</w:t>
            </w:r>
            <w:r>
              <w:rPr>
                <w:rFonts w:hint="eastAsia" w:ascii="方正仿宋简体" w:hAnsi="宋体" w:eastAsia="方正仿宋简体" w:cs="方正仿宋简体"/>
                <w:color w:val="000000"/>
                <w:sz w:val="28"/>
                <w:szCs w:val="28"/>
              </w:rPr>
              <w:t>新港新湖片棚户区和滨江区七号棚户区</w:t>
            </w:r>
            <w:r>
              <w:rPr>
                <w:rFonts w:ascii="方正仿宋简体" w:hAnsi="宋体" w:eastAsia="方正仿宋简体" w:cs="方正仿宋简体"/>
                <w:color w:val="000000"/>
                <w:sz w:val="28"/>
                <w:szCs w:val="28"/>
              </w:rPr>
              <w:t xml:space="preserve">— </w:t>
            </w:r>
            <w:r>
              <w:rPr>
                <w:rFonts w:hint="eastAsia" w:ascii="方正仿宋简体" w:hAnsi="宋体" w:eastAsia="方正仿宋简体" w:cs="方正仿宋简体"/>
                <w:color w:val="000000"/>
                <w:sz w:val="28"/>
                <w:szCs w:val="28"/>
              </w:rPr>
              <w:t>贵池区修船厂宿舍周边地块等项目建设。</w:t>
            </w:r>
          </w:p>
        </w:tc>
      </w:tr>
    </w:tbl>
    <w:p w14:paraId="519869DF">
      <w:pPr>
        <w:spacing w:line="620" w:lineRule="exact"/>
        <w:ind w:firstLine="400" w:firstLineChars="200"/>
        <w:rPr>
          <w:rFonts w:ascii="仿宋_GB2312" w:hAnsi="宋体" w:eastAsia="仿宋_GB2312"/>
          <w:color w:val="000000"/>
          <w:kern w:val="0"/>
          <w:sz w:val="20"/>
          <w:szCs w:val="20"/>
        </w:rPr>
      </w:pPr>
    </w:p>
    <w:p w14:paraId="4DD1878C">
      <w:pPr>
        <w:pStyle w:val="4"/>
        <w:spacing w:after="60" w:line="480" w:lineRule="auto"/>
        <w:ind w:firstLine="643" w:firstLineChars="200"/>
        <w:jc w:val="left"/>
        <w:rPr>
          <w:rFonts w:ascii="方正仿宋简体" w:hAnsi="黑体" w:eastAsia="方正仿宋简体"/>
        </w:rPr>
      </w:pPr>
      <w:bookmarkStart w:id="145" w:name="_Toc430532493"/>
      <w:bookmarkStart w:id="146" w:name="_Toc432670946"/>
      <w:bookmarkStart w:id="147" w:name="_Toc449037253"/>
      <w:bookmarkStart w:id="148" w:name="_Toc27867"/>
      <w:bookmarkStart w:id="149" w:name="_Toc11886"/>
      <w:bookmarkStart w:id="150" w:name="_Toc432405446"/>
      <w:r>
        <w:rPr>
          <w:rFonts w:hint="eastAsia" w:ascii="方正仿宋简体" w:hAnsi="黑体" w:eastAsia="方正仿宋简体" w:cs="方正仿宋简体"/>
        </w:rPr>
        <w:t>第四节</w:t>
      </w:r>
      <w:r>
        <w:rPr>
          <w:rFonts w:ascii="方正仿宋简体" w:hAnsi="黑体" w:eastAsia="方正仿宋简体" w:cs="方正仿宋简体"/>
        </w:rPr>
        <w:t xml:space="preserve">  </w:t>
      </w:r>
      <w:r>
        <w:rPr>
          <w:rFonts w:hint="eastAsia" w:ascii="方正仿宋简体" w:hAnsi="黑体" w:eastAsia="方正仿宋简体" w:cs="方正仿宋简体"/>
        </w:rPr>
        <w:t>推进美丽乡村建设</w:t>
      </w:r>
      <w:bookmarkEnd w:id="145"/>
      <w:bookmarkEnd w:id="146"/>
      <w:bookmarkEnd w:id="147"/>
    </w:p>
    <w:p w14:paraId="0F2C66C9">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按照“培育中心村、整治自然村、提升特色村”要求，以规划为先导，以中心村建设为重点，以改善农村生产生活条件和环境为切入点，以产业发展为着力点，推进美丽乡村建设。在尊重农民意愿的基础上，科学引导农民住宅和居民点建设，发展好中心村；适应人口转移和村庄变化，整治好自然村。力争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w:t>
      </w:r>
      <w:r>
        <w:rPr>
          <w:rFonts w:hint="eastAsia" w:ascii="仿宋_GB2312" w:eastAsia="方正仿宋简体" w:cs="方正仿宋简体"/>
          <w:sz w:val="33"/>
          <w:szCs w:val="33"/>
        </w:rPr>
        <w:t>建设中心村</w:t>
      </w:r>
      <w:r>
        <w:rPr>
          <w:rFonts w:ascii="仿宋_GB2312" w:eastAsia="方正仿宋简体" w:cs="仿宋_GB2312"/>
          <w:sz w:val="33"/>
          <w:szCs w:val="33"/>
        </w:rPr>
        <w:t>130</w:t>
      </w:r>
      <w:r>
        <w:rPr>
          <w:rFonts w:hint="eastAsia" w:ascii="仿宋_GB2312" w:eastAsia="方正仿宋简体" w:cs="方正仿宋简体"/>
          <w:sz w:val="33"/>
          <w:szCs w:val="33"/>
        </w:rPr>
        <w:t>个、整治自然村</w:t>
      </w:r>
      <w:r>
        <w:rPr>
          <w:rFonts w:ascii="仿宋_GB2312" w:eastAsia="方正仿宋简体" w:cs="仿宋_GB2312"/>
          <w:sz w:val="33"/>
          <w:szCs w:val="33"/>
        </w:rPr>
        <w:t>2100</w:t>
      </w:r>
      <w:r>
        <w:rPr>
          <w:rFonts w:hint="eastAsia" w:ascii="仿宋_GB2312" w:eastAsia="方正仿宋简体" w:cs="方正仿宋简体"/>
          <w:sz w:val="33"/>
          <w:szCs w:val="33"/>
        </w:rPr>
        <w:t>个。</w:t>
      </w:r>
    </w:p>
    <w:p w14:paraId="5444EF0D">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及时修编村庄规划</w:t>
      </w:r>
      <w:r>
        <w:rPr>
          <w:rFonts w:hint="eastAsia" w:ascii="方正楷体简体" w:hAnsi="宋体" w:eastAsia="方正楷体简体" w:cs="方正楷体简体"/>
          <w:b/>
          <w:bCs/>
          <w:color w:val="000000"/>
          <w:kern w:val="0"/>
          <w:sz w:val="30"/>
          <w:szCs w:val="30"/>
        </w:rPr>
        <w:t>。</w:t>
      </w:r>
      <w:r>
        <w:rPr>
          <w:rFonts w:hint="eastAsia" w:ascii="方正仿宋简体" w:hAnsi="宋体" w:eastAsia="方正仿宋简体" w:cs="方正仿宋简体"/>
          <w:color w:val="000000"/>
          <w:kern w:val="0"/>
          <w:sz w:val="32"/>
          <w:szCs w:val="32"/>
        </w:rPr>
        <w:t>把以人为本、尊重自然、传承历史、绿色低碳理念融入规划全过程，提高规划的科学性、民主性、约束性。根据人口与发展形势，及时修编规划，并保持规划权威性、严肃性和连接性。</w:t>
      </w:r>
    </w:p>
    <w:p w14:paraId="58319928">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加强农村基础设施建设。</w:t>
      </w:r>
      <w:r>
        <w:rPr>
          <w:rFonts w:hint="eastAsia" w:ascii="方正仿宋简体" w:hAnsi="宋体" w:eastAsia="方正仿宋简体" w:cs="方正仿宋简体"/>
          <w:color w:val="000000"/>
          <w:kern w:val="0"/>
          <w:sz w:val="32"/>
          <w:szCs w:val="32"/>
        </w:rPr>
        <w:t>加大财政投入力度，完善涉农资金整合机制。继续实施农村饮水工程，解决农村饮水困难。推进城镇供水管网向农村延伸，提高农村自来水普及率。继续实施农村电网改造升级工程，确保农村居民生活用电得到较好保障。加强农村公路建设，以完善网络、提高技术标准为目标，重点</w:t>
      </w:r>
      <w:r>
        <w:rPr>
          <w:rFonts w:hint="eastAsia" w:ascii="方正仿宋简体" w:eastAsia="方正仿宋简体" w:cs="方正仿宋简体"/>
          <w:sz w:val="32"/>
          <w:szCs w:val="32"/>
        </w:rPr>
        <w:t>加快农村公路畅通工程、安保工程建设，提升县乡道公路等级</w:t>
      </w:r>
      <w:r>
        <w:rPr>
          <w:rFonts w:hint="eastAsia" w:ascii="方正仿宋简体" w:hAnsi="宋体" w:eastAsia="方正仿宋简体" w:cs="方正仿宋简体"/>
          <w:color w:val="000000"/>
          <w:kern w:val="0"/>
          <w:sz w:val="32"/>
          <w:szCs w:val="32"/>
        </w:rPr>
        <w:t>。落实农村公路管理养护责任，推进城乡客运交通一体化。加快农村户用沼气、大中型沼气和集中供气工程建设，积极推广太阳能、秸秆利用等可再生能源技术。</w:t>
      </w:r>
    </w:p>
    <w:p w14:paraId="62135901">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提升农村公共服务水平。</w:t>
      </w:r>
      <w:r>
        <w:rPr>
          <w:rFonts w:hint="eastAsia" w:ascii="方正仿宋简体" w:hAnsi="宋体" w:eastAsia="方正仿宋简体" w:cs="方正仿宋简体"/>
          <w:color w:val="000000"/>
          <w:kern w:val="0"/>
          <w:sz w:val="32"/>
          <w:szCs w:val="32"/>
        </w:rPr>
        <w:t>推动城镇公共服务向农村延伸，全面改善农村义务教育薄弱学校基本办学条件，加强农村基层基本医疗、公共卫生能力和乡村医生队伍建设，强化农村最低生活保障制度规范管理，支持建设多种农村养老服务和文化体育设施，加快构建乡村综合公共服务平台。落实被征地农民社会保障和就业政策，完善农村五保供养、灾民和孤儿救助政策。中心村公共服务设施按照</w:t>
      </w:r>
      <w:r>
        <w:rPr>
          <w:rFonts w:ascii="方正仿宋简体" w:hAnsi="宋体" w:eastAsia="方正仿宋简体" w:cs="方正仿宋简体"/>
          <w:color w:val="000000"/>
          <w:kern w:val="0"/>
          <w:sz w:val="32"/>
          <w:szCs w:val="32"/>
        </w:rPr>
        <w:t>11</w:t>
      </w:r>
      <w:r>
        <w:rPr>
          <w:rFonts w:hint="eastAsia" w:ascii="方正仿宋简体" w:hAnsi="宋体" w:eastAsia="方正仿宋简体" w:cs="方正仿宋简体"/>
          <w:color w:val="000000"/>
          <w:kern w:val="0"/>
          <w:sz w:val="32"/>
          <w:szCs w:val="32"/>
        </w:rPr>
        <w:t>项公共服务设施</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小学、幼儿园、卫生所、文化站、图书室、乡村金融服务网点、邮政所、农资站、便民超市、农贸市场、公共服务中心）和</w:t>
      </w:r>
      <w:r>
        <w:rPr>
          <w:rFonts w:ascii="方正仿宋简体" w:hAnsi="宋体" w:eastAsia="方正仿宋简体" w:cs="方正仿宋简体"/>
          <w:color w:val="000000"/>
          <w:kern w:val="0"/>
          <w:sz w:val="32"/>
          <w:szCs w:val="32"/>
        </w:rPr>
        <w:t>4</w:t>
      </w:r>
      <w:r>
        <w:rPr>
          <w:rFonts w:hint="eastAsia" w:ascii="方正仿宋简体" w:hAnsi="宋体" w:eastAsia="方正仿宋简体" w:cs="方正仿宋简体"/>
          <w:color w:val="000000"/>
          <w:kern w:val="0"/>
          <w:sz w:val="32"/>
          <w:szCs w:val="32"/>
        </w:rPr>
        <w:t>项基础设施</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公交站、垃圾收集点、污水处理设施、公厕</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配置，自然村按照</w:t>
      </w:r>
      <w:r>
        <w:rPr>
          <w:rFonts w:ascii="方正仿宋简体" w:hAnsi="宋体" w:eastAsia="方正仿宋简体" w:cs="方正仿宋简体"/>
          <w:color w:val="000000"/>
          <w:kern w:val="0"/>
          <w:sz w:val="32"/>
          <w:szCs w:val="32"/>
        </w:rPr>
        <w:t>2</w:t>
      </w:r>
      <w:r>
        <w:rPr>
          <w:rFonts w:hint="eastAsia" w:ascii="方正仿宋简体" w:hAnsi="宋体" w:eastAsia="方正仿宋简体" w:cs="方正仿宋简体"/>
          <w:color w:val="000000"/>
          <w:kern w:val="0"/>
          <w:sz w:val="32"/>
          <w:szCs w:val="32"/>
        </w:rPr>
        <w:t>项公共服务</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健身活动场地、便民超市</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和</w:t>
      </w:r>
      <w:r>
        <w:rPr>
          <w:rFonts w:ascii="方正仿宋简体" w:hAnsi="宋体" w:eastAsia="方正仿宋简体" w:cs="方正仿宋简体"/>
          <w:color w:val="000000"/>
          <w:kern w:val="0"/>
          <w:sz w:val="32"/>
          <w:szCs w:val="32"/>
        </w:rPr>
        <w:t>1</w:t>
      </w:r>
      <w:r>
        <w:rPr>
          <w:rFonts w:hint="eastAsia" w:ascii="方正仿宋简体" w:hAnsi="宋体" w:eastAsia="方正仿宋简体" w:cs="方正仿宋简体"/>
          <w:color w:val="000000"/>
          <w:kern w:val="0"/>
          <w:sz w:val="32"/>
          <w:szCs w:val="32"/>
        </w:rPr>
        <w:t>项基础设施</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垃圾收集点</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配置。</w:t>
      </w:r>
    </w:p>
    <w:p w14:paraId="506A996A">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推进村庄环境整治。</w:t>
      </w:r>
      <w:r>
        <w:rPr>
          <w:rFonts w:hint="eastAsia" w:ascii="方正仿宋简体" w:hAnsi="宋体" w:eastAsia="方正仿宋简体" w:cs="方正仿宋简体"/>
          <w:color w:val="000000"/>
          <w:kern w:val="0"/>
          <w:sz w:val="32"/>
          <w:szCs w:val="32"/>
        </w:rPr>
        <w:t>乡村环境应合理利用地形，保持田园风光，结合民俗民风，体现乡土气息村口景观。景观营造应自然、亲切、宜人；水体景观应注重整治疏通河道水系，改善水质环境；绿化景观要以村口、道路两侧、宅院周边、滨水地区以及不宜建设地段为绿化重点；村庄活动空间应结合乡村居民生产生活习惯和民风民俗，适当布置休息、健身和文化设施。庭院环境应注重对围墙、绿篱等围合构筑物和庭院出入口的美化处理。</w:t>
      </w:r>
    </w:p>
    <w:p w14:paraId="594370F6">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强化产业支撑。</w:t>
      </w:r>
      <w:r>
        <w:rPr>
          <w:rFonts w:hint="eastAsia" w:ascii="方正仿宋简体" w:hAnsi="宋体" w:eastAsia="方正仿宋简体" w:cs="方正仿宋简体"/>
          <w:color w:val="000000"/>
          <w:kern w:val="0"/>
          <w:sz w:val="32"/>
          <w:szCs w:val="32"/>
        </w:rPr>
        <w:t>发展乡村旅游休闲经济，实现休闲农业和产业培育的有机结合，促进农民增收致富。实施农民工职业技能提升计划，完善城乡统一劳动力市场，促进农民就业。鼓励进城农民工返乡创业，激发农民自主创业活力。推进农村产权制度改革，盘活农村集体资产，增强农民理财能力，拓宽财产性收入渠道。优化调整农业、养老、消费等各项补贴政策，增加农民转移性收入。</w:t>
      </w:r>
    </w:p>
    <w:p w14:paraId="7566B658">
      <w:pPr>
        <w:pStyle w:val="4"/>
        <w:spacing w:after="60" w:line="480" w:lineRule="auto"/>
        <w:ind w:firstLine="643" w:firstLineChars="200"/>
        <w:jc w:val="left"/>
        <w:rPr>
          <w:rFonts w:ascii="方正仿宋简体" w:hAnsi="黑体" w:eastAsia="方正仿宋简体"/>
        </w:rPr>
      </w:pPr>
      <w:bookmarkStart w:id="151" w:name="_Toc449037254"/>
      <w:r>
        <w:rPr>
          <w:rFonts w:hint="eastAsia" w:ascii="方正仿宋简体" w:hAnsi="黑体" w:eastAsia="方正仿宋简体" w:cs="方正仿宋简体"/>
        </w:rPr>
        <w:t>第五节</w:t>
      </w:r>
      <w:r>
        <w:rPr>
          <w:rFonts w:ascii="方正仿宋简体" w:hAnsi="黑体" w:eastAsia="方正仿宋简体" w:cs="方正仿宋简体"/>
        </w:rPr>
        <w:t xml:space="preserve">  </w:t>
      </w:r>
      <w:r>
        <w:rPr>
          <w:rFonts w:hint="eastAsia" w:ascii="方正仿宋简体" w:hAnsi="黑体" w:eastAsia="方正仿宋简体" w:cs="方正仿宋简体"/>
        </w:rPr>
        <w:t>促进区域协调发展</w:t>
      </w:r>
      <w:bookmarkEnd w:id="151"/>
    </w:p>
    <w:p w14:paraId="3FA86AAA">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落实“一线两核三区四带”空间战略，研究制定沿江重点城镇人口迁入以及南部腹地人口退出政策，引导各类要素向沿江重点开发区域集聚，加快池州高新区、前江工业园区、杏花村文化旅游区和沿江重点镇开发建设。支持南部腹地按照因地制宜、特色发展的思路，依托当地资源优势、生态优势发展乡村旅游、休闲生态农业、非金属矿科学开采及精深加工、农产品加工等特色产业，形成沿江与腹地、城镇与农村协同发展格局。</w:t>
      </w:r>
    </w:p>
    <w:p w14:paraId="3DAA02B7">
      <w:pPr>
        <w:spacing w:line="240" w:lineRule="exact"/>
        <w:jc w:val="center"/>
        <w:rPr>
          <w:rFonts w:ascii="仿宋" w:hAnsi="仿宋" w:eastAsia="仿宋"/>
          <w:b/>
          <w:bCs/>
          <w:color w:val="000000"/>
          <w:sz w:val="28"/>
          <w:szCs w:val="28"/>
        </w:rPr>
      </w:pPr>
    </w:p>
    <w:p w14:paraId="68E1CCB9">
      <w:pPr>
        <w:pStyle w:val="3"/>
        <w:spacing w:after="120" w:line="480" w:lineRule="auto"/>
        <w:ind w:firstLine="640" w:firstLineChars="200"/>
        <w:jc w:val="left"/>
        <w:rPr>
          <w:rFonts w:ascii="方正黑体简体" w:hAnsi="黑体" w:eastAsia="方正黑体简体" w:cs="Times New Roman"/>
          <w:b w:val="0"/>
          <w:bCs w:val="0"/>
        </w:rPr>
      </w:pPr>
      <w:bookmarkStart w:id="152" w:name="_Toc449037255"/>
      <w:r>
        <w:rPr>
          <w:rFonts w:hint="eastAsia" w:ascii="方正黑体简体" w:hAnsi="黑体" w:eastAsia="方正黑体简体" w:cs="方正黑体简体"/>
          <w:b w:val="0"/>
          <w:bCs w:val="0"/>
        </w:rPr>
        <w:t>第十二章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加强精神文明建设，推进文化繁荣发展</w:t>
      </w:r>
      <w:bookmarkEnd w:id="152"/>
    </w:p>
    <w:p w14:paraId="10163318">
      <w:pPr>
        <w:pStyle w:val="23"/>
        <w:adjustRightInd w:val="0"/>
        <w:snapToGrid w:val="0"/>
        <w:spacing w:before="0" w:after="0" w:line="620" w:lineRule="exact"/>
        <w:ind w:firstLine="640" w:firstLineChars="200"/>
        <w:rPr>
          <w:rFonts w:ascii="方正仿宋简体" w:eastAsia="方正仿宋简体" w:cs="Times New Roman"/>
          <w:sz w:val="32"/>
          <w:szCs w:val="32"/>
        </w:rPr>
      </w:pPr>
      <w:r>
        <w:rPr>
          <w:rFonts w:hint="eastAsia" w:ascii="方正仿宋简体" w:eastAsia="方正仿宋简体" w:cs="方正仿宋简体"/>
          <w:sz w:val="32"/>
          <w:szCs w:val="32"/>
        </w:rPr>
        <w:t>坚持邓小平理论、“三个代表”重要思想、科学发展观和习</w:t>
      </w:r>
      <w:r>
        <w:rPr>
          <w:rFonts w:hint="eastAsia" w:ascii="方正仿宋简体" w:eastAsia="方正仿宋简体" w:cs="方正仿宋简体"/>
          <w:sz w:val="32"/>
          <w:szCs w:val="32"/>
          <w:lang w:val="en-US" w:eastAsia="zh-CN"/>
        </w:rPr>
        <w:t>近平</w:t>
      </w:r>
      <w:r>
        <w:rPr>
          <w:rFonts w:hint="eastAsia" w:ascii="方正仿宋简体" w:eastAsia="方正仿宋简体" w:cs="方正仿宋简体"/>
          <w:sz w:val="32"/>
          <w:szCs w:val="32"/>
        </w:rPr>
        <w:t>总书记系列重要讲话精神为指导，坚持社会主义先进文化前进方向，培育践行社会主义核心价值观；以争创全国文明城市为着力点，推动城市创建上台阶，镇（村）和文明单位创建上水平，实现全区精神文明建设工作有质的飞跃；做亮“三大品牌”，即人居环境、和美文化与新农村建设；不断提升公民文明素质，完善文化服务功能；不断丰富文化艺术产品，增强文化产业竞争力，实现文化事业和产业跨越发展。到</w:t>
      </w:r>
      <w:r>
        <w:rPr>
          <w:rFonts w:ascii="方正仿宋简体" w:eastAsia="方正仿宋简体" w:cs="方正仿宋简体"/>
          <w:sz w:val="32"/>
          <w:szCs w:val="32"/>
        </w:rPr>
        <w:t>2020</w:t>
      </w:r>
      <w:r>
        <w:rPr>
          <w:rFonts w:hint="eastAsia" w:ascii="方正仿宋简体" w:eastAsia="方正仿宋简体" w:cs="方正仿宋简体"/>
          <w:sz w:val="32"/>
          <w:szCs w:val="32"/>
        </w:rPr>
        <w:t>年，公共文化服务覆盖率达到</w:t>
      </w:r>
      <w:r>
        <w:rPr>
          <w:rFonts w:ascii="方正仿宋简体" w:eastAsia="方正仿宋简体" w:cs="方正仿宋简体"/>
          <w:sz w:val="32"/>
          <w:szCs w:val="32"/>
        </w:rPr>
        <w:t>95%</w:t>
      </w:r>
      <w:r>
        <w:rPr>
          <w:rFonts w:hint="eastAsia" w:ascii="方正仿宋简体" w:eastAsia="方正仿宋简体" w:cs="方正仿宋简体"/>
          <w:sz w:val="32"/>
          <w:szCs w:val="32"/>
        </w:rPr>
        <w:t>以上，群众文化活动参与率达到</w:t>
      </w:r>
      <w:r>
        <w:rPr>
          <w:rFonts w:ascii="方正仿宋简体" w:eastAsia="方正仿宋简体" w:cs="方正仿宋简体"/>
          <w:sz w:val="32"/>
          <w:szCs w:val="32"/>
        </w:rPr>
        <w:t>60%</w:t>
      </w:r>
      <w:r>
        <w:rPr>
          <w:rFonts w:hint="eastAsia" w:ascii="方正仿宋简体" w:eastAsia="方正仿宋简体" w:cs="方正仿宋简体"/>
          <w:sz w:val="32"/>
          <w:szCs w:val="32"/>
        </w:rPr>
        <w:t>以上。</w:t>
      </w:r>
    </w:p>
    <w:p w14:paraId="000EA026">
      <w:pPr>
        <w:pStyle w:val="4"/>
        <w:spacing w:after="60" w:line="480" w:lineRule="auto"/>
        <w:ind w:firstLine="643" w:firstLineChars="200"/>
        <w:jc w:val="left"/>
        <w:rPr>
          <w:rFonts w:ascii="方正仿宋简体" w:hAnsi="黑体" w:eastAsia="方正仿宋简体"/>
        </w:rPr>
      </w:pPr>
      <w:bookmarkStart w:id="153" w:name="_Toc449037256"/>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提升全社会文明程度</w:t>
      </w:r>
      <w:bookmarkEnd w:id="153"/>
    </w:p>
    <w:p w14:paraId="6DBFD02C">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以践行核心价值观为导向，以提升文明素质为抓手，促进人与自然和谐、人际关系和谐、城乡文明和谐，形成人居环境美、人文精神美、人民生活美的社会氛围。</w:t>
      </w:r>
    </w:p>
    <w:p w14:paraId="60CD6891">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提升公民文明素养。</w:t>
      </w:r>
      <w:r>
        <w:rPr>
          <w:rFonts w:hint="eastAsia" w:ascii="方正仿宋简体" w:hAnsi="宋体" w:eastAsia="方正仿宋简体" w:cs="方正仿宋简体"/>
          <w:color w:val="000000"/>
          <w:kern w:val="0"/>
          <w:sz w:val="32"/>
          <w:szCs w:val="32"/>
        </w:rPr>
        <w:t>把握正确舆论导向，大力宣传习</w:t>
      </w:r>
      <w:r>
        <w:rPr>
          <w:rFonts w:hint="eastAsia" w:ascii="方正仿宋简体" w:hAnsi="宋体" w:eastAsia="方正仿宋简体" w:cs="方正仿宋简体"/>
          <w:color w:val="000000"/>
          <w:kern w:val="0"/>
          <w:sz w:val="32"/>
          <w:szCs w:val="32"/>
          <w:lang w:val="en-US" w:eastAsia="zh-CN"/>
        </w:rPr>
        <w:t>近平</w:t>
      </w:r>
      <w:bookmarkStart w:id="284" w:name="_GoBack"/>
      <w:bookmarkEnd w:id="284"/>
      <w:r>
        <w:rPr>
          <w:rFonts w:hint="eastAsia" w:ascii="方正仿宋简体" w:hAnsi="宋体" w:eastAsia="方正仿宋简体" w:cs="方正仿宋简体"/>
          <w:color w:val="000000"/>
          <w:kern w:val="0"/>
          <w:sz w:val="32"/>
          <w:szCs w:val="32"/>
        </w:rPr>
        <w:t>总书记系列讲话精神和中央政策决策，唱响主旋律，传播正能量，传承中华民族优秀传统文化，全面提高公民文化素质。深入推进社会公德、职业道德、家庭美德、个人品德建设，构建崇德向善的社会价值取向。强化公民的法律意识、国家意识、公共责任意识，家庭意识。开展文明实践活动，发现并大力推报“池州好人”、“安徽好人”和“全国好人”，培树道德好人，用好人精神引领社会风尚。大力开展志愿服务活动，使志愿者注册率始终保持在总人口</w:t>
      </w:r>
      <w:r>
        <w:rPr>
          <w:rFonts w:ascii="方正仿宋简体" w:hAnsi="宋体" w:eastAsia="方正仿宋简体" w:cs="方正仿宋简体"/>
          <w:color w:val="000000"/>
          <w:kern w:val="0"/>
          <w:sz w:val="32"/>
          <w:szCs w:val="32"/>
        </w:rPr>
        <w:t>8%</w:t>
      </w:r>
      <w:r>
        <w:rPr>
          <w:rFonts w:hint="eastAsia" w:ascii="方正仿宋简体" w:hAnsi="宋体" w:eastAsia="方正仿宋简体" w:cs="方正仿宋简体"/>
          <w:color w:val="000000"/>
          <w:kern w:val="0"/>
          <w:sz w:val="32"/>
          <w:szCs w:val="32"/>
        </w:rPr>
        <w:t>以上，“十三五”期间，创立全国志愿服务品牌</w:t>
      </w:r>
      <w:r>
        <w:rPr>
          <w:rFonts w:ascii="方正仿宋简体" w:hAnsi="宋体" w:eastAsia="方正仿宋简体" w:cs="方正仿宋简体"/>
          <w:color w:val="000000"/>
          <w:kern w:val="0"/>
          <w:sz w:val="32"/>
          <w:szCs w:val="32"/>
        </w:rPr>
        <w:t>1~2</w:t>
      </w:r>
      <w:r>
        <w:rPr>
          <w:rFonts w:hint="eastAsia" w:ascii="方正仿宋简体" w:hAnsi="宋体" w:eastAsia="方正仿宋简体" w:cs="方正仿宋简体"/>
          <w:color w:val="000000"/>
          <w:kern w:val="0"/>
          <w:sz w:val="32"/>
          <w:szCs w:val="32"/>
        </w:rPr>
        <w:t>个，省服务品牌</w:t>
      </w:r>
      <w:r>
        <w:rPr>
          <w:rFonts w:ascii="方正仿宋简体" w:hAnsi="宋体" w:eastAsia="方正仿宋简体" w:cs="方正仿宋简体"/>
          <w:color w:val="000000"/>
          <w:kern w:val="0"/>
          <w:sz w:val="32"/>
          <w:szCs w:val="32"/>
        </w:rPr>
        <w:t>3~4</w:t>
      </w:r>
      <w:r>
        <w:rPr>
          <w:rFonts w:hint="eastAsia" w:ascii="方正仿宋简体" w:hAnsi="宋体" w:eastAsia="方正仿宋简体" w:cs="方正仿宋简体"/>
          <w:color w:val="000000"/>
          <w:kern w:val="0"/>
          <w:sz w:val="32"/>
          <w:szCs w:val="32"/>
        </w:rPr>
        <w:t>个，市服务品牌</w:t>
      </w:r>
      <w:r>
        <w:rPr>
          <w:rFonts w:ascii="方正仿宋简体" w:hAnsi="宋体" w:eastAsia="方正仿宋简体" w:cs="方正仿宋简体"/>
          <w:color w:val="000000"/>
          <w:kern w:val="0"/>
          <w:sz w:val="32"/>
          <w:szCs w:val="32"/>
        </w:rPr>
        <w:t>10</w:t>
      </w:r>
      <w:r>
        <w:rPr>
          <w:rFonts w:hint="eastAsia" w:ascii="方正仿宋简体" w:hAnsi="宋体" w:eastAsia="方正仿宋简体" w:cs="方正仿宋简体"/>
          <w:color w:val="000000"/>
          <w:kern w:val="0"/>
          <w:sz w:val="32"/>
          <w:szCs w:val="32"/>
        </w:rPr>
        <w:t>个。关心未成年人思想道德建设，促进青少年身心健康成长，增建青少年活动基地</w:t>
      </w:r>
      <w:r>
        <w:rPr>
          <w:rFonts w:ascii="方正仿宋简体" w:hAnsi="宋体" w:eastAsia="方正仿宋简体" w:cs="方正仿宋简体"/>
          <w:color w:val="000000"/>
          <w:kern w:val="0"/>
          <w:sz w:val="32"/>
          <w:szCs w:val="32"/>
        </w:rPr>
        <w:t>5</w:t>
      </w:r>
      <w:r>
        <w:rPr>
          <w:rFonts w:hint="eastAsia" w:ascii="方正仿宋简体" w:hAnsi="宋体" w:eastAsia="方正仿宋简体" w:cs="方正仿宋简体"/>
          <w:color w:val="000000"/>
          <w:kern w:val="0"/>
          <w:sz w:val="32"/>
          <w:szCs w:val="32"/>
        </w:rPr>
        <w:t>个，实现乡村少年宫建设全覆盖。弘扬廉政文化，发展健康向上的新媒体和网络文化。加大科普经费投入，提高公民科学素质。培育科学创新精神，弘扬创新创业的精神风尚。开展理论进基层的宣讲活动，努力建设学习型社会，在全社会营造奋发进取、开发包容、风清气正的良好风气。</w:t>
      </w:r>
    </w:p>
    <w:p w14:paraId="1565E63D">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促进军民深度融合发展。</w:t>
      </w:r>
      <w:r>
        <w:rPr>
          <w:rFonts w:hint="eastAsia" w:ascii="方正仿宋简体" w:hAnsi="宋体" w:eastAsia="方正仿宋简体" w:cs="方正仿宋简体"/>
          <w:color w:val="000000"/>
          <w:kern w:val="0"/>
          <w:sz w:val="32"/>
          <w:szCs w:val="32"/>
        </w:rPr>
        <w:t>建立部队和地方协同发展机制，创新合作共建示范项目，增强在军民共用方面的协同性。加强国防动员和后备力量建设，深入开展全民国防教育工作，扎实开展征兵工作。支持国防和军队建设，积极开展双拥共建活动。全面贯彻落实各项优待抚恤政策，重视退役士兵安置工作。</w:t>
      </w:r>
    </w:p>
    <w:p w14:paraId="2A377B2F">
      <w:pPr>
        <w:pStyle w:val="4"/>
        <w:spacing w:after="60" w:line="480" w:lineRule="auto"/>
        <w:ind w:firstLine="643" w:firstLineChars="200"/>
        <w:jc w:val="left"/>
        <w:rPr>
          <w:rFonts w:ascii="方正仿宋简体" w:hAnsi="黑体" w:eastAsia="方正仿宋简体"/>
        </w:rPr>
      </w:pPr>
      <w:bookmarkStart w:id="154" w:name="_Toc449037257"/>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促进文化事业大繁荣</w:t>
      </w:r>
      <w:bookmarkEnd w:id="154"/>
    </w:p>
    <w:p w14:paraId="46D6FCFD">
      <w:pPr>
        <w:widowControl/>
        <w:shd w:val="clear" w:color="auto" w:fill="FFFFFF"/>
        <w:spacing w:line="620" w:lineRule="exact"/>
        <w:ind w:firstLine="641"/>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以社会主义核心价值观为引领，以政府主导、社会参与、共建共享、改革创新为原则，以建设文化强区为目标，加快文化基础设施建设，加强文化人才队伍培养，鼓励文艺精品创作，到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年，基本建成覆盖城乡、便捷高效、保基本、促公平的现代公共文化服务体系，努力实现城乡居民基本公共文化服务均等化，保障人民群众基本文化权益，努力促进全区文化事业大繁荣大发展。</w:t>
      </w:r>
    </w:p>
    <w:p w14:paraId="5BB2DB30">
      <w:pPr>
        <w:widowControl/>
        <w:shd w:val="clear" w:color="auto" w:fill="FFFFFF"/>
        <w:spacing w:line="620" w:lineRule="exact"/>
        <w:ind w:firstLine="641"/>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健全三级文化网络。</w:t>
      </w:r>
      <w:r>
        <w:rPr>
          <w:rFonts w:hint="eastAsia" w:ascii="方正仿宋简体" w:hAnsi="宋体" w:eastAsia="方正仿宋简体" w:cs="方正仿宋简体"/>
          <w:color w:val="000000"/>
          <w:kern w:val="0"/>
          <w:sz w:val="32"/>
          <w:szCs w:val="32"/>
        </w:rPr>
        <w:t>完善区级公共文化设施，建设区级文化馆、小剧场和数字影院，积极引进人才，培育具有高素质的文艺人才队伍。镇和街道整合文化资源，建设综合文化服务中心，发展具有地方特色的文化项目。村级完成文化活动室、农家书屋全覆盖，广播电视实现“户户通”；主城区社区文化活动室和文化活动广场普遍建成并发挥服务功能，电影放映场所和放映时间相对固定。</w:t>
      </w:r>
    </w:p>
    <w:p w14:paraId="0D111E77">
      <w:pPr>
        <w:widowControl/>
        <w:shd w:val="clear" w:color="auto" w:fill="FFFFFF"/>
        <w:spacing w:line="620" w:lineRule="exact"/>
        <w:ind w:firstLine="641"/>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拓展文化服务功能。</w:t>
      </w:r>
      <w:r>
        <w:rPr>
          <w:rFonts w:hint="eastAsia" w:ascii="方正仿宋简体" w:hAnsi="宋体" w:eastAsia="方正仿宋简体" w:cs="方正仿宋简体"/>
          <w:color w:val="000000"/>
          <w:kern w:val="0"/>
          <w:sz w:val="32"/>
          <w:szCs w:val="32"/>
        </w:rPr>
        <w:t>大力开展文化进村（社区）、进校园、进企业、进广场活动，继续实施文化民生工程，最大限度地满足广大群众的文化需求。繁荣节庆文化，围绕元旦、国庆、春节等重大节假日时段，集中开展文化惠民活动。做优文化品牌，在现有的杏花村文化旅游区系列营销活动、罗城民歌赛、端午龙舟赛、“青山庙会”的基础上，创新做优在省内外具有一定影响力的品牌文化活动。开展文化志愿者行动，发挥妇联、共青团、工会、老年协会等群团及社会组织的作用，开展文化志愿者服务行动，推进群众文化深入、持久、蓬勃发展。</w:t>
      </w:r>
    </w:p>
    <w:p w14:paraId="48BD8A0B">
      <w:pPr>
        <w:widowControl/>
        <w:shd w:val="clear" w:color="auto" w:fill="FFFFFF"/>
        <w:spacing w:line="620" w:lineRule="exact"/>
        <w:ind w:firstLine="641"/>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引导文艺创作生产。</w:t>
      </w:r>
      <w:r>
        <w:rPr>
          <w:rFonts w:hint="eastAsia" w:ascii="方正仿宋简体" w:hAnsi="宋体" w:eastAsia="方正仿宋简体" w:cs="方正仿宋简体"/>
          <w:color w:val="000000"/>
          <w:kern w:val="0"/>
          <w:sz w:val="32"/>
          <w:szCs w:val="32"/>
        </w:rPr>
        <w:t>坚持以人民为中心的创作导向，聚焦中国梦的时代主题，培育和弘扬社会主义核心价值观，唱响爱国主义主旋律，努力创作具有时代特色的优秀作品。坚持把社会效益放在首位，努力实现社会效益和经济效益的有机统一。引导和激励文艺工作者深入实践、深入生活、深入群众，以文化精品工程为龙头，创作生产一批融思想性、艺术性、观赏性为一体，在省内外有一定影响力的精品力作，力争入选国家、省舞台艺术精品工程、国家文化艺术奖励基金或“五个一工程奖”剧（节）目达</w:t>
      </w:r>
      <w:r>
        <w:rPr>
          <w:rFonts w:ascii="方正仿宋简体" w:hAnsi="宋体" w:eastAsia="方正仿宋简体" w:cs="方正仿宋简体"/>
          <w:color w:val="000000"/>
          <w:kern w:val="0"/>
          <w:sz w:val="32"/>
          <w:szCs w:val="32"/>
        </w:rPr>
        <w:t>5</w:t>
      </w:r>
      <w:r>
        <w:rPr>
          <w:rFonts w:hint="eastAsia" w:ascii="方正仿宋简体" w:hAnsi="宋体" w:eastAsia="方正仿宋简体" w:cs="方正仿宋简体"/>
          <w:color w:val="000000"/>
          <w:kern w:val="0"/>
          <w:sz w:val="32"/>
          <w:szCs w:val="32"/>
        </w:rPr>
        <w:t>个，书法、美术、摄影等作品获市以上奖项每年不少于</w:t>
      </w:r>
      <w:r>
        <w:rPr>
          <w:rFonts w:ascii="方正仿宋简体" w:hAnsi="宋体" w:eastAsia="方正仿宋简体" w:cs="方正仿宋简体"/>
          <w:color w:val="000000"/>
          <w:kern w:val="0"/>
          <w:sz w:val="32"/>
          <w:szCs w:val="32"/>
        </w:rPr>
        <w:t>20</w:t>
      </w:r>
      <w:r>
        <w:rPr>
          <w:rFonts w:hint="eastAsia" w:ascii="方正仿宋简体" w:hAnsi="宋体" w:eastAsia="方正仿宋简体" w:cs="方正仿宋简体"/>
          <w:color w:val="000000"/>
          <w:kern w:val="0"/>
          <w:sz w:val="32"/>
          <w:szCs w:val="32"/>
        </w:rPr>
        <w:t>件。</w:t>
      </w:r>
    </w:p>
    <w:p w14:paraId="75E8387D">
      <w:pPr>
        <w:widowControl/>
        <w:shd w:val="clear" w:color="auto" w:fill="FFFFFF"/>
        <w:spacing w:line="620" w:lineRule="exact"/>
        <w:ind w:firstLine="641"/>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构筑特色文化镇（街道）。</w:t>
      </w:r>
      <w:r>
        <w:rPr>
          <w:rFonts w:hint="eastAsia" w:ascii="方正仿宋简体" w:hAnsi="宋体" w:eastAsia="方正仿宋简体" w:cs="方正仿宋简体"/>
          <w:color w:val="000000"/>
          <w:kern w:val="0"/>
          <w:sz w:val="32"/>
          <w:szCs w:val="32"/>
        </w:rPr>
        <w:t>各镇（街道）围绕自身特色文化做足文章，加强文化遗产的保护与利用，建设内涵丰富的特色文化项目。墩上街道围绕罗城民歌的传承与发展，积极推进罗城民歌进校园、进农户工作，举办罗城民歌大赛。梅街镇围绕傩文化传承与保护，定期举办傩祀傩舞表演等活动，加强傩文化的研究与宣传，扩大贵池傩的知名度。棠溪镇、梅村镇围绕西山焦枣、霄坑茶业等非遗项目，加强宣传，不断扩大品牌影响力，努力推进产业化</w:t>
      </w:r>
      <w:r>
        <w:rPr>
          <w:rFonts w:ascii="方正仿宋简体" w:hAnsi="宋体" w:eastAsia="方正仿宋简体" w:cs="方正仿宋简体"/>
          <w:color w:val="000000"/>
          <w:kern w:val="0"/>
          <w:sz w:val="32"/>
          <w:szCs w:val="32"/>
        </w:rPr>
        <w:t xml:space="preserve"> </w:t>
      </w:r>
      <w:r>
        <w:rPr>
          <w:rFonts w:hint="eastAsia" w:ascii="方正仿宋简体" w:hAnsi="宋体" w:eastAsia="方正仿宋简体" w:cs="方正仿宋简体"/>
          <w:color w:val="000000"/>
          <w:kern w:val="0"/>
          <w:sz w:val="32"/>
          <w:szCs w:val="32"/>
        </w:rPr>
        <w:t>、规模化生产。殷汇镇围绕群众欢度端午节，推进龙舟赛常规化，扩大规模，拓展影响力。鼓励其他镇和街道充分利用自身文化资源，提升文化软实力，抓住省“文化强省”战略机遇，进一步推动农村“农民文化乐园”建设，力争到十三五末，再建成</w:t>
      </w:r>
      <w:r>
        <w:rPr>
          <w:rFonts w:ascii="方正仿宋简体" w:hAnsi="宋体" w:eastAsia="方正仿宋简体" w:cs="方正仿宋简体"/>
          <w:color w:val="000000"/>
          <w:kern w:val="0"/>
          <w:sz w:val="32"/>
          <w:szCs w:val="32"/>
        </w:rPr>
        <w:t>5-10</w:t>
      </w:r>
      <w:r>
        <w:rPr>
          <w:rFonts w:hint="eastAsia" w:ascii="方正仿宋简体" w:hAnsi="宋体" w:eastAsia="方正仿宋简体" w:cs="方正仿宋简体"/>
          <w:color w:val="000000"/>
          <w:kern w:val="0"/>
          <w:sz w:val="32"/>
          <w:szCs w:val="32"/>
        </w:rPr>
        <w:t>个“农民文化乐园”。</w:t>
      </w:r>
    </w:p>
    <w:p w14:paraId="056F4D51">
      <w:pPr>
        <w:pStyle w:val="4"/>
        <w:spacing w:after="60" w:line="480" w:lineRule="auto"/>
        <w:ind w:firstLine="643" w:firstLineChars="200"/>
        <w:jc w:val="left"/>
        <w:rPr>
          <w:rFonts w:ascii="方正仿宋简体" w:hAnsi="黑体" w:eastAsia="方正仿宋简体"/>
        </w:rPr>
      </w:pPr>
      <w:bookmarkStart w:id="155" w:name="_Toc449037258"/>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增强文化产业竞争力</w:t>
      </w:r>
      <w:bookmarkEnd w:id="155"/>
    </w:p>
    <w:p w14:paraId="19B8CC5F">
      <w:pPr>
        <w:widowControl/>
        <w:shd w:val="clear" w:color="auto" w:fill="FFFFFF"/>
        <w:spacing w:line="620" w:lineRule="atLeast"/>
        <w:ind w:firstLine="641"/>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树立文化产业发展的新理念，深入挖掘地域文化内涵，促进文化产业创新，推动文化产业跨越发展。到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年，形成结构合理、富有创意、竞争力强的现代文化产业体系。</w:t>
      </w:r>
    </w:p>
    <w:p w14:paraId="2265F02F">
      <w:pPr>
        <w:widowControl/>
        <w:shd w:val="clear" w:color="auto" w:fill="FFFFFF"/>
        <w:spacing w:line="620" w:lineRule="atLeast"/>
        <w:ind w:firstLine="641"/>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加快建设产业平台。</w:t>
      </w:r>
      <w:r>
        <w:rPr>
          <w:rFonts w:hint="eastAsia" w:ascii="方正仿宋简体" w:hAnsi="宋体" w:eastAsia="方正仿宋简体" w:cs="方正仿宋简体"/>
          <w:color w:val="000000"/>
          <w:kern w:val="0"/>
          <w:sz w:val="32"/>
          <w:szCs w:val="32"/>
        </w:rPr>
        <w:t>推动文旅融合，以杏花村文化旅游区为载体，以杏花村文化为依托，展示贵池特有的人文历史和民俗风情。充分挖掘和有效利用杏花村巨大的资源潜力和品牌影响力，深入挖掘、研究、宣传、展示地方特色文化的丰富内涵，再现贵池悠久的历史文化风貌。重点发展民俗展示、乡村体验等文化旅游产业，构筑大杏花村旅游文化。以国有文艺团体为骨干</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以民间演出组织为辅助</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着力开拓和培育演艺市场。</w:t>
      </w:r>
    </w:p>
    <w:p w14:paraId="5992AAE8">
      <w:pPr>
        <w:widowControl/>
        <w:shd w:val="clear" w:color="auto" w:fill="FFFFFF"/>
        <w:spacing w:line="620" w:lineRule="atLeast"/>
        <w:ind w:firstLine="641"/>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提升地域文化特色。</w:t>
      </w:r>
      <w:r>
        <w:rPr>
          <w:rFonts w:hint="eastAsia" w:ascii="方正仿宋简体" w:hAnsi="宋体" w:eastAsia="方正仿宋简体" w:cs="方正仿宋简体"/>
          <w:color w:val="000000"/>
          <w:kern w:val="0"/>
          <w:sz w:val="32"/>
          <w:szCs w:val="32"/>
        </w:rPr>
        <w:t>着力培育一批有实力有竞争力的文化产业发展主体，加大人才培养力度，强化文化产业发展支撑。破除各种体制机制障碍，引导社会资本以多种形式投资文化产业，参与重大文化产业项目实施。推动传统文化创造性转化与创新性发展，实施优秀文化传承创新工程，挖掘地域文化资源，以国家级非物质文化遗产等特色文化为依托，整合诗文化、傩文化、茶文化、民歌文化和地方戏曲等文化资源，大力发展演艺文化产业、农耕民俗文化产业、节庆会展产业、动漫创意产业，开发具有贵池特色的文化服务产品，建成一批以非物质文化遗产展示、传承、体验为内容的新型文化旅游景点。</w:t>
      </w:r>
    </w:p>
    <w:p w14:paraId="62CC8B96">
      <w:pPr>
        <w:widowControl/>
        <w:shd w:val="clear" w:color="auto" w:fill="FFFFFF"/>
        <w:spacing w:line="620" w:lineRule="atLeast"/>
        <w:ind w:firstLine="641"/>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推进文化产业创新。</w:t>
      </w:r>
      <w:r>
        <w:rPr>
          <w:rFonts w:hint="eastAsia" w:ascii="方正仿宋简体" w:hAnsi="宋体" w:eastAsia="方正仿宋简体" w:cs="方正仿宋简体"/>
          <w:color w:val="000000"/>
          <w:kern w:val="0"/>
          <w:sz w:val="32"/>
          <w:szCs w:val="32"/>
        </w:rPr>
        <w:t>坚持融合发展，积极推行“文化</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科技”、</w:t>
      </w:r>
      <w:r>
        <w:rPr>
          <w:rFonts w:ascii="方正仿宋简体" w:hAnsi="宋体" w:eastAsia="方正仿宋简体"/>
          <w:color w:val="000000"/>
          <w:kern w:val="0"/>
          <w:sz w:val="32"/>
          <w:szCs w:val="32"/>
        </w:rPr>
        <w:t> </w:t>
      </w:r>
      <w:r>
        <w:rPr>
          <w:rFonts w:hint="eastAsia" w:ascii="方正仿宋简体" w:hAnsi="宋体" w:eastAsia="方正仿宋简体" w:cs="方正仿宋简体"/>
          <w:color w:val="000000"/>
          <w:kern w:val="0"/>
          <w:sz w:val="32"/>
          <w:szCs w:val="32"/>
        </w:rPr>
        <w:t>“文化</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创意”、</w:t>
      </w:r>
      <w:r>
        <w:rPr>
          <w:rFonts w:ascii="方正仿宋简体" w:hAnsi="宋体" w:eastAsia="方正仿宋简体"/>
          <w:color w:val="000000"/>
          <w:kern w:val="0"/>
          <w:sz w:val="32"/>
          <w:szCs w:val="32"/>
        </w:rPr>
        <w:t> </w:t>
      </w:r>
      <w:r>
        <w:rPr>
          <w:rFonts w:hint="eastAsia" w:ascii="方正仿宋简体" w:hAnsi="宋体" w:eastAsia="方正仿宋简体" w:cs="方正仿宋简体"/>
          <w:color w:val="000000"/>
          <w:kern w:val="0"/>
          <w:sz w:val="32"/>
          <w:szCs w:val="32"/>
        </w:rPr>
        <w:t>“文化</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金融”、</w:t>
      </w:r>
      <w:r>
        <w:rPr>
          <w:rFonts w:ascii="方正仿宋简体" w:hAnsi="宋体" w:eastAsia="方正仿宋简体"/>
          <w:color w:val="000000"/>
          <w:kern w:val="0"/>
          <w:sz w:val="32"/>
          <w:szCs w:val="32"/>
        </w:rPr>
        <w:t> </w:t>
      </w:r>
      <w:r>
        <w:rPr>
          <w:rFonts w:hint="eastAsia" w:ascii="方正仿宋简体" w:hAnsi="宋体" w:eastAsia="方正仿宋简体" w:cs="方正仿宋简体"/>
          <w:color w:val="000000"/>
          <w:kern w:val="0"/>
          <w:sz w:val="32"/>
          <w:szCs w:val="32"/>
        </w:rPr>
        <w:t>“文化</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旅游”的产业发展新模式，着力培育新兴业态文化企业。大力发展“互联网</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文化”，积极采用数字、网络等高新技术，改造提升新闻出版发行、广播影视服务、文化产品辅助生产等传统文化产业；大力推进文化信息传输服务、文化创意设计服务、文化专用设备生产、高端工艺美术品生产等产业发展；大力发展文化旅游产业，注重发挥文化在文旅融合发展中的灵魂作用，推动杏花村文化旅游区争创国家文化产业示范基地，鼓励和支持镇和街道创建省、市文化产业园区和基地。</w:t>
      </w:r>
    </w:p>
    <w:p w14:paraId="5D401B9D">
      <w:pPr>
        <w:spacing w:line="640" w:lineRule="exact"/>
        <w:ind w:firstLine="640" w:firstLineChars="200"/>
        <w:rPr>
          <w:rFonts w:ascii="方正仿宋简体" w:hAnsi="宋体" w:eastAsia="方正仿宋简体"/>
          <w:color w:val="000000"/>
          <w:kern w:val="0"/>
          <w:sz w:val="32"/>
          <w:szCs w:val="32"/>
        </w:rPr>
      </w:pPr>
    </w:p>
    <w:p w14:paraId="4D59FC0A">
      <w:pPr>
        <w:spacing w:line="640" w:lineRule="exact"/>
        <w:ind w:firstLine="640" w:firstLineChars="200"/>
        <w:rPr>
          <w:rFonts w:ascii="方正仿宋简体" w:hAnsi="宋体" w:eastAsia="方正仿宋简体"/>
          <w:color w:val="000000"/>
          <w:kern w:val="0"/>
          <w:sz w:val="32"/>
          <w:szCs w:val="32"/>
        </w:rPr>
      </w:pPr>
    </w:p>
    <w:p w14:paraId="439F5AB0">
      <w:pPr>
        <w:spacing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14  </w:t>
      </w:r>
      <w:r>
        <w:rPr>
          <w:rFonts w:hint="eastAsia" w:ascii="宋体" w:hAnsi="宋体" w:cs="宋体"/>
          <w:b/>
          <w:bCs/>
          <w:color w:val="000000"/>
          <w:sz w:val="28"/>
          <w:szCs w:val="28"/>
        </w:rPr>
        <w:t>文化产业重点建设项目</w:t>
      </w:r>
    </w:p>
    <w:tbl>
      <w:tblPr>
        <w:tblStyle w:val="25"/>
        <w:tblW w:w="5066"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80"/>
      </w:tblGrid>
      <w:tr w14:paraId="38D71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center"/>
          </w:tcPr>
          <w:p w14:paraId="359AAF19">
            <w:pPr>
              <w:spacing w:line="560" w:lineRule="exact"/>
              <w:ind w:firstLine="562" w:firstLineChars="200"/>
              <w:jc w:val="left"/>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杏花村文化旅游产业集聚发展基地：</w:t>
            </w:r>
            <w:r>
              <w:rPr>
                <w:rFonts w:hint="eastAsia" w:ascii="方正仿宋简体" w:hAnsi="宋体" w:eastAsia="方正仿宋简体" w:cs="方正仿宋简体"/>
                <w:color w:val="000000"/>
                <w:sz w:val="28"/>
                <w:szCs w:val="28"/>
              </w:rPr>
              <w:t>一是加快推动具有重大示范效应和产业拉动作用的文化旅游产业项目向园区集聚，二是建设以文化创意为特色的现代产业体系，三是开发观赏性、互动性、体验性、参与性强的文化旅游项目，四是加强杏花村历史文化的挖掘和保护，建设国际水准的旅游精品景区。</w:t>
            </w:r>
          </w:p>
          <w:p w14:paraId="28234B5E">
            <w:pPr>
              <w:spacing w:line="560" w:lineRule="exact"/>
              <w:ind w:firstLine="562" w:firstLineChars="200"/>
              <w:jc w:val="left"/>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sz w:val="28"/>
                <w:szCs w:val="28"/>
              </w:rPr>
              <w:t>贵池区三馆建设：</w:t>
            </w:r>
            <w:r>
              <w:rPr>
                <w:rFonts w:hint="eastAsia" w:ascii="方正仿宋简体" w:hAnsi="宋体" w:eastAsia="方正仿宋简体" w:cs="方正仿宋简体"/>
                <w:color w:val="000000"/>
                <w:kern w:val="0"/>
                <w:sz w:val="28"/>
                <w:szCs w:val="28"/>
              </w:rPr>
              <w:t>建设文化馆、图书馆、博物馆及其他辅助用房。</w:t>
            </w:r>
          </w:p>
          <w:p w14:paraId="762D0B1F">
            <w:pPr>
              <w:spacing w:line="560" w:lineRule="exact"/>
              <w:ind w:firstLine="562" w:firstLineChars="200"/>
              <w:jc w:val="left"/>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sz w:val="28"/>
                <w:szCs w:val="28"/>
              </w:rPr>
              <w:t>禅意高端休闲度假区：</w:t>
            </w:r>
            <w:r>
              <w:rPr>
                <w:rFonts w:hint="eastAsia" w:ascii="方正仿宋简体" w:hAnsi="宋体" w:eastAsia="方正仿宋简体" w:cs="方正仿宋简体"/>
                <w:color w:val="000000"/>
                <w:sz w:val="28"/>
                <w:szCs w:val="28"/>
              </w:rPr>
              <w:t>利用墩上街道观音茅蓬，建设素斋体验园、禅修高端精舍等文化设施。</w:t>
            </w:r>
          </w:p>
          <w:p w14:paraId="439143A9">
            <w:pPr>
              <w:spacing w:line="560" w:lineRule="exact"/>
              <w:ind w:firstLine="562" w:firstLineChars="200"/>
              <w:jc w:val="left"/>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印象罗城民歌体验区：</w:t>
            </w:r>
            <w:r>
              <w:rPr>
                <w:rFonts w:hint="eastAsia" w:ascii="方正仿宋简体" w:hAnsi="宋体" w:eastAsia="方正仿宋简体" w:cs="方正仿宋简体"/>
                <w:color w:val="000000"/>
                <w:sz w:val="28"/>
                <w:szCs w:val="28"/>
              </w:rPr>
              <w:t>利用渚湖姜村传统村落和罗城民歌的文化资源为基础，再建民歌传习、演艺基地，发展特色农宿、天工开物农耕展馆的旅游项目。</w:t>
            </w:r>
          </w:p>
          <w:p w14:paraId="62737264">
            <w:pPr>
              <w:spacing w:line="560" w:lineRule="exact"/>
              <w:ind w:firstLine="562" w:firstLineChars="200"/>
              <w:jc w:val="left"/>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池州傩文化旅游景区开发建设：</w:t>
            </w:r>
            <w:r>
              <w:rPr>
                <w:rFonts w:hint="eastAsia" w:ascii="方正仿宋简体" w:hAnsi="宋体" w:eastAsia="方正仿宋简体" w:cs="方正仿宋简体"/>
                <w:color w:val="000000"/>
                <w:sz w:val="28"/>
                <w:szCs w:val="28"/>
              </w:rPr>
              <w:t>建设傩文化博艺馆、傩演艺广场、傩面具制作与开光体验区、傩研究所、禅茶文化养生馆；修复青山寺；改建静养天堂休闲度假区。</w:t>
            </w:r>
          </w:p>
          <w:p w14:paraId="4ADEEC9D">
            <w:pPr>
              <w:spacing w:line="560" w:lineRule="exact"/>
              <w:ind w:firstLine="562" w:firstLineChars="200"/>
              <w:jc w:val="left"/>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省保县保文物单位修复工程：</w:t>
            </w:r>
            <w:r>
              <w:rPr>
                <w:rFonts w:hint="eastAsia" w:ascii="方正仿宋简体" w:hAnsi="宋体" w:eastAsia="方正仿宋简体" w:cs="方正仿宋简体"/>
                <w:color w:val="000000"/>
                <w:sz w:val="28"/>
                <w:szCs w:val="28"/>
              </w:rPr>
              <w:t>对石门高氏宗祠、荡里姚氏宗祠、西华姚氏宗祠、彭氏宗祠、太和章氏宗祠、胭脂桥、赵家洋房等保护性修复。</w:t>
            </w:r>
          </w:p>
          <w:p w14:paraId="2F13980F">
            <w:pPr>
              <w:spacing w:line="560" w:lineRule="exact"/>
              <w:ind w:firstLine="562" w:firstLineChars="200"/>
              <w:jc w:val="left"/>
              <w:rPr>
                <w:rFonts w:ascii="宋体"/>
                <w:color w:val="000000"/>
              </w:rPr>
            </w:pPr>
            <w:r>
              <w:rPr>
                <w:rFonts w:hint="eastAsia" w:ascii="方正楷体简体" w:hAnsi="宋体" w:eastAsia="方正楷体简体" w:cs="方正楷体简体"/>
                <w:b/>
                <w:bCs/>
                <w:color w:val="000000"/>
                <w:sz w:val="28"/>
                <w:szCs w:val="28"/>
              </w:rPr>
              <w:t>乡镇综合文化服务中心扩建工程：</w:t>
            </w:r>
            <w:r>
              <w:rPr>
                <w:rFonts w:hint="eastAsia" w:ascii="方正仿宋简体" w:hAnsi="宋体" w:eastAsia="方正仿宋简体" w:cs="方正仿宋简体"/>
                <w:color w:val="000000"/>
                <w:sz w:val="28"/>
                <w:szCs w:val="28"/>
              </w:rPr>
              <w:t>扩建</w:t>
            </w:r>
            <w:r>
              <w:rPr>
                <w:rFonts w:ascii="方正仿宋简体" w:hAnsi="宋体" w:eastAsia="方正仿宋简体" w:cs="方正仿宋简体"/>
                <w:color w:val="000000"/>
                <w:sz w:val="28"/>
                <w:szCs w:val="28"/>
              </w:rPr>
              <w:t>9</w:t>
            </w:r>
            <w:r>
              <w:rPr>
                <w:rFonts w:hint="eastAsia" w:ascii="方正仿宋简体" w:hAnsi="宋体" w:eastAsia="方正仿宋简体" w:cs="方正仿宋简体"/>
                <w:color w:val="000000"/>
                <w:sz w:val="28"/>
                <w:szCs w:val="28"/>
              </w:rPr>
              <w:t>个镇综合文化服务中心。每个镇综合文化服务中心扩建农民文化剧场、室外文化体育活动场地，新增灯光、音响、乐器等内部设备。</w:t>
            </w:r>
          </w:p>
        </w:tc>
      </w:tr>
    </w:tbl>
    <w:p w14:paraId="4915316A"/>
    <w:bookmarkEnd w:id="148"/>
    <w:bookmarkEnd w:id="149"/>
    <w:bookmarkEnd w:id="150"/>
    <w:p w14:paraId="3F6EE3DA">
      <w:pPr>
        <w:pStyle w:val="3"/>
        <w:spacing w:after="120" w:line="480" w:lineRule="auto"/>
        <w:ind w:firstLine="640" w:firstLineChars="200"/>
        <w:jc w:val="left"/>
        <w:rPr>
          <w:rFonts w:ascii="方正黑体简体" w:hAnsi="黑体" w:eastAsia="方正黑体简体" w:cs="Times New Roman"/>
          <w:b w:val="0"/>
          <w:bCs w:val="0"/>
        </w:rPr>
      </w:pPr>
      <w:bookmarkStart w:id="156" w:name="_Toc432670958"/>
      <w:bookmarkStart w:id="157" w:name="_Toc449037259"/>
      <w:r>
        <w:rPr>
          <w:rFonts w:hint="eastAsia" w:ascii="方正黑体简体" w:hAnsi="黑体" w:eastAsia="方正黑体简体" w:cs="方正黑体简体"/>
          <w:b w:val="0"/>
          <w:bCs w:val="0"/>
        </w:rPr>
        <w:t>第十三章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强化基础设施建设，提高综合承载能力</w:t>
      </w:r>
      <w:bookmarkEnd w:id="156"/>
      <w:bookmarkEnd w:id="157"/>
    </w:p>
    <w:p w14:paraId="03F065CB">
      <w:pPr>
        <w:pStyle w:val="23"/>
        <w:adjustRightInd w:val="0"/>
        <w:snapToGrid w:val="0"/>
        <w:spacing w:before="0" w:after="0" w:line="620" w:lineRule="exact"/>
        <w:ind w:firstLine="640" w:firstLineChars="200"/>
        <w:rPr>
          <w:rFonts w:ascii="方正仿宋简体" w:eastAsia="方正仿宋简体" w:cs="Times New Roman"/>
          <w:sz w:val="32"/>
          <w:szCs w:val="32"/>
        </w:rPr>
      </w:pPr>
      <w:r>
        <w:rPr>
          <w:rFonts w:hint="eastAsia" w:ascii="方正仿宋简体" w:eastAsia="方正仿宋简体" w:cs="方正仿宋简体"/>
          <w:sz w:val="32"/>
          <w:szCs w:val="32"/>
        </w:rPr>
        <w:t>按照基础设施与城镇发展、产业布局、公共服务协调配套的原则，加强全区基础设施建设，全面提升我区交通、水利、能源、信息等基础设施水平，为全面建成小康社会提供坚实支撑。</w:t>
      </w:r>
    </w:p>
    <w:p w14:paraId="0AA83E22">
      <w:pPr>
        <w:pStyle w:val="4"/>
        <w:spacing w:after="60" w:line="480" w:lineRule="auto"/>
        <w:ind w:firstLine="643" w:firstLineChars="200"/>
        <w:jc w:val="left"/>
        <w:rPr>
          <w:rFonts w:ascii="方正仿宋简体" w:hAnsi="黑体" w:eastAsia="方正仿宋简体"/>
        </w:rPr>
      </w:pPr>
      <w:bookmarkStart w:id="158" w:name="_Toc25554"/>
      <w:bookmarkStart w:id="159" w:name="_Toc22400"/>
      <w:bookmarkStart w:id="160" w:name="_Toc6169"/>
      <w:bookmarkStart w:id="161" w:name="_Toc432670959"/>
      <w:bookmarkStart w:id="162" w:name="_Toc449037260"/>
      <w:bookmarkStart w:id="163" w:name="_Toc432405460"/>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构建综合交通运输体系</w:t>
      </w:r>
      <w:bookmarkEnd w:id="158"/>
      <w:bookmarkEnd w:id="159"/>
      <w:bookmarkEnd w:id="160"/>
      <w:bookmarkEnd w:id="161"/>
      <w:bookmarkEnd w:id="162"/>
      <w:bookmarkEnd w:id="163"/>
    </w:p>
    <w:p w14:paraId="2103E490">
      <w:pPr>
        <w:pStyle w:val="23"/>
        <w:adjustRightInd w:val="0"/>
        <w:snapToGrid w:val="0"/>
        <w:spacing w:before="0" w:after="0" w:line="620" w:lineRule="exact"/>
        <w:ind w:firstLine="640" w:firstLineChars="200"/>
        <w:rPr>
          <w:rFonts w:ascii="方正仿宋简体" w:eastAsia="方正仿宋简体" w:cs="Times New Roman"/>
          <w:sz w:val="32"/>
          <w:szCs w:val="32"/>
        </w:rPr>
      </w:pPr>
      <w:r>
        <w:rPr>
          <w:rFonts w:hint="eastAsia" w:ascii="方正仿宋简体" w:eastAsia="方正仿宋简体" w:cs="方正仿宋简体"/>
          <w:sz w:val="32"/>
          <w:szCs w:val="32"/>
        </w:rPr>
        <w:t>加大交通基础设施的建设力度，全面增加交通有效供给，提升现有线路技术水平，发挥各种运输方式组合效率，加强多种通道建设，统筹推进公路、水运、铁路等运输一体化发展，着力构建“外通内联、畅通高效、安全环保”的现代综合交通运输体系。</w:t>
      </w:r>
    </w:p>
    <w:p w14:paraId="3C9C68D1">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提升对外交通联系。</w:t>
      </w:r>
      <w:r>
        <w:rPr>
          <w:rFonts w:hint="eastAsia" w:ascii="方正仿宋简体" w:eastAsia="方正仿宋简体" w:cs="方正仿宋简体"/>
          <w:sz w:val="32"/>
          <w:szCs w:val="32"/>
        </w:rPr>
        <w:t>协助做好宁安高铁、池州－九江城际铁路、池州－九华山－黄山城际铁路、阜阳－六安－景德镇铁路贵池段和济祁高速公路等重大项目建设，改造提升牛头山港区，规划建设前江口港区、乌沙港区、梅龙港区，打通对外通道。</w:t>
      </w:r>
    </w:p>
    <w:p w14:paraId="0EFADD33">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完善区域内部交通网络。</w:t>
      </w:r>
      <w:r>
        <w:rPr>
          <w:rFonts w:hint="eastAsia" w:ascii="方正仿宋简体" w:eastAsia="方正仿宋简体" w:cs="方正仿宋简体"/>
          <w:sz w:val="32"/>
          <w:szCs w:val="32"/>
        </w:rPr>
        <w:t>结合城乡一体化发展和各城镇空间拓展要求，配合抓好省道</w:t>
      </w:r>
      <w:r>
        <w:rPr>
          <w:rFonts w:ascii="方正仿宋简体" w:eastAsia="方正仿宋简体" w:cs="方正仿宋简体"/>
          <w:sz w:val="32"/>
          <w:szCs w:val="32"/>
        </w:rPr>
        <w:t>321</w:t>
      </w:r>
      <w:r>
        <w:rPr>
          <w:rFonts w:hint="eastAsia" w:ascii="方正仿宋简体" w:eastAsia="方正仿宋简体" w:cs="方正仿宋简体"/>
          <w:sz w:val="32"/>
          <w:szCs w:val="32"/>
        </w:rPr>
        <w:t>西延、池州长江公路大桥项目建设和国道</w:t>
      </w:r>
      <w:r>
        <w:rPr>
          <w:rFonts w:ascii="方正仿宋简体" w:eastAsia="方正仿宋简体" w:cs="方正仿宋简体"/>
          <w:sz w:val="32"/>
          <w:szCs w:val="32"/>
        </w:rPr>
        <w:t>318</w:t>
      </w:r>
      <w:r>
        <w:rPr>
          <w:rFonts w:hint="eastAsia" w:ascii="方正仿宋简体" w:eastAsia="方正仿宋简体" w:cs="方正仿宋简体"/>
          <w:sz w:val="32"/>
          <w:szCs w:val="32"/>
        </w:rPr>
        <w:t>池州至殷汇段改造工程。加快农村公路畅通工程建设，提升县乡道公路等级。打通断头路，完善乡、村道路网。积极推进牌楼镇至牛头山镇和棠溪镇至乌沙镇两条矿产品廊道运输专用线建设。构建旅游综合交通网络，重点建设青阳至十字、梅街至梅村、梅村至殷汇、梅村至霄坑、环升金湖、殷汇至牌楼、白洋至渚湖、墩上至梅龙等八条公路。推进城乡客运一体化，实行城乡公交全覆盖。</w:t>
      </w:r>
    </w:p>
    <w:p w14:paraId="6D6BE7E2">
      <w:pPr>
        <w:pStyle w:val="23"/>
        <w:adjustRightInd w:val="0"/>
        <w:snapToGrid w:val="0"/>
        <w:spacing w:before="0" w:after="0" w:line="620" w:lineRule="exact"/>
        <w:ind w:firstLine="600" w:firstLineChars="200"/>
        <w:rPr>
          <w:rFonts w:ascii="仿宋_GB2312" w:eastAsia="仿宋_GB2312" w:cs="Times New Roman"/>
          <w:sz w:val="30"/>
          <w:szCs w:val="30"/>
        </w:rPr>
      </w:pPr>
    </w:p>
    <w:p w14:paraId="30C61041">
      <w:pPr>
        <w:spacing w:line="620" w:lineRule="exact"/>
        <w:jc w:val="center"/>
        <w:rPr>
          <w:rFonts w:ascii="宋体"/>
          <w:b/>
          <w:bCs/>
          <w:color w:val="000000"/>
          <w:sz w:val="28"/>
          <w:szCs w:val="28"/>
        </w:rPr>
      </w:pPr>
      <w:bookmarkStart w:id="164" w:name="_Toc18945"/>
      <w:bookmarkStart w:id="165" w:name="_Toc432405461"/>
      <w:bookmarkStart w:id="166" w:name="_Toc26461"/>
      <w:bookmarkStart w:id="167" w:name="_Toc430532513"/>
      <w:bookmarkStart w:id="168" w:name="_Toc1346"/>
      <w:bookmarkStart w:id="169" w:name="_Toc432670960"/>
      <w:r>
        <w:rPr>
          <w:rFonts w:hint="eastAsia" w:ascii="宋体" w:hAnsi="宋体" w:cs="宋体"/>
          <w:b/>
          <w:bCs/>
          <w:color w:val="000000"/>
          <w:sz w:val="28"/>
          <w:szCs w:val="28"/>
        </w:rPr>
        <w:t>专栏</w:t>
      </w:r>
      <w:r>
        <w:rPr>
          <w:rFonts w:ascii="宋体" w:hAnsi="宋体" w:cs="宋体"/>
          <w:b/>
          <w:bCs/>
          <w:color w:val="000000"/>
          <w:sz w:val="28"/>
          <w:szCs w:val="28"/>
        </w:rPr>
        <w:t xml:space="preserve">15  </w:t>
      </w:r>
      <w:r>
        <w:rPr>
          <w:rFonts w:hint="eastAsia" w:ascii="宋体" w:hAnsi="宋体" w:cs="宋体"/>
          <w:b/>
          <w:bCs/>
          <w:color w:val="000000"/>
          <w:sz w:val="28"/>
          <w:szCs w:val="28"/>
        </w:rPr>
        <w:t>交通运输重点建设项目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64519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5000" w:type="pct"/>
          </w:tcPr>
          <w:p w14:paraId="7E8F3A05">
            <w:pPr>
              <w:spacing w:line="560" w:lineRule="exact"/>
              <w:ind w:firstLine="562" w:firstLineChars="200"/>
              <w:jc w:val="left"/>
              <w:rPr>
                <w:rFonts w:ascii="方正仿宋简体" w:hAnsi="宋体" w:eastAsia="方正仿宋简体"/>
                <w:color w:val="000000"/>
                <w:sz w:val="28"/>
                <w:szCs w:val="28"/>
              </w:rPr>
            </w:pPr>
            <w:r>
              <w:rPr>
                <w:rFonts w:hint="eastAsia" w:ascii="方正楷体简体" w:hAnsi="宋体" w:eastAsia="方正楷体简体" w:cs="方正楷体简体"/>
                <w:b/>
                <w:bCs/>
                <w:color w:val="000000"/>
                <w:kern w:val="0"/>
                <w:sz w:val="28"/>
                <w:szCs w:val="28"/>
              </w:rPr>
              <w:t>旅游线路建设：</w:t>
            </w:r>
            <w:r>
              <w:rPr>
                <w:rFonts w:hint="eastAsia" w:ascii="方正仿宋简体" w:hAnsi="宋体" w:eastAsia="方正仿宋简体" w:cs="方正仿宋简体"/>
                <w:color w:val="000000"/>
                <w:kern w:val="0"/>
                <w:sz w:val="28"/>
                <w:szCs w:val="28"/>
              </w:rPr>
              <w:t>围绕互连互通的旅游交通网，主要推动</w:t>
            </w:r>
            <w:r>
              <w:rPr>
                <w:rFonts w:hint="eastAsia" w:ascii="方正仿宋简体" w:hAnsi="宋体" w:eastAsia="方正仿宋简体" w:cs="方正仿宋简体"/>
                <w:color w:val="000000"/>
                <w:sz w:val="28"/>
                <w:szCs w:val="28"/>
              </w:rPr>
              <w:t>青十路、杏花村文化旅游区道路、梅村至霄坑公路、殷汇至牌楼公路、石门高至低岭公路和桐梓山至合兴公路等项目建设，总里程</w:t>
            </w:r>
            <w:r>
              <w:rPr>
                <w:rFonts w:ascii="方正仿宋简体" w:hAnsi="宋体" w:eastAsia="方正仿宋简体" w:cs="方正仿宋简体"/>
                <w:color w:val="000000"/>
                <w:sz w:val="28"/>
                <w:szCs w:val="28"/>
              </w:rPr>
              <w:t>250</w:t>
            </w:r>
            <w:r>
              <w:rPr>
                <w:rFonts w:hint="eastAsia" w:ascii="方正仿宋简体" w:hAnsi="宋体" w:eastAsia="方正仿宋简体" w:cs="方正仿宋简体"/>
                <w:color w:val="000000"/>
                <w:sz w:val="28"/>
                <w:szCs w:val="28"/>
              </w:rPr>
              <w:t>公里。</w:t>
            </w:r>
          </w:p>
          <w:p w14:paraId="732B856D">
            <w:pPr>
              <w:spacing w:line="560" w:lineRule="exact"/>
              <w:ind w:firstLine="562" w:firstLineChars="200"/>
              <w:rPr>
                <w:rFonts w:ascii="方正仿宋简体" w:eastAsia="方正仿宋简体"/>
                <w:sz w:val="28"/>
                <w:szCs w:val="28"/>
              </w:rPr>
            </w:pPr>
            <w:r>
              <w:rPr>
                <w:rFonts w:hint="eastAsia" w:ascii="方正楷体简体" w:hAnsi="宋体" w:eastAsia="方正楷体简体" w:cs="方正楷体简体"/>
                <w:b/>
                <w:bCs/>
                <w:color w:val="000000"/>
                <w:kern w:val="0"/>
                <w:sz w:val="28"/>
                <w:szCs w:val="28"/>
              </w:rPr>
              <w:t>普通国省道干线路网建设：</w:t>
            </w:r>
            <w:r>
              <w:rPr>
                <w:rFonts w:hint="eastAsia" w:ascii="方正仿宋简体" w:hAnsi="宋体" w:eastAsia="方正仿宋简体" w:cs="方正仿宋简体"/>
                <w:color w:val="000000"/>
                <w:sz w:val="28"/>
                <w:szCs w:val="28"/>
              </w:rPr>
              <w:t>围绕提升国省道通行能力，实施公路改建工程，主要推动</w:t>
            </w:r>
            <w:r>
              <w:rPr>
                <w:rFonts w:ascii="方正仿宋简体" w:hAnsi="宋体" w:eastAsia="方正仿宋简体" w:cs="方正仿宋简体"/>
                <w:color w:val="000000"/>
                <w:sz w:val="28"/>
                <w:szCs w:val="28"/>
              </w:rPr>
              <w:t>318</w:t>
            </w:r>
            <w:r>
              <w:rPr>
                <w:rFonts w:hint="eastAsia" w:ascii="方正仿宋简体" w:hAnsi="宋体" w:eastAsia="方正仿宋简体" w:cs="方正仿宋简体"/>
                <w:color w:val="000000"/>
                <w:sz w:val="28"/>
                <w:szCs w:val="28"/>
              </w:rPr>
              <w:t>国道改造、</w:t>
            </w:r>
            <w:r>
              <w:rPr>
                <w:rFonts w:ascii="方正仿宋简体" w:hAnsi="宋体" w:eastAsia="方正仿宋简体" w:cs="方正仿宋简体"/>
                <w:color w:val="000000"/>
                <w:sz w:val="28"/>
                <w:szCs w:val="28"/>
              </w:rPr>
              <w:t>G318</w:t>
            </w:r>
            <w:r>
              <w:rPr>
                <w:rFonts w:hint="eastAsia" w:ascii="方正仿宋简体" w:hAnsi="宋体" w:eastAsia="方正仿宋简体" w:cs="方正仿宋简体"/>
                <w:color w:val="000000"/>
                <w:sz w:val="28"/>
                <w:szCs w:val="28"/>
              </w:rPr>
              <w:t>池州至青阳段、</w:t>
            </w:r>
            <w:r>
              <w:rPr>
                <w:rFonts w:ascii="方正仿宋简体" w:hAnsi="宋体" w:eastAsia="方正仿宋简体" w:cs="方正仿宋简体"/>
                <w:color w:val="000000"/>
                <w:sz w:val="28"/>
                <w:szCs w:val="28"/>
              </w:rPr>
              <w:t>G318</w:t>
            </w:r>
            <w:r>
              <w:rPr>
                <w:rFonts w:hint="eastAsia" w:ascii="方正仿宋简体" w:hAnsi="宋体" w:eastAsia="方正仿宋简体" w:cs="方正仿宋简体"/>
                <w:color w:val="000000"/>
                <w:sz w:val="28"/>
                <w:szCs w:val="28"/>
              </w:rPr>
              <w:t>殷汇至大渡口段、青石公路改建工程、齐山至石门高公路等项目建设，总里程</w:t>
            </w:r>
            <w:r>
              <w:rPr>
                <w:rFonts w:ascii="方正仿宋简体" w:hAnsi="宋体" w:eastAsia="方正仿宋简体" w:cs="方正仿宋简体"/>
                <w:color w:val="000000"/>
                <w:sz w:val="28"/>
                <w:szCs w:val="28"/>
              </w:rPr>
              <w:t>175</w:t>
            </w:r>
            <w:r>
              <w:rPr>
                <w:rFonts w:hint="eastAsia" w:ascii="方正仿宋简体" w:hAnsi="宋体" w:eastAsia="方正仿宋简体" w:cs="方正仿宋简体"/>
                <w:color w:val="000000"/>
                <w:sz w:val="28"/>
                <w:szCs w:val="28"/>
              </w:rPr>
              <w:t>公里。</w:t>
            </w:r>
          </w:p>
          <w:p w14:paraId="26B75183">
            <w:pPr>
              <w:spacing w:line="560" w:lineRule="exact"/>
              <w:ind w:firstLine="562" w:firstLineChars="200"/>
              <w:jc w:val="left"/>
              <w:rPr>
                <w:rFonts w:ascii="方正仿宋简体" w:hAnsi="宋体" w:eastAsia="方正仿宋简体"/>
                <w:color w:val="000000"/>
                <w:sz w:val="28"/>
                <w:szCs w:val="28"/>
              </w:rPr>
            </w:pPr>
            <w:r>
              <w:rPr>
                <w:rFonts w:hint="eastAsia" w:ascii="方正楷体简体" w:hAnsi="宋体" w:eastAsia="方正楷体简体" w:cs="方正楷体简体"/>
                <w:b/>
                <w:bCs/>
                <w:color w:val="000000"/>
                <w:kern w:val="0"/>
                <w:sz w:val="28"/>
                <w:szCs w:val="28"/>
              </w:rPr>
              <w:t>农村公路路网建设：</w:t>
            </w:r>
            <w:r>
              <w:rPr>
                <w:rFonts w:hint="eastAsia" w:ascii="方正仿宋简体" w:hAnsi="宋体" w:eastAsia="方正仿宋简体" w:cs="方正仿宋简体"/>
                <w:color w:val="000000"/>
                <w:sz w:val="28"/>
                <w:szCs w:val="28"/>
              </w:rPr>
              <w:t>围绕提升农村道路通行能力，主要推动村级公路网化工程、县乡道升级改造工程、危桥改造工程等项目建设，道路总里程</w:t>
            </w:r>
            <w:r>
              <w:rPr>
                <w:rFonts w:ascii="方正仿宋简体" w:hAnsi="宋体" w:eastAsia="方正仿宋简体" w:cs="方正仿宋简体"/>
                <w:color w:val="000000"/>
                <w:sz w:val="28"/>
                <w:szCs w:val="28"/>
              </w:rPr>
              <w:t>1200</w:t>
            </w:r>
            <w:r>
              <w:rPr>
                <w:rFonts w:hint="eastAsia" w:ascii="方正仿宋简体" w:hAnsi="宋体" w:eastAsia="方正仿宋简体" w:cs="方正仿宋简体"/>
                <w:color w:val="000000"/>
                <w:sz w:val="28"/>
                <w:szCs w:val="28"/>
              </w:rPr>
              <w:t>公里，改造危桥</w:t>
            </w:r>
            <w:r>
              <w:rPr>
                <w:rFonts w:ascii="方正仿宋简体" w:hAnsi="宋体" w:eastAsia="方正仿宋简体" w:cs="方正仿宋简体"/>
                <w:color w:val="000000"/>
                <w:sz w:val="28"/>
                <w:szCs w:val="28"/>
              </w:rPr>
              <w:t>36</w:t>
            </w:r>
            <w:r>
              <w:rPr>
                <w:rFonts w:hint="eastAsia" w:ascii="方正仿宋简体" w:hAnsi="宋体" w:eastAsia="方正仿宋简体" w:cs="方正仿宋简体"/>
                <w:color w:val="000000"/>
                <w:sz w:val="28"/>
                <w:szCs w:val="28"/>
              </w:rPr>
              <w:t>座。</w:t>
            </w:r>
          </w:p>
          <w:p w14:paraId="4A335BEB">
            <w:pPr>
              <w:spacing w:line="560" w:lineRule="exact"/>
              <w:ind w:firstLine="562" w:firstLineChars="200"/>
              <w:jc w:val="left"/>
              <w:rPr>
                <w:rFonts w:ascii="宋体"/>
                <w:b/>
                <w:bCs/>
                <w:color w:val="000000"/>
                <w:kern w:val="0"/>
                <w:sz w:val="28"/>
                <w:szCs w:val="28"/>
              </w:rPr>
            </w:pPr>
            <w:r>
              <w:rPr>
                <w:rFonts w:hint="eastAsia" w:ascii="方正楷体简体" w:hAnsi="宋体" w:eastAsia="方正楷体简体" w:cs="方正楷体简体"/>
                <w:b/>
                <w:bCs/>
                <w:color w:val="000000"/>
                <w:kern w:val="0"/>
                <w:sz w:val="28"/>
                <w:szCs w:val="28"/>
              </w:rPr>
              <w:t>河流整治及港口建设：</w:t>
            </w:r>
            <w:r>
              <w:rPr>
                <w:rFonts w:hint="eastAsia" w:ascii="方正仿宋简体" w:hAnsi="宋体" w:eastAsia="方正仿宋简体" w:cs="方正仿宋简体"/>
                <w:color w:val="000000"/>
                <w:sz w:val="28"/>
                <w:szCs w:val="28"/>
              </w:rPr>
              <w:t>主要推动青通河航道整治升级工程、白洋河综合治理、贵池区矿产品运输专线、非金属矿专用码头和池州牛头山港二期港口工程及港口物流园等项目建设。</w:t>
            </w:r>
          </w:p>
        </w:tc>
      </w:tr>
    </w:tbl>
    <w:p w14:paraId="54258E88">
      <w:pPr>
        <w:pStyle w:val="24"/>
        <w:rPr>
          <w:rFonts w:ascii="黑体" w:hAnsi="黑体" w:eastAsia="黑体" w:cs="Times New Roman"/>
          <w:b w:val="0"/>
          <w:bCs w:val="0"/>
          <w:color w:val="000000"/>
          <w:sz w:val="30"/>
          <w:szCs w:val="30"/>
        </w:rPr>
      </w:pPr>
    </w:p>
    <w:p w14:paraId="4420ED66">
      <w:pPr>
        <w:pStyle w:val="4"/>
        <w:spacing w:after="60" w:line="480" w:lineRule="auto"/>
        <w:ind w:firstLine="643" w:firstLineChars="200"/>
        <w:jc w:val="left"/>
        <w:rPr>
          <w:rFonts w:ascii="方正仿宋简体" w:hAnsi="黑体" w:eastAsia="方正仿宋简体"/>
        </w:rPr>
      </w:pPr>
      <w:bookmarkStart w:id="170" w:name="_Toc449037261"/>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加快现代水利建设</w:t>
      </w:r>
      <w:bookmarkEnd w:id="164"/>
      <w:bookmarkEnd w:id="165"/>
      <w:bookmarkEnd w:id="166"/>
      <w:bookmarkEnd w:id="167"/>
      <w:bookmarkEnd w:id="168"/>
      <w:bookmarkEnd w:id="169"/>
      <w:bookmarkEnd w:id="170"/>
    </w:p>
    <w:p w14:paraId="734516D1">
      <w:pPr>
        <w:pStyle w:val="23"/>
        <w:adjustRightInd w:val="0"/>
        <w:snapToGrid w:val="0"/>
        <w:spacing w:before="0" w:after="0" w:line="620" w:lineRule="exact"/>
        <w:ind w:firstLine="640" w:firstLineChars="200"/>
        <w:rPr>
          <w:rFonts w:ascii="方正仿宋简体" w:eastAsia="方正仿宋简体" w:cs="Times New Roman"/>
          <w:sz w:val="32"/>
          <w:szCs w:val="32"/>
        </w:rPr>
      </w:pPr>
      <w:r>
        <w:rPr>
          <w:rFonts w:hint="eastAsia" w:ascii="方正仿宋简体" w:eastAsia="方正仿宋简体" w:cs="方正仿宋简体"/>
          <w:sz w:val="32"/>
          <w:szCs w:val="32"/>
        </w:rPr>
        <w:t>切实加强水利薄弱环节建设，完善水利基础设施体系，增强水旱灾害应对与综合防御、水资源合理调配与高效利用、水生态环境保护与修复能力，推进水利现代化，保障防洪安全、供水安全、粮食安全和生态安全。</w:t>
      </w:r>
    </w:p>
    <w:p w14:paraId="2FF67254">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建设工程水利。</w:t>
      </w:r>
      <w:r>
        <w:rPr>
          <w:rFonts w:hint="eastAsia" w:ascii="方正仿宋简体" w:eastAsia="方正仿宋简体" w:cs="方正仿宋简体"/>
          <w:sz w:val="32"/>
          <w:szCs w:val="32"/>
        </w:rPr>
        <w:t>实施长江堤防达标升级、长江崩岸治理、山洪沟治理和中小型河流治理工程；对万亩以上圩口排灌站的主干、支渠进行拓宽、清淤及水环境整治，对部分千亩以上圩口的排水干沟进行清淤治理，千亩以上圩口排涝站进行技术改造及扩建；对灌溉面积</w:t>
      </w:r>
      <w:r>
        <w:rPr>
          <w:rFonts w:ascii="方正仿宋简体" w:eastAsia="方正仿宋简体" w:cs="方正仿宋简体"/>
          <w:sz w:val="32"/>
          <w:szCs w:val="32"/>
        </w:rPr>
        <w:t>100</w:t>
      </w:r>
      <w:r>
        <w:rPr>
          <w:rFonts w:hint="eastAsia" w:ascii="方正仿宋简体" w:eastAsia="方正仿宋简体" w:cs="方正仿宋简体"/>
          <w:sz w:val="32"/>
          <w:szCs w:val="32"/>
        </w:rPr>
        <w:t>亩以上灌区配套工程，梅龙、秋江两中型灌区和观山、八一、马衙、万成、汇丰、双丰六大万亩灌区渠系配套工程进行建设。</w:t>
      </w:r>
    </w:p>
    <w:p w14:paraId="42186769">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发展资源水利。</w:t>
      </w:r>
      <w:r>
        <w:rPr>
          <w:rFonts w:hint="eastAsia" w:ascii="方正仿宋简体" w:eastAsia="方正仿宋简体" w:cs="方正仿宋简体"/>
          <w:sz w:val="32"/>
          <w:szCs w:val="32"/>
        </w:rPr>
        <w:t>以强化水资源统一管理、优化配置为核心，注重制度建设和体制创新，统筹水资源的开发、利用、治理、配置、节约和保护，以水资源的可持续利用支撑经济社会的可持续发展。实施最严格的水资源管理制度，建立用水总量控制、用水效率控制和水功能区限制纳污“三项制度”，划定用水总量、用水效率和水功能区限制纳污“三条红线”。</w:t>
      </w:r>
    </w:p>
    <w:p w14:paraId="6C4A0A56">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构筑民生水利。</w:t>
      </w:r>
      <w:r>
        <w:rPr>
          <w:rFonts w:hint="eastAsia" w:ascii="方正仿宋简体" w:eastAsia="方正仿宋简体" w:cs="方正仿宋简体"/>
          <w:sz w:val="32"/>
          <w:szCs w:val="32"/>
        </w:rPr>
        <w:t>继续实施农村人口饮水安全工程，全面完成小（</w:t>
      </w:r>
      <w:r>
        <w:rPr>
          <w:rFonts w:ascii="方正仿宋简体" w:eastAsia="方正仿宋简体" w:cs="方正仿宋简体"/>
          <w:sz w:val="32"/>
          <w:szCs w:val="32"/>
        </w:rPr>
        <w:t>2</w:t>
      </w:r>
      <w:r>
        <w:rPr>
          <w:rFonts w:hint="eastAsia" w:ascii="方正仿宋简体" w:eastAsia="方正仿宋简体" w:cs="方正仿宋简体"/>
          <w:sz w:val="32"/>
          <w:szCs w:val="32"/>
        </w:rPr>
        <w:t>）型水库除险加固和</w:t>
      </w:r>
      <w:r>
        <w:rPr>
          <w:rFonts w:ascii="方正仿宋简体" w:eastAsia="方正仿宋简体" w:cs="方正仿宋简体"/>
          <w:sz w:val="32"/>
          <w:szCs w:val="32"/>
        </w:rPr>
        <w:t>5</w:t>
      </w:r>
      <w:r>
        <w:rPr>
          <w:rFonts w:hint="eastAsia" w:ascii="方正仿宋简体" w:eastAsia="方正仿宋简体" w:cs="方正仿宋简体"/>
          <w:sz w:val="32"/>
          <w:szCs w:val="32"/>
        </w:rPr>
        <w:t>万立方米以上当家塘扩挖加固任务，实施病险涵闸拆除重建工程和部分水电站拆除重建，着力改造提升小型水利工程，加强水利血防工程建设。</w:t>
      </w:r>
    </w:p>
    <w:p w14:paraId="6B2CA6BC">
      <w:pPr>
        <w:pStyle w:val="23"/>
        <w:adjustRightInd w:val="0"/>
        <w:snapToGrid w:val="0"/>
        <w:spacing w:before="0" w:after="0" w:line="620" w:lineRule="exact"/>
        <w:ind w:firstLine="643" w:firstLineChars="200"/>
        <w:rPr>
          <w:rFonts w:ascii="仿宋_GB2312" w:eastAsia="仿宋_GB2312" w:cs="Times New Roman"/>
          <w:sz w:val="30"/>
          <w:szCs w:val="30"/>
        </w:rPr>
      </w:pPr>
      <w:r>
        <w:rPr>
          <w:rFonts w:hint="eastAsia" w:ascii="方正楷体简体" w:eastAsia="方正楷体简体" w:cs="方正楷体简体"/>
          <w:b/>
          <w:bCs/>
          <w:sz w:val="32"/>
          <w:szCs w:val="32"/>
        </w:rPr>
        <w:t>推进生态水利。</w:t>
      </w:r>
      <w:r>
        <w:rPr>
          <w:rFonts w:hint="eastAsia" w:ascii="方正仿宋简体" w:eastAsia="方正仿宋简体" w:cs="方正仿宋简体"/>
          <w:sz w:val="32"/>
          <w:szCs w:val="32"/>
        </w:rPr>
        <w:t>开展水环境保护和水生态整治。对农村沟渠与排水系统进行建设和整治。实施水土保持、坡耕地水土流失综合治理工程，建设秋浦河下游滨水景观工程，加快沿江圩区、湖泊综合治理，恢复和保护湿地。实施应急水源地建设工程、江湖河连通工程。</w:t>
      </w:r>
    </w:p>
    <w:p w14:paraId="1DB847D9">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完善管护机制。</w:t>
      </w:r>
      <w:r>
        <w:rPr>
          <w:rFonts w:hint="eastAsia" w:ascii="方正仿宋简体" w:eastAsia="方正仿宋简体" w:cs="方正仿宋简体"/>
          <w:sz w:val="32"/>
          <w:szCs w:val="32"/>
        </w:rPr>
        <w:t>逐步建立起新的工程管理体制和良性运行机制，明确水利工程产权，搞活经营方式，落实管护责任，保障安全运行，提升管理水平，做到建、管、用相一致，责、权、利相统一。</w:t>
      </w:r>
    </w:p>
    <w:p w14:paraId="69115CDF">
      <w:pPr>
        <w:spacing w:line="620" w:lineRule="exact"/>
        <w:jc w:val="center"/>
        <w:rPr>
          <w:rFonts w:ascii="宋体"/>
          <w:b/>
          <w:bCs/>
          <w:color w:val="000000"/>
          <w:sz w:val="28"/>
          <w:szCs w:val="28"/>
        </w:rPr>
      </w:pPr>
      <w:bookmarkStart w:id="171" w:name="_Toc281646614"/>
      <w:bookmarkStart w:id="172" w:name="_Toc10698"/>
      <w:bookmarkStart w:id="173" w:name="_Toc24304"/>
      <w:bookmarkStart w:id="174" w:name="_Toc17418"/>
      <w:bookmarkStart w:id="175" w:name="_Toc432405462"/>
      <w:bookmarkStart w:id="176" w:name="_Toc432670961"/>
      <w:bookmarkStart w:id="177" w:name="_Toc430532514"/>
      <w:r>
        <w:rPr>
          <w:rFonts w:hint="eastAsia" w:ascii="宋体" w:hAnsi="宋体" w:cs="宋体"/>
          <w:b/>
          <w:bCs/>
          <w:color w:val="000000"/>
          <w:sz w:val="28"/>
          <w:szCs w:val="28"/>
        </w:rPr>
        <w:t>专栏</w:t>
      </w:r>
      <w:r>
        <w:rPr>
          <w:rFonts w:ascii="宋体" w:hAnsi="宋体" w:cs="宋体"/>
          <w:b/>
          <w:bCs/>
          <w:color w:val="000000"/>
          <w:sz w:val="28"/>
          <w:szCs w:val="28"/>
        </w:rPr>
        <w:t xml:space="preserve">16  </w:t>
      </w:r>
      <w:r>
        <w:rPr>
          <w:rFonts w:hint="eastAsia" w:ascii="宋体" w:hAnsi="宋体" w:cs="宋体"/>
          <w:b/>
          <w:bCs/>
          <w:color w:val="000000"/>
          <w:sz w:val="28"/>
          <w:szCs w:val="28"/>
        </w:rPr>
        <w:t>水利重点建设项目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432B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A61C19C">
            <w:pPr>
              <w:spacing w:line="560" w:lineRule="exact"/>
              <w:ind w:firstLine="562" w:firstLineChars="200"/>
              <w:rPr>
                <w:rFonts w:ascii="方正仿宋简体" w:hAnsi="宋体" w:eastAsia="方正仿宋简体"/>
                <w:sz w:val="28"/>
                <w:szCs w:val="28"/>
              </w:rPr>
            </w:pPr>
            <w:r>
              <w:rPr>
                <w:rFonts w:hint="eastAsia" w:ascii="方正楷体简体" w:hAnsi="宋体" w:eastAsia="方正楷体简体" w:cs="方正楷体简体"/>
                <w:b/>
                <w:bCs/>
                <w:sz w:val="28"/>
                <w:szCs w:val="28"/>
              </w:rPr>
              <w:t>河道治理工程：</w:t>
            </w:r>
            <w:r>
              <w:rPr>
                <w:rFonts w:hint="eastAsia" w:ascii="方正仿宋简体" w:hAnsi="宋体" w:eastAsia="方正仿宋简体" w:cs="方正仿宋简体"/>
                <w:sz w:val="28"/>
                <w:szCs w:val="28"/>
              </w:rPr>
              <w:t>主要推动贵池区九华河墩上段防洪治理工程、贵池区大通河双丰段防洪治理工程、贵池区秋浦河灌口段防洪治理工程、贵池区黄湓河唐田段防洪治理工程、贵池区大通河庆丰～跃进段防洪治理工程、贵池区秋浦河牌楼段防洪治理工程、贵池区木闸河防洪治理工程、</w:t>
            </w:r>
            <w:r>
              <w:rPr>
                <w:rFonts w:hint="eastAsia" w:ascii="方正仿宋简体" w:hAnsi="宋体" w:eastAsia="方正仿宋简体" w:cs="方正仿宋简体"/>
                <w:color w:val="000000"/>
                <w:sz w:val="28"/>
                <w:szCs w:val="28"/>
              </w:rPr>
              <w:t>龙舒河出口段防洪治理工程以及小流域综合治理工程</w:t>
            </w:r>
            <w:r>
              <w:rPr>
                <w:rFonts w:hint="eastAsia" w:ascii="方正仿宋简体" w:hAnsi="宋体" w:eastAsia="方正仿宋简体" w:cs="方正仿宋简体"/>
                <w:sz w:val="28"/>
                <w:szCs w:val="28"/>
              </w:rPr>
              <w:t>等项目建设。</w:t>
            </w:r>
          </w:p>
          <w:p w14:paraId="13039ED7">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sz w:val="28"/>
                <w:szCs w:val="28"/>
              </w:rPr>
              <w:t>除险加固工程：</w:t>
            </w:r>
            <w:r>
              <w:rPr>
                <w:rFonts w:hint="eastAsia" w:ascii="方正仿宋简体" w:hAnsi="宋体" w:eastAsia="方正仿宋简体" w:cs="方正仿宋简体"/>
                <w:sz w:val="28"/>
                <w:szCs w:val="28"/>
              </w:rPr>
              <w:t>主要推动水库</w:t>
            </w:r>
            <w:r>
              <w:rPr>
                <w:rFonts w:hint="eastAsia" w:ascii="方正仿宋简体" w:hAnsi="宋体" w:eastAsia="方正仿宋简体" w:cs="方正仿宋简体"/>
                <w:color w:val="000000"/>
                <w:sz w:val="28"/>
                <w:szCs w:val="28"/>
              </w:rPr>
              <w:t>大坝</w:t>
            </w:r>
            <w:r>
              <w:rPr>
                <w:rFonts w:hint="eastAsia" w:ascii="方正仿宋简体" w:hAnsi="宋体" w:eastAsia="方正仿宋简体" w:cs="方正仿宋简体"/>
                <w:sz w:val="28"/>
                <w:szCs w:val="28"/>
              </w:rPr>
              <w:t>除险加固、</w:t>
            </w:r>
            <w:r>
              <w:rPr>
                <w:rFonts w:hint="eastAsia" w:ascii="方正仿宋简体" w:hAnsi="宋体" w:eastAsia="方正仿宋简体" w:cs="方正仿宋简体"/>
                <w:color w:val="000000"/>
                <w:sz w:val="28"/>
                <w:szCs w:val="28"/>
              </w:rPr>
              <w:t>栗坑河山洪沟治理、</w:t>
            </w:r>
            <w:r>
              <w:rPr>
                <w:rFonts w:hint="eastAsia" w:ascii="方正仿宋简体" w:hAnsi="宋体" w:eastAsia="方正仿宋简体" w:cs="方正仿宋简体"/>
                <w:sz w:val="28"/>
                <w:szCs w:val="28"/>
              </w:rPr>
              <w:t>小型农田水利工程改造提升、</w:t>
            </w:r>
            <w:r>
              <w:rPr>
                <w:rFonts w:hint="eastAsia" w:ascii="方正仿宋简体" w:hAnsi="宋体" w:eastAsia="方正仿宋简体" w:cs="方正仿宋简体"/>
                <w:color w:val="000000"/>
                <w:sz w:val="28"/>
                <w:szCs w:val="28"/>
              </w:rPr>
              <w:t>秋江圩江堤崩岸治理、大同圩江堤崩岸治理、江堤护岸、秋江圩江堤下坝和建国闸拆建工程以及万兴圩、秋江圩、同义圩、大同圩、唐田圩堤防加固等项目建设。</w:t>
            </w:r>
          </w:p>
          <w:p w14:paraId="0D7B24E0">
            <w:pPr>
              <w:spacing w:line="560" w:lineRule="exact"/>
              <w:ind w:firstLine="562" w:firstLineChars="200"/>
              <w:rPr>
                <w:rFonts w:ascii="方正仿宋简体" w:eastAsia="方正仿宋简体"/>
                <w:sz w:val="28"/>
                <w:szCs w:val="28"/>
              </w:rPr>
            </w:pPr>
            <w:r>
              <w:rPr>
                <w:rFonts w:hint="eastAsia" w:ascii="方正楷体简体" w:hAnsi="宋体" w:eastAsia="方正楷体简体" w:cs="方正楷体简体"/>
                <w:b/>
                <w:bCs/>
                <w:sz w:val="28"/>
                <w:szCs w:val="28"/>
              </w:rPr>
              <w:t>水厂及水源改造工程：</w:t>
            </w:r>
            <w:r>
              <w:rPr>
                <w:rFonts w:hint="eastAsia" w:ascii="方正仿宋简体" w:eastAsia="方正仿宋简体" w:cs="方正仿宋简体"/>
                <w:sz w:val="28"/>
                <w:szCs w:val="28"/>
              </w:rPr>
              <w:t>主要推动</w:t>
            </w:r>
            <w:r>
              <w:rPr>
                <w:rFonts w:hint="eastAsia" w:ascii="方正仿宋简体" w:hAnsi="宋体" w:eastAsia="方正仿宋简体" w:cs="方正仿宋简体"/>
                <w:color w:val="000000"/>
                <w:sz w:val="28"/>
                <w:szCs w:val="28"/>
              </w:rPr>
              <w:t>梅龙街道观前水厂、里山街道解放水厂、牌楼镇牌楼水厂、梅龙街道同心水厂、乌沙镇乌沙水改扩建工程，墩上街道茅坦水厂、马衙街道马衙水厂、棠溪镇棠溪水厂、梅村镇梅村水厂、殷汇镇秋浦水厂水源改造工程，谷潭、天生湖、下丰赛、万子圩、建国、宝赛、木闸河等泵站技术改造，以及墩上街道墩上水厂、马衙街道马衙水厂、涓桥镇涓桥水厂、殷汇镇秋浦水厂、殷汇镇秋江水厂、梅街镇梅街中心水厂集镇供水管网延伸改造工程。</w:t>
            </w:r>
          </w:p>
          <w:p w14:paraId="2B036A5A">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sz w:val="28"/>
                <w:szCs w:val="28"/>
              </w:rPr>
              <w:t>水环境治理工程：</w:t>
            </w:r>
            <w:r>
              <w:rPr>
                <w:rFonts w:hint="eastAsia" w:ascii="方正仿宋简体" w:eastAsia="方正仿宋简体" w:cs="方正仿宋简体"/>
                <w:sz w:val="28"/>
                <w:szCs w:val="28"/>
              </w:rPr>
              <w:t>主要推动</w:t>
            </w:r>
            <w:r>
              <w:rPr>
                <w:rFonts w:hint="eastAsia" w:ascii="方正仿宋简体" w:hAnsi="宋体" w:eastAsia="方正仿宋简体" w:cs="方正仿宋简体"/>
                <w:color w:val="000000"/>
                <w:sz w:val="28"/>
                <w:szCs w:val="28"/>
              </w:rPr>
              <w:t>池州市秋浦河下游水环境综合治理、元四村水环境治理等工程建设。</w:t>
            </w:r>
          </w:p>
          <w:p w14:paraId="68CAFD69">
            <w:pPr>
              <w:spacing w:line="560" w:lineRule="exact"/>
              <w:ind w:firstLine="562" w:firstLineChars="200"/>
              <w:rPr>
                <w:rFonts w:ascii="方正仿宋简体" w:hAnsi="宋体" w:eastAsia="方正仿宋简体"/>
                <w:sz w:val="28"/>
                <w:szCs w:val="28"/>
              </w:rPr>
            </w:pPr>
            <w:r>
              <w:rPr>
                <w:rFonts w:hint="eastAsia" w:ascii="方正楷体简体" w:hAnsi="宋体" w:eastAsia="方正楷体简体" w:cs="方正楷体简体"/>
                <w:b/>
                <w:bCs/>
                <w:sz w:val="28"/>
                <w:szCs w:val="28"/>
              </w:rPr>
              <w:t>农田水利工程：</w:t>
            </w:r>
            <w:r>
              <w:rPr>
                <w:rFonts w:hint="eastAsia" w:ascii="方正仿宋简体" w:eastAsia="方正仿宋简体" w:cs="方正仿宋简体"/>
                <w:sz w:val="28"/>
                <w:szCs w:val="28"/>
              </w:rPr>
              <w:t>主要推动</w:t>
            </w:r>
            <w:r>
              <w:rPr>
                <w:rFonts w:hint="eastAsia" w:ascii="方正仿宋简体" w:hAnsi="宋体" w:eastAsia="方正仿宋简体" w:cs="方正仿宋简体"/>
                <w:sz w:val="28"/>
                <w:szCs w:val="28"/>
              </w:rPr>
              <w:t>贵池区小型农田水利重点县项目、梅龙灌区配套工程、秋江圩灌区配套工程等项目建设。</w:t>
            </w:r>
          </w:p>
          <w:p w14:paraId="778FDF33">
            <w:pPr>
              <w:spacing w:line="560" w:lineRule="exact"/>
              <w:ind w:firstLine="562" w:firstLineChars="200"/>
              <w:rPr>
                <w:rFonts w:ascii="方正仿宋简体" w:eastAsia="方正仿宋简体"/>
                <w:sz w:val="28"/>
                <w:szCs w:val="28"/>
              </w:rPr>
            </w:pPr>
            <w:r>
              <w:rPr>
                <w:rFonts w:hint="eastAsia" w:ascii="方正楷体简体" w:hAnsi="宋体" w:eastAsia="方正楷体简体" w:cs="方正楷体简体"/>
                <w:b/>
                <w:bCs/>
                <w:sz w:val="28"/>
                <w:szCs w:val="28"/>
              </w:rPr>
              <w:t>水土保持工程：</w:t>
            </w:r>
            <w:r>
              <w:rPr>
                <w:rFonts w:hint="eastAsia" w:ascii="方正仿宋简体" w:eastAsia="方正仿宋简体" w:cs="方正仿宋简体"/>
                <w:sz w:val="28"/>
                <w:szCs w:val="28"/>
              </w:rPr>
              <w:t>主要推动</w:t>
            </w:r>
            <w:r>
              <w:rPr>
                <w:rFonts w:hint="eastAsia" w:ascii="方正仿宋简体" w:hAnsi="宋体" w:eastAsia="方正仿宋简体" w:cs="方正仿宋简体"/>
                <w:color w:val="000000"/>
                <w:sz w:val="28"/>
                <w:szCs w:val="28"/>
              </w:rPr>
              <w:t>墩上区坡耕地水土流失综合治理、小流域重点水土保持工程等项目建设。</w:t>
            </w:r>
          </w:p>
          <w:p w14:paraId="118AC704">
            <w:pPr>
              <w:spacing w:line="560" w:lineRule="exact"/>
              <w:ind w:firstLine="562" w:firstLineChars="200"/>
              <w:jc w:val="left"/>
              <w:rPr>
                <w:rFonts w:ascii="宋体"/>
                <w:b/>
                <w:bCs/>
                <w:color w:val="000000"/>
                <w:kern w:val="0"/>
                <w:sz w:val="28"/>
                <w:szCs w:val="28"/>
              </w:rPr>
            </w:pPr>
            <w:r>
              <w:rPr>
                <w:rFonts w:hint="eastAsia" w:ascii="方正楷体简体" w:hAnsi="宋体" w:eastAsia="方正楷体简体" w:cs="方正楷体简体"/>
                <w:b/>
                <w:bCs/>
                <w:sz w:val="28"/>
                <w:szCs w:val="28"/>
              </w:rPr>
              <w:t>水利血防工程：</w:t>
            </w:r>
            <w:r>
              <w:rPr>
                <w:rFonts w:hint="eastAsia" w:ascii="方正仿宋简体" w:hAnsi="宋体" w:eastAsia="方正仿宋简体" w:cs="方正仿宋简体"/>
                <w:color w:val="000000"/>
                <w:sz w:val="28"/>
                <w:szCs w:val="28"/>
              </w:rPr>
              <w:t>主要进行渠道衬砌硬化、河道治理、涵闸改建，新建防螺平台和护坡等。重点推</w:t>
            </w:r>
            <w:r>
              <w:rPr>
                <w:rFonts w:hint="eastAsia" w:ascii="方正仿宋简体" w:hAnsi="宋体" w:eastAsia="方正仿宋简体" w:cs="方正仿宋简体"/>
                <w:sz w:val="28"/>
                <w:szCs w:val="28"/>
              </w:rPr>
              <w:t>动贵池区水利血防</w:t>
            </w:r>
            <w:r>
              <w:rPr>
                <w:rFonts w:hint="eastAsia" w:ascii="方正仿宋简体" w:hAnsi="宋体" w:eastAsia="方正仿宋简体" w:cs="方正仿宋简体"/>
                <w:color w:val="000000"/>
                <w:sz w:val="28"/>
                <w:szCs w:val="28"/>
              </w:rPr>
              <w:t>杏花村杏花联圩、天生圩、谷潭圩灌区改造工程，贵池区水利血防秋浦河殷汇段综合治理工程，贵池区九华河墩上、观前灌区水利血防工程等重点项目建设。</w:t>
            </w:r>
          </w:p>
        </w:tc>
      </w:tr>
    </w:tbl>
    <w:p w14:paraId="41C94006">
      <w:pPr>
        <w:rPr>
          <w:color w:val="000000"/>
        </w:rPr>
      </w:pPr>
    </w:p>
    <w:p w14:paraId="13AE5C9B">
      <w:pPr>
        <w:pStyle w:val="4"/>
        <w:spacing w:after="60" w:line="480" w:lineRule="auto"/>
        <w:ind w:firstLine="643" w:firstLineChars="200"/>
        <w:jc w:val="left"/>
        <w:rPr>
          <w:rFonts w:ascii="方正仿宋简体" w:hAnsi="黑体" w:eastAsia="方正仿宋简体"/>
        </w:rPr>
      </w:pPr>
      <w:bookmarkStart w:id="178" w:name="_Toc449037262"/>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强化能源保障</w:t>
      </w:r>
      <w:bookmarkEnd w:id="171"/>
      <w:bookmarkEnd w:id="172"/>
      <w:bookmarkEnd w:id="173"/>
      <w:bookmarkEnd w:id="174"/>
      <w:bookmarkEnd w:id="175"/>
      <w:bookmarkEnd w:id="176"/>
      <w:bookmarkEnd w:id="177"/>
      <w:bookmarkEnd w:id="178"/>
    </w:p>
    <w:p w14:paraId="173DE0F6">
      <w:pPr>
        <w:pStyle w:val="23"/>
        <w:adjustRightInd w:val="0"/>
        <w:snapToGrid w:val="0"/>
        <w:spacing w:before="0" w:after="0" w:line="620" w:lineRule="exact"/>
        <w:ind w:firstLine="640" w:firstLineChars="200"/>
        <w:rPr>
          <w:rFonts w:ascii="方正仿宋简体" w:eastAsia="方正仿宋简体" w:cs="Times New Roman"/>
          <w:sz w:val="32"/>
          <w:szCs w:val="32"/>
        </w:rPr>
      </w:pPr>
      <w:r>
        <w:rPr>
          <w:rFonts w:ascii="方正仿宋简体" w:eastAsia="方正仿宋简体" w:cs="方正仿宋简体"/>
          <w:sz w:val="32"/>
          <w:szCs w:val="32"/>
        </w:rPr>
        <w:t>2020</w:t>
      </w:r>
      <w:r>
        <w:rPr>
          <w:rFonts w:hint="eastAsia" w:ascii="方正仿宋简体" w:eastAsia="方正仿宋简体" w:cs="方正仿宋简体"/>
          <w:sz w:val="32"/>
          <w:szCs w:val="32"/>
        </w:rPr>
        <w:t>年电力需求总量为</w:t>
      </w:r>
      <w:r>
        <w:rPr>
          <w:rFonts w:ascii="方正仿宋简体" w:hAnsi="仿宋" w:eastAsia="方正仿宋简体" w:cs="方正仿宋简体"/>
          <w:color w:val="auto"/>
          <w:sz w:val="32"/>
          <w:szCs w:val="32"/>
        </w:rPr>
        <w:t>23.6</w:t>
      </w:r>
      <w:r>
        <w:rPr>
          <w:rFonts w:hint="eastAsia" w:ascii="方正仿宋简体" w:eastAsia="方正仿宋简体" w:cs="方正仿宋简体"/>
          <w:sz w:val="32"/>
          <w:szCs w:val="32"/>
        </w:rPr>
        <w:t>亿千瓦时，人均综合用电量</w:t>
      </w:r>
      <w:r>
        <w:rPr>
          <w:rFonts w:ascii="方正仿宋简体" w:hAnsi="仿宋" w:eastAsia="方正仿宋简体" w:cs="方正仿宋简体"/>
          <w:color w:val="auto"/>
          <w:sz w:val="32"/>
          <w:szCs w:val="32"/>
        </w:rPr>
        <w:t>3500</w:t>
      </w:r>
      <w:r>
        <w:rPr>
          <w:rFonts w:hint="eastAsia" w:ascii="方正仿宋简体" w:eastAsia="方正仿宋简体" w:cs="方正仿宋简体"/>
          <w:sz w:val="32"/>
          <w:szCs w:val="32"/>
        </w:rPr>
        <w:t>千瓦时，最高电力负荷</w:t>
      </w:r>
      <w:r>
        <w:rPr>
          <w:rFonts w:ascii="方正仿宋简体" w:hAnsi="仿宋" w:eastAsia="方正仿宋简体" w:cs="方正仿宋简体"/>
          <w:color w:val="auto"/>
          <w:sz w:val="32"/>
          <w:szCs w:val="32"/>
        </w:rPr>
        <w:t>44.5</w:t>
      </w:r>
      <w:r>
        <w:rPr>
          <w:rFonts w:hint="eastAsia" w:ascii="方正仿宋简体" w:eastAsia="方正仿宋简体" w:cs="方正仿宋简体"/>
          <w:sz w:val="32"/>
          <w:szCs w:val="32"/>
        </w:rPr>
        <w:t>万千瓦。完成</w:t>
      </w:r>
      <w:r>
        <w:rPr>
          <w:rFonts w:ascii="方正仿宋简体" w:eastAsia="方正仿宋简体" w:cs="方正仿宋简体"/>
          <w:sz w:val="32"/>
          <w:szCs w:val="32"/>
        </w:rPr>
        <w:t>500kV</w:t>
      </w:r>
      <w:r>
        <w:rPr>
          <w:rFonts w:hint="eastAsia" w:ascii="方正仿宋简体" w:eastAsia="方正仿宋简体" w:cs="方正仿宋简体"/>
          <w:sz w:val="32"/>
          <w:szCs w:val="32"/>
        </w:rPr>
        <w:t>涓桥变建设，新建江南、查村</w:t>
      </w:r>
      <w:r>
        <w:rPr>
          <w:rFonts w:ascii="方正仿宋简体" w:eastAsia="方正仿宋简体" w:cs="方正仿宋简体"/>
          <w:sz w:val="32"/>
          <w:szCs w:val="32"/>
        </w:rPr>
        <w:t>220kV</w:t>
      </w:r>
      <w:r>
        <w:rPr>
          <w:rFonts w:hint="eastAsia" w:ascii="方正仿宋简体" w:eastAsia="方正仿宋简体" w:cs="方正仿宋简体"/>
          <w:sz w:val="32"/>
          <w:szCs w:val="32"/>
        </w:rPr>
        <w:t>变电站，新建清溪、秋江、梅龙等</w:t>
      </w:r>
      <w:r>
        <w:rPr>
          <w:rFonts w:ascii="方正仿宋简体" w:eastAsia="方正仿宋简体" w:cs="方正仿宋简体"/>
          <w:sz w:val="32"/>
          <w:szCs w:val="32"/>
        </w:rPr>
        <w:t>110kV</w:t>
      </w:r>
      <w:r>
        <w:rPr>
          <w:rFonts w:hint="eastAsia" w:ascii="方正仿宋简体" w:eastAsia="方正仿宋简体" w:cs="方正仿宋简体"/>
          <w:sz w:val="32"/>
          <w:szCs w:val="32"/>
        </w:rPr>
        <w:t>变电站，积极推进中心城区电缆敷设工程，实施农村电网改造，完善输变电网络，提高供电网络的可靠性、安全性和经济性。有序推进城镇天然气输配管网工程建设，规划建设</w:t>
      </w:r>
      <w:r>
        <w:rPr>
          <w:rFonts w:ascii="方正仿宋简体" w:eastAsia="方正仿宋简体" w:cs="方正仿宋简体"/>
          <w:sz w:val="32"/>
          <w:szCs w:val="32"/>
        </w:rPr>
        <w:t>LNG</w:t>
      </w:r>
      <w:r>
        <w:rPr>
          <w:rFonts w:hint="eastAsia" w:ascii="方正仿宋简体" w:eastAsia="方正仿宋简体" w:cs="方正仿宋简体"/>
          <w:sz w:val="32"/>
          <w:szCs w:val="32"/>
        </w:rPr>
        <w:t>接收站和储气设施，加快天然气</w:t>
      </w:r>
      <w:r>
        <w:rPr>
          <w:rFonts w:ascii="方正仿宋简体" w:eastAsia="方正仿宋简体" w:cs="方正仿宋简体"/>
          <w:sz w:val="32"/>
          <w:szCs w:val="32"/>
        </w:rPr>
        <w:t>CNG</w:t>
      </w:r>
      <w:r>
        <w:rPr>
          <w:rFonts w:hint="eastAsia" w:ascii="方正仿宋简体" w:eastAsia="方正仿宋简体" w:cs="方正仿宋简体"/>
          <w:sz w:val="32"/>
          <w:szCs w:val="32"/>
        </w:rPr>
        <w:t>、</w:t>
      </w:r>
      <w:r>
        <w:rPr>
          <w:rFonts w:ascii="方正仿宋简体" w:eastAsia="方正仿宋简体" w:cs="方正仿宋简体"/>
          <w:sz w:val="32"/>
          <w:szCs w:val="32"/>
        </w:rPr>
        <w:t>LNG</w:t>
      </w:r>
      <w:r>
        <w:rPr>
          <w:rFonts w:hint="eastAsia" w:ascii="方正仿宋简体" w:eastAsia="方正仿宋简体" w:cs="方正仿宋简体"/>
          <w:sz w:val="32"/>
          <w:szCs w:val="32"/>
        </w:rPr>
        <w:t>加气站建设，加快老小区的管网建设和改造。加快梅龙供气管网建设，实施管输供气。</w:t>
      </w:r>
    </w:p>
    <w:p w14:paraId="30F03AB5">
      <w:pPr>
        <w:pStyle w:val="23"/>
        <w:adjustRightInd w:val="0"/>
        <w:snapToGrid w:val="0"/>
        <w:spacing w:before="0" w:after="0" w:line="620" w:lineRule="exact"/>
        <w:ind w:firstLine="640" w:firstLineChars="200"/>
        <w:rPr>
          <w:rFonts w:ascii="方正仿宋简体" w:eastAsia="方正仿宋简体" w:cs="Times New Roman"/>
          <w:sz w:val="32"/>
          <w:szCs w:val="32"/>
        </w:rPr>
      </w:pPr>
    </w:p>
    <w:p w14:paraId="7050FD07">
      <w:pPr>
        <w:spacing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17  </w:t>
      </w:r>
      <w:r>
        <w:rPr>
          <w:rFonts w:hint="eastAsia" w:ascii="宋体" w:hAnsi="宋体" w:cs="宋体"/>
          <w:b/>
          <w:bCs/>
          <w:color w:val="000000"/>
          <w:sz w:val="28"/>
          <w:szCs w:val="28"/>
        </w:rPr>
        <w:t>能源重点建设项目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51F6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000" w:type="pct"/>
          </w:tcPr>
          <w:p w14:paraId="6B3E8D22">
            <w:pPr>
              <w:spacing w:line="560" w:lineRule="exact"/>
              <w:ind w:firstLine="560" w:firstLineChars="200"/>
              <w:rPr>
                <w:rFonts w:ascii="方正仿宋简体" w:hAnsi="宋体" w:eastAsia="方正仿宋简体"/>
                <w:color w:val="000000"/>
                <w:kern w:val="0"/>
                <w:sz w:val="28"/>
                <w:szCs w:val="28"/>
              </w:rPr>
            </w:pPr>
            <w:r>
              <w:rPr>
                <w:rFonts w:hint="eastAsia" w:ascii="方正仿宋简体" w:hAnsi="宋体" w:eastAsia="方正仿宋简体" w:cs="方正仿宋简体"/>
                <w:color w:val="000000"/>
                <w:kern w:val="0"/>
                <w:sz w:val="28"/>
                <w:szCs w:val="28"/>
              </w:rPr>
              <w:t>主要推动</w:t>
            </w:r>
            <w:r>
              <w:rPr>
                <w:rFonts w:hint="eastAsia" w:ascii="方正仿宋简体" w:hAnsi="宋体" w:eastAsia="方正仿宋简体" w:cs="方正仿宋简体"/>
                <w:color w:val="000000"/>
                <w:sz w:val="28"/>
                <w:szCs w:val="28"/>
              </w:rPr>
              <w:t>贵池区农村电网改造升级工程、前江工业园区余热资源循环综合利用暨集中供热示范项目、唐田镇</w:t>
            </w:r>
            <w:r>
              <w:rPr>
                <w:rFonts w:ascii="方正仿宋简体" w:hAnsi="宋体" w:eastAsia="方正仿宋简体" w:cs="方正仿宋简体"/>
                <w:color w:val="000000"/>
                <w:sz w:val="28"/>
                <w:szCs w:val="28"/>
              </w:rPr>
              <w:t>55</w:t>
            </w:r>
            <w:r>
              <w:rPr>
                <w:rFonts w:hint="eastAsia" w:ascii="方正仿宋简体" w:hAnsi="宋体" w:eastAsia="方正仿宋简体" w:cs="方正仿宋简体"/>
                <w:color w:val="000000"/>
                <w:sz w:val="28"/>
                <w:szCs w:val="28"/>
              </w:rPr>
              <w:t>兆瓦光伏发电、牛头山镇长丰</w:t>
            </w:r>
            <w:r>
              <w:rPr>
                <w:rFonts w:ascii="方正仿宋简体" w:hAnsi="宋体" w:eastAsia="方正仿宋简体" w:cs="方正仿宋简体"/>
                <w:color w:val="000000"/>
                <w:sz w:val="28"/>
                <w:szCs w:val="28"/>
              </w:rPr>
              <w:t>40</w:t>
            </w:r>
            <w:r>
              <w:rPr>
                <w:rFonts w:hint="eastAsia" w:ascii="方正仿宋简体" w:hAnsi="宋体" w:eastAsia="方正仿宋简体" w:cs="方正仿宋简体"/>
                <w:color w:val="000000"/>
                <w:sz w:val="28"/>
                <w:szCs w:val="28"/>
              </w:rPr>
              <w:t>兆瓦光伏发电、牌楼镇光伏发电、乌沙镇新庄村</w:t>
            </w:r>
            <w:r>
              <w:rPr>
                <w:rFonts w:ascii="方正仿宋简体" w:hAnsi="宋体" w:eastAsia="方正仿宋简体" w:cs="方正仿宋简体"/>
                <w:color w:val="000000"/>
                <w:sz w:val="28"/>
                <w:szCs w:val="28"/>
              </w:rPr>
              <w:t>80MW</w:t>
            </w:r>
            <w:r>
              <w:rPr>
                <w:rFonts w:hint="eastAsia" w:ascii="方正仿宋简体" w:hAnsi="宋体" w:eastAsia="方正仿宋简体" w:cs="方正仿宋简体"/>
                <w:color w:val="000000"/>
                <w:sz w:val="28"/>
                <w:szCs w:val="28"/>
              </w:rPr>
              <w:t>光伏发电、乌沙西湖渔光互补、中科阳光分布式光伏发电、唐田镇</w:t>
            </w:r>
            <w:r>
              <w:rPr>
                <w:rFonts w:ascii="方正仿宋简体" w:hAnsi="宋体" w:eastAsia="方正仿宋简体" w:cs="方正仿宋简体"/>
                <w:color w:val="000000"/>
                <w:sz w:val="28"/>
                <w:szCs w:val="28"/>
              </w:rPr>
              <w:t>100</w:t>
            </w:r>
            <w:r>
              <w:rPr>
                <w:rFonts w:hint="eastAsia" w:ascii="方正仿宋简体" w:hAnsi="宋体" w:eastAsia="方正仿宋简体" w:cs="方正仿宋简体"/>
                <w:color w:val="000000"/>
                <w:sz w:val="28"/>
                <w:szCs w:val="28"/>
              </w:rPr>
              <w:t>兆瓦风电、里山和梅街风力发电、滴水崖抽水蓄能电站、马衙抽水蓄电站以及大型沼气等项目建设。</w:t>
            </w:r>
          </w:p>
        </w:tc>
      </w:tr>
    </w:tbl>
    <w:p w14:paraId="269D61F9">
      <w:pPr>
        <w:pStyle w:val="23"/>
        <w:adjustRightInd w:val="0"/>
        <w:snapToGrid w:val="0"/>
        <w:spacing w:before="0" w:after="0" w:line="620" w:lineRule="exact"/>
        <w:ind w:firstLine="600" w:firstLineChars="200"/>
        <w:rPr>
          <w:rFonts w:ascii="仿宋_GB2312" w:eastAsia="仿宋_GB2312" w:cs="Times New Roman"/>
          <w:sz w:val="30"/>
          <w:szCs w:val="30"/>
        </w:rPr>
      </w:pPr>
    </w:p>
    <w:p w14:paraId="749B2935">
      <w:pPr>
        <w:pStyle w:val="4"/>
        <w:spacing w:after="60" w:line="480" w:lineRule="auto"/>
        <w:ind w:firstLine="643" w:firstLineChars="200"/>
        <w:jc w:val="left"/>
        <w:rPr>
          <w:rFonts w:ascii="方正仿宋简体" w:hAnsi="黑体" w:eastAsia="方正仿宋简体"/>
        </w:rPr>
      </w:pPr>
      <w:bookmarkStart w:id="179" w:name="_Toc432670962"/>
      <w:bookmarkStart w:id="180" w:name="_Toc449037263"/>
      <w:r>
        <w:rPr>
          <w:rFonts w:hint="eastAsia" w:ascii="方正仿宋简体" w:hAnsi="黑体" w:eastAsia="方正仿宋简体" w:cs="方正仿宋简体"/>
        </w:rPr>
        <w:t>第四节</w:t>
      </w:r>
      <w:r>
        <w:rPr>
          <w:rFonts w:ascii="方正仿宋简体" w:hAnsi="黑体" w:eastAsia="方正仿宋简体" w:cs="方正仿宋简体"/>
        </w:rPr>
        <w:t xml:space="preserve">  </w:t>
      </w:r>
      <w:r>
        <w:rPr>
          <w:rFonts w:hint="eastAsia" w:ascii="方正仿宋简体" w:hAnsi="黑体" w:eastAsia="方正仿宋简体" w:cs="方正仿宋简体"/>
        </w:rPr>
        <w:t>提升信息基础设施</w:t>
      </w:r>
      <w:bookmarkEnd w:id="179"/>
      <w:bookmarkEnd w:id="180"/>
    </w:p>
    <w:p w14:paraId="76E1F945">
      <w:pPr>
        <w:pStyle w:val="23"/>
        <w:adjustRightInd w:val="0"/>
        <w:snapToGrid w:val="0"/>
        <w:spacing w:before="0" w:after="0" w:line="620" w:lineRule="exact"/>
        <w:ind w:firstLine="640" w:firstLineChars="200"/>
        <w:rPr>
          <w:rFonts w:ascii="方正仿宋简体" w:eastAsia="方正仿宋简体" w:cs="Times New Roman"/>
          <w:sz w:val="32"/>
          <w:szCs w:val="32"/>
        </w:rPr>
      </w:pPr>
      <w:r>
        <w:rPr>
          <w:rFonts w:hint="eastAsia" w:ascii="方正仿宋简体" w:eastAsia="方正仿宋简体" w:cs="方正仿宋简体"/>
          <w:sz w:val="32"/>
          <w:szCs w:val="32"/>
        </w:rPr>
        <w:t>以“智慧贵池”建设为目标，加强信息化基础设施建设，推进电信网、广播电视网、互联网“三网融合”，实施骨干信息传输网建设工程，构筑城乡一体的高速信息网。加快光纤宽带网络建设提速和广播电视数字化改造，推动重要公共区域无线局域网覆盖和开放，支持重点功能性服务平台建设，形成高速安全的智能网络与信息安全体系。不断提高电子政务水平，加快完善电子政务平台建设和政府网上办公制度，推进办公自动化、无纸化和政府管理事项网上审批系统建设。以扩大覆盖、增强功能、创新消费、促进增长为导向，全面推进智能宽带网、智能移动网、智能政务网、智能商务网等建设。建立区云数据计算数据中心，建设全区公共信息共享交换平台与人口、法人、空间地理、建筑物等公共基础数据库。到</w:t>
      </w:r>
      <w:r>
        <w:rPr>
          <w:rFonts w:ascii="方正仿宋简体" w:eastAsia="方正仿宋简体" w:cs="方正仿宋简体"/>
          <w:sz w:val="32"/>
          <w:szCs w:val="32"/>
        </w:rPr>
        <w:t>2020</w:t>
      </w:r>
      <w:r>
        <w:rPr>
          <w:rFonts w:hint="eastAsia" w:ascii="方正仿宋简体" w:eastAsia="方正仿宋简体" w:cs="方正仿宋简体"/>
          <w:sz w:val="32"/>
          <w:szCs w:val="32"/>
        </w:rPr>
        <w:t>年，宽带网络全面覆盖城乡，固定宽带家庭普及率达到</w:t>
      </w:r>
      <w:r>
        <w:rPr>
          <w:rFonts w:ascii="方正仿宋简体" w:eastAsia="方正仿宋简体" w:cs="方正仿宋简体"/>
          <w:sz w:val="32"/>
          <w:szCs w:val="32"/>
        </w:rPr>
        <w:t>65%</w:t>
      </w:r>
      <w:r>
        <w:rPr>
          <w:rFonts w:hint="eastAsia" w:ascii="方正仿宋简体" w:eastAsia="方正仿宋简体" w:cs="方正仿宋简体"/>
          <w:sz w:val="32"/>
          <w:szCs w:val="32"/>
        </w:rPr>
        <w:t>，移动宽带用户普及率达到</w:t>
      </w:r>
      <w:r>
        <w:rPr>
          <w:rFonts w:ascii="方正仿宋简体" w:eastAsia="方正仿宋简体" w:cs="方正仿宋简体"/>
          <w:sz w:val="32"/>
          <w:szCs w:val="32"/>
        </w:rPr>
        <w:t>85%</w:t>
      </w:r>
      <w:r>
        <w:rPr>
          <w:rFonts w:hint="eastAsia" w:ascii="方正仿宋简体" w:eastAsia="方正仿宋简体" w:cs="方正仿宋简体"/>
          <w:sz w:val="32"/>
          <w:szCs w:val="32"/>
        </w:rPr>
        <w:t>，城市家庭宽带接入能力达到</w:t>
      </w:r>
      <w:r>
        <w:rPr>
          <w:rFonts w:ascii="方正仿宋简体" w:eastAsia="方正仿宋简体" w:cs="方正仿宋简体"/>
          <w:sz w:val="32"/>
          <w:szCs w:val="32"/>
        </w:rPr>
        <w:t>100Mbps</w:t>
      </w:r>
      <w:r>
        <w:rPr>
          <w:rFonts w:hint="eastAsia" w:ascii="方正仿宋简体" w:eastAsia="方正仿宋简体" w:cs="方正仿宋简体"/>
          <w:sz w:val="32"/>
          <w:szCs w:val="32"/>
        </w:rPr>
        <w:t>，农村家庭宽带接入能力达到</w:t>
      </w:r>
      <w:r>
        <w:rPr>
          <w:rFonts w:ascii="方正仿宋简体" w:eastAsia="方正仿宋简体" w:cs="方正仿宋简体"/>
          <w:sz w:val="32"/>
          <w:szCs w:val="32"/>
        </w:rPr>
        <w:t>20Mbps</w:t>
      </w:r>
      <w:r>
        <w:rPr>
          <w:rFonts w:hint="eastAsia" w:ascii="方正仿宋简体" w:eastAsia="方正仿宋简体" w:cs="方正仿宋简体"/>
          <w:sz w:val="32"/>
          <w:szCs w:val="32"/>
        </w:rPr>
        <w:t>。</w:t>
      </w:r>
    </w:p>
    <w:p w14:paraId="46F1666A">
      <w:pPr>
        <w:pStyle w:val="23"/>
        <w:adjustRightInd w:val="0"/>
        <w:snapToGrid w:val="0"/>
        <w:spacing w:before="0" w:after="0" w:line="620" w:lineRule="exact"/>
        <w:ind w:firstLine="640" w:firstLineChars="200"/>
        <w:rPr>
          <w:rFonts w:ascii="方正仿宋简体" w:eastAsia="方正仿宋简体" w:cs="Times New Roman"/>
          <w:sz w:val="32"/>
          <w:szCs w:val="32"/>
        </w:rPr>
      </w:pPr>
    </w:p>
    <w:p w14:paraId="278B760F">
      <w:pPr>
        <w:spacing w:afterLines="50"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18  </w:t>
      </w:r>
      <w:r>
        <w:rPr>
          <w:rFonts w:hint="eastAsia" w:ascii="宋体" w:hAnsi="宋体" w:cs="宋体"/>
          <w:b/>
          <w:bCs/>
          <w:color w:val="000000"/>
          <w:sz w:val="28"/>
          <w:szCs w:val="28"/>
        </w:rPr>
        <w:t>信息基础设施重点建设项目</w:t>
      </w:r>
    </w:p>
    <w:tbl>
      <w:tblPr>
        <w:tblStyle w:val="25"/>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2A503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8" w:type="dxa"/>
            <w:vAlign w:val="center"/>
          </w:tcPr>
          <w:p w14:paraId="21740313">
            <w:pPr>
              <w:spacing w:line="560" w:lineRule="exact"/>
              <w:ind w:firstLine="562" w:firstLineChars="200"/>
              <w:jc w:val="left"/>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智慧园区建设工程：</w:t>
            </w:r>
            <w:r>
              <w:rPr>
                <w:rFonts w:hint="eastAsia" w:ascii="方正仿宋简体" w:hAnsi="宋体" w:eastAsia="方正仿宋简体" w:cs="方正仿宋简体"/>
                <w:color w:val="000000"/>
                <w:sz w:val="28"/>
                <w:szCs w:val="28"/>
              </w:rPr>
              <w:t>依托池州高新区、前江工业园区和杏花村文化旅游区，按照高端化、智慧化、生态化的新型园区发展模式，到“十三五”期末，建设公用信息通信网络高速泛在、精细管理高效惠企、功能应用高度集成、智慧产业高端集聚的示范性智慧园区。</w:t>
            </w:r>
          </w:p>
          <w:p w14:paraId="4C6A6E0D">
            <w:pPr>
              <w:spacing w:line="560" w:lineRule="exact"/>
              <w:ind w:firstLine="562" w:firstLineChars="200"/>
              <w:jc w:val="left"/>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贵池区中小学信息化建设工程：</w:t>
            </w:r>
            <w:r>
              <w:rPr>
                <w:rFonts w:hint="eastAsia" w:ascii="方正仿宋简体" w:hAnsi="宋体" w:eastAsia="方正仿宋简体" w:cs="方正仿宋简体"/>
                <w:color w:val="000000"/>
                <w:sz w:val="28"/>
                <w:szCs w:val="28"/>
              </w:rPr>
              <w:t>全区每个学校建设有阅览室、语音室、教学录播室、智慧课堂、校园电视系统、校园无线网络、校园广播系统、校园优质数字教学资源等等，全区校园信息化建设达到现代化，全区计算机配备达到生机比</w:t>
            </w:r>
            <w:r>
              <w:rPr>
                <w:rFonts w:ascii="方正仿宋简体" w:hAnsi="宋体" w:eastAsia="方正仿宋简体" w:cs="方正仿宋简体"/>
                <w:color w:val="000000"/>
                <w:sz w:val="28"/>
                <w:szCs w:val="28"/>
              </w:rPr>
              <w:t>6:1</w:t>
            </w:r>
            <w:r>
              <w:rPr>
                <w:rFonts w:hint="eastAsia" w:ascii="方正仿宋简体" w:hAnsi="宋体" w:eastAsia="方正仿宋简体" w:cs="方正仿宋简体"/>
                <w:color w:val="000000"/>
                <w:sz w:val="28"/>
                <w:szCs w:val="28"/>
              </w:rPr>
              <w:t>，师机比</w:t>
            </w:r>
            <w:r>
              <w:rPr>
                <w:rFonts w:ascii="方正仿宋简体" w:hAnsi="宋体" w:eastAsia="方正仿宋简体" w:cs="方正仿宋简体"/>
                <w:color w:val="000000"/>
                <w:sz w:val="28"/>
                <w:szCs w:val="28"/>
              </w:rPr>
              <w:t>1:1</w:t>
            </w:r>
            <w:r>
              <w:rPr>
                <w:rFonts w:hint="eastAsia" w:ascii="方正仿宋简体" w:hAnsi="宋体" w:eastAsia="方正仿宋简体" w:cs="方正仿宋简体"/>
                <w:color w:val="000000"/>
                <w:sz w:val="28"/>
                <w:szCs w:val="28"/>
              </w:rPr>
              <w:t>。</w:t>
            </w:r>
          </w:p>
          <w:p w14:paraId="6F7AC32F">
            <w:pPr>
              <w:spacing w:line="560" w:lineRule="exact"/>
              <w:ind w:firstLine="562" w:firstLineChars="200"/>
              <w:jc w:val="left"/>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县域医共体信息基础设施建设：</w:t>
            </w:r>
            <w:r>
              <w:rPr>
                <w:rFonts w:hint="eastAsia" w:ascii="方正仿宋简体" w:hAnsi="宋体" w:eastAsia="方正仿宋简体" w:cs="方正仿宋简体"/>
                <w:color w:val="000000"/>
                <w:sz w:val="28"/>
                <w:szCs w:val="28"/>
              </w:rPr>
              <w:t>建设医共体管理系统、临床路径管理系统、成本核算管理系统、中医院的区域</w:t>
            </w:r>
            <w:r>
              <w:rPr>
                <w:rFonts w:ascii="方正仿宋简体" w:hAnsi="宋体" w:eastAsia="方正仿宋简体" w:cs="方正仿宋简体"/>
                <w:color w:val="000000"/>
                <w:sz w:val="28"/>
                <w:szCs w:val="28"/>
              </w:rPr>
              <w:t>LIS</w:t>
            </w:r>
            <w:r>
              <w:rPr>
                <w:rFonts w:hint="eastAsia" w:ascii="方正仿宋简体" w:hAnsi="宋体" w:eastAsia="方正仿宋简体" w:cs="方正仿宋简体"/>
                <w:color w:val="000000"/>
                <w:sz w:val="28"/>
                <w:szCs w:val="28"/>
              </w:rPr>
              <w:t>（区域检验管理系统）、区域</w:t>
            </w:r>
            <w:r>
              <w:rPr>
                <w:rFonts w:ascii="方正仿宋简体" w:hAnsi="宋体" w:eastAsia="方正仿宋简体" w:cs="方正仿宋简体"/>
                <w:color w:val="000000"/>
                <w:sz w:val="28"/>
                <w:szCs w:val="28"/>
              </w:rPr>
              <w:t>PACS</w:t>
            </w:r>
            <w:r>
              <w:rPr>
                <w:rFonts w:hint="eastAsia" w:ascii="方正仿宋简体" w:hAnsi="宋体" w:eastAsia="方正仿宋简体" w:cs="方正仿宋简体"/>
                <w:color w:val="000000"/>
                <w:sz w:val="28"/>
                <w:szCs w:val="28"/>
              </w:rPr>
              <w:t>（区域影像存储与传输系统）等。</w:t>
            </w:r>
          </w:p>
        </w:tc>
      </w:tr>
    </w:tbl>
    <w:p w14:paraId="6C9D863E">
      <w:bookmarkStart w:id="181" w:name="_Toc432670963"/>
    </w:p>
    <w:p w14:paraId="1B0654B4"/>
    <w:p w14:paraId="618A6AC6"/>
    <w:p w14:paraId="5EA170BC"/>
    <w:p w14:paraId="4132F927"/>
    <w:p w14:paraId="0F6B40CB"/>
    <w:p w14:paraId="1A81BBA6"/>
    <w:p w14:paraId="50A61A42"/>
    <w:p w14:paraId="7BC44918"/>
    <w:p w14:paraId="1FA7A3E9"/>
    <w:p w14:paraId="1B33A4A2"/>
    <w:p w14:paraId="0AA1B2F1"/>
    <w:p w14:paraId="542D533E"/>
    <w:p w14:paraId="7F6742BF"/>
    <w:p w14:paraId="6D72BF1E"/>
    <w:p w14:paraId="0DB86598"/>
    <w:p w14:paraId="3C47FEAE"/>
    <w:p w14:paraId="16A4CA5F">
      <w:pPr>
        <w:pStyle w:val="2"/>
        <w:spacing w:before="260" w:after="260" w:line="480" w:lineRule="auto"/>
        <w:jc w:val="center"/>
        <w:rPr>
          <w:rFonts w:ascii="方正小标宋简体" w:hAnsi="黑体" w:eastAsia="方正小标宋简体"/>
          <w:b w:val="0"/>
          <w:bCs w:val="0"/>
          <w:color w:val="000000"/>
        </w:rPr>
      </w:pPr>
      <w:bookmarkStart w:id="182" w:name="_Toc449037264"/>
      <w:r>
        <w:rPr>
          <w:rFonts w:hint="eastAsia" w:ascii="方正小标宋简体" w:hAnsi="黑体" w:eastAsia="方正小标宋简体" w:cs="方正小标宋简体"/>
          <w:b w:val="0"/>
          <w:bCs w:val="0"/>
          <w:color w:val="000000"/>
        </w:rPr>
        <w:t>第四篇</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强化绿色发展</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彰显美丽贵池新魅力</w:t>
      </w:r>
      <w:bookmarkEnd w:id="182"/>
    </w:p>
    <w:p w14:paraId="4AAC430B">
      <w:pPr>
        <w:pStyle w:val="3"/>
        <w:spacing w:after="120" w:line="480" w:lineRule="auto"/>
        <w:ind w:firstLine="640" w:firstLineChars="200"/>
        <w:jc w:val="left"/>
        <w:rPr>
          <w:rFonts w:ascii="方正黑体简体" w:hAnsi="黑体" w:eastAsia="方正黑体简体" w:cs="Times New Roman"/>
          <w:b w:val="0"/>
          <w:bCs w:val="0"/>
        </w:rPr>
      </w:pPr>
      <w:bookmarkStart w:id="183" w:name="_Toc449037265"/>
      <w:r>
        <w:rPr>
          <w:rFonts w:hint="eastAsia" w:ascii="方正黑体简体" w:hAnsi="黑体" w:eastAsia="方正黑体简体" w:cs="方正黑体简体"/>
          <w:b w:val="0"/>
          <w:bCs w:val="0"/>
        </w:rPr>
        <w:t>第十四章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坚持分类指导，推动形成三类主体功能区</w:t>
      </w:r>
      <w:bookmarkEnd w:id="183"/>
    </w:p>
    <w:p w14:paraId="21C440FA">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按照《安徽省主体功能区规划》，贵池区整体为国家级重点开发区域。根据贵池区全境内资源环境承载能力、开发密度和发展潜力，积极推行形成重点开发、限制开发、禁止开发三类主体功能区域，构建主体功能清晰、发展导向明确、开发秩序规范的空间开发格局。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年，全区国土开发强度控制在</w:t>
      </w:r>
      <w:r>
        <w:rPr>
          <w:rFonts w:ascii="方正仿宋简体" w:hAnsi="宋体" w:eastAsia="方正仿宋简体" w:cs="方正仿宋简体"/>
          <w:color w:val="000000"/>
          <w:kern w:val="0"/>
          <w:sz w:val="32"/>
          <w:szCs w:val="32"/>
        </w:rPr>
        <w:t>15%</w:t>
      </w:r>
      <w:r>
        <w:rPr>
          <w:rFonts w:hint="eastAsia" w:ascii="方正仿宋简体" w:hAnsi="宋体" w:eastAsia="方正仿宋简体" w:cs="方正仿宋简体"/>
          <w:color w:val="000000"/>
          <w:kern w:val="0"/>
          <w:sz w:val="32"/>
          <w:szCs w:val="32"/>
        </w:rPr>
        <w:t>以内。</w:t>
      </w:r>
    </w:p>
    <w:p w14:paraId="7635C807">
      <w:pPr>
        <w:pStyle w:val="4"/>
        <w:spacing w:after="60" w:line="480" w:lineRule="auto"/>
        <w:ind w:firstLine="643" w:firstLineChars="200"/>
        <w:jc w:val="left"/>
        <w:rPr>
          <w:rFonts w:ascii="方正仿宋简体" w:hAnsi="黑体" w:eastAsia="方正仿宋简体"/>
        </w:rPr>
      </w:pPr>
      <w:bookmarkStart w:id="184" w:name="_Toc449037266"/>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推动重点开发区域集聚集约发展</w:t>
      </w:r>
      <w:bookmarkEnd w:id="184"/>
    </w:p>
    <w:p w14:paraId="10615A78">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重点开发区域主要为主城区、建制镇和街道的建成区、高新区、前江工业园区、杏花村文化旅游示范区、临港产业基地、部分镇街工业集中区等，是支撑贵池区经济发展和人口集聚的重要空间载体。要进行高起点的规划与建设，加快产业集聚和城镇建设步伐，注重保护生态环境，推进新型工业化和新型城市化的良性互动发展，着力增强经济综合实力。对重点开发区内的镇街重点考核经济增长、质量效益、吸纳人口、产业结构、资源消耗、环境保护、土地利用以及外来人口管理等指标。</w:t>
      </w:r>
    </w:p>
    <w:p w14:paraId="28A3AA72">
      <w:pPr>
        <w:pStyle w:val="4"/>
        <w:spacing w:after="60" w:line="480" w:lineRule="auto"/>
        <w:ind w:firstLine="643" w:firstLineChars="200"/>
        <w:jc w:val="left"/>
        <w:rPr>
          <w:rFonts w:ascii="方正仿宋简体" w:hAnsi="黑体" w:eastAsia="方正仿宋简体"/>
        </w:rPr>
      </w:pPr>
      <w:bookmarkStart w:id="185" w:name="_Toc449037267"/>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引导限制开发区域适度有序发展</w:t>
      </w:r>
      <w:bookmarkEnd w:id="185"/>
    </w:p>
    <w:p w14:paraId="775DEA77">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中部丘陵区和北部沿江圩区的镇街等生态经济区，在保护生态的前提下，积极发展特色生态经济，大力发展农产品加工业、乡村旅游业等适宜性产业，成为保障生态产品、农产品供给的重要区域和工业化、城市化适度推进的区域。对生态经济区内的镇街主要考核生态产品提供能力等指标。南部中低山区镇街等生态保护区，要大力加强生态建设，维护生物多样性，促进水土保持和水源涵养，适度发展生态农业、生态旅游等产业。对生态保护区内的镇街主要考核生态建设、环境保护等指标。</w:t>
      </w:r>
    </w:p>
    <w:p w14:paraId="191C6ADE">
      <w:pPr>
        <w:pStyle w:val="4"/>
        <w:spacing w:after="60" w:line="480" w:lineRule="auto"/>
        <w:ind w:firstLine="643" w:firstLineChars="200"/>
        <w:jc w:val="left"/>
        <w:rPr>
          <w:rFonts w:ascii="方正仿宋简体" w:hAnsi="黑体" w:eastAsia="方正仿宋简体"/>
        </w:rPr>
      </w:pPr>
      <w:bookmarkStart w:id="186" w:name="_Toc449037268"/>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加大禁止开发区域保护力度</w:t>
      </w:r>
      <w:bookmarkEnd w:id="186"/>
    </w:p>
    <w:p w14:paraId="317D9703">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升金湖国家级自然保护区、贵池十八索自然保护区、老山自然保护区、齐山－秋浦仙境风景名胜区等自然保护区域，以及重要湖泊水库、水源保护地等，要实行强制保护、禁止对自然生态人为干扰活动，确保本地区生态平衡和自然特色、改善区域生态环境质量。对禁止开发区内的镇街合理考核生态旅游等指标，重点考核自然与人文资源保护相关指标。</w:t>
      </w:r>
    </w:p>
    <w:p w14:paraId="0E8DF469">
      <w:pPr>
        <w:spacing w:line="620" w:lineRule="exact"/>
        <w:ind w:firstLine="600" w:firstLineChars="200"/>
        <w:rPr>
          <w:rFonts w:ascii="仿宋_GB2312" w:hAnsi="宋体" w:eastAsia="仿宋_GB2312"/>
          <w:color w:val="000000"/>
          <w:kern w:val="0"/>
          <w:sz w:val="30"/>
          <w:szCs w:val="30"/>
        </w:rPr>
      </w:pPr>
    </w:p>
    <w:p w14:paraId="22E2FECC">
      <w:pPr>
        <w:pStyle w:val="3"/>
        <w:spacing w:after="120" w:line="480" w:lineRule="auto"/>
        <w:ind w:firstLine="640" w:firstLineChars="200"/>
        <w:jc w:val="left"/>
        <w:rPr>
          <w:rFonts w:ascii="方正黑体简体" w:hAnsi="黑体" w:eastAsia="方正黑体简体" w:cs="Times New Roman"/>
          <w:b w:val="0"/>
          <w:bCs w:val="0"/>
        </w:rPr>
      </w:pPr>
      <w:bookmarkStart w:id="187" w:name="_Toc449037269"/>
      <w:r>
        <w:rPr>
          <w:rFonts w:hint="eastAsia" w:ascii="方正黑体简体" w:hAnsi="黑体" w:eastAsia="方正黑体简体" w:cs="方正黑体简体"/>
          <w:b w:val="0"/>
          <w:bCs w:val="0"/>
        </w:rPr>
        <w:t>第十五章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加强生态文明建设，</w:t>
      </w:r>
      <w:bookmarkEnd w:id="181"/>
      <w:r>
        <w:rPr>
          <w:rFonts w:hint="eastAsia" w:ascii="方正黑体简体" w:hAnsi="黑体" w:eastAsia="方正黑体简体" w:cs="方正黑体简体"/>
          <w:b w:val="0"/>
          <w:bCs w:val="0"/>
        </w:rPr>
        <w:t>发展绿色经济</w:t>
      </w:r>
      <w:bookmarkEnd w:id="187"/>
    </w:p>
    <w:p w14:paraId="200AFF14">
      <w:pPr>
        <w:pStyle w:val="23"/>
        <w:adjustRightInd w:val="0"/>
        <w:snapToGrid w:val="0"/>
        <w:spacing w:before="0" w:after="0" w:line="620" w:lineRule="exact"/>
        <w:ind w:firstLine="640" w:firstLineChars="200"/>
        <w:rPr>
          <w:rFonts w:ascii="方正仿宋简体" w:eastAsia="方正仿宋简体" w:cs="Times New Roman"/>
          <w:sz w:val="32"/>
          <w:szCs w:val="32"/>
        </w:rPr>
      </w:pPr>
      <w:r>
        <w:rPr>
          <w:rFonts w:hint="eastAsia" w:ascii="方正仿宋简体" w:eastAsia="方正仿宋简体" w:cs="方正仿宋简体"/>
          <w:sz w:val="32"/>
          <w:szCs w:val="32"/>
        </w:rPr>
        <w:t>按照经济生态化、生态经济化的要求，加快推进生态文明建设，着力优化生态环境，改善城乡人居环境，强化资源节约集约利用，大力发展生态经济，加快构筑资源节约型和环境友好型社会，打造美丽中国建设先行区。</w:t>
      </w:r>
    </w:p>
    <w:p w14:paraId="795DA4F0">
      <w:pPr>
        <w:pStyle w:val="4"/>
        <w:spacing w:after="60" w:line="480" w:lineRule="auto"/>
        <w:ind w:firstLine="643" w:firstLineChars="200"/>
        <w:jc w:val="left"/>
        <w:rPr>
          <w:rFonts w:ascii="方正仿宋简体" w:hAnsi="黑体" w:eastAsia="方正仿宋简体"/>
        </w:rPr>
      </w:pPr>
      <w:bookmarkStart w:id="188" w:name="_Toc281646597"/>
      <w:bookmarkStart w:id="189" w:name="_Toc432670965"/>
      <w:bookmarkStart w:id="190" w:name="_Toc449037270"/>
      <w:bookmarkStart w:id="191" w:name="_Toc432670964"/>
      <w:bookmarkStart w:id="192" w:name="_Toc281646596"/>
      <w:r>
        <w:rPr>
          <w:rFonts w:hint="eastAsia" w:ascii="方正仿宋简体" w:hAnsi="黑体" w:eastAsia="方正仿宋简体" w:cs="方正仿宋简体"/>
        </w:rPr>
        <w:t>第一节</w:t>
      </w:r>
      <w:r>
        <w:rPr>
          <w:rFonts w:ascii="方正仿宋简体" w:hAnsi="黑体" w:eastAsia="方正仿宋简体" w:cs="方正仿宋简体"/>
        </w:rPr>
        <w:t xml:space="preserve">  </w:t>
      </w:r>
      <w:bookmarkEnd w:id="188"/>
      <w:bookmarkEnd w:id="189"/>
      <w:r>
        <w:rPr>
          <w:rFonts w:hint="eastAsia" w:ascii="方正仿宋简体" w:hAnsi="黑体" w:eastAsia="方正仿宋简体" w:cs="方正仿宋简体"/>
        </w:rPr>
        <w:t>大力发展生态经济</w:t>
      </w:r>
      <w:bookmarkEnd w:id="190"/>
    </w:p>
    <w:p w14:paraId="7A7EA889">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推动生态优势更优。</w:t>
      </w:r>
      <w:r>
        <w:rPr>
          <w:rFonts w:hint="eastAsia" w:ascii="方正仿宋简体" w:eastAsia="方正仿宋简体" w:cs="方正仿宋简体"/>
          <w:sz w:val="32"/>
          <w:szCs w:val="32"/>
        </w:rPr>
        <w:t>秉承“养一方山水也是一种政绩”的理念，加强生态文明制度建设，严格落实产业准入制度，建立健全自然资源资产产权制度和国土空间用途管制制度，健全资源有偿使用和生态补偿制度，完善生态文明绩效评价考核制度。实行地方领导班子成员生态文明一岗双责制和责任追究制度，落实领导干部自然资源资产离任审计。实行最严格的环境保护制度，推行政府、企业、公众共治的环境治理制度。大力推进经济生态化，严格落实生态主体功能区规划，加快推进生态产业集约集聚发展。大力优化农村人居环境，让天常蓝、让水常清、让地常绿、让家园更美。</w:t>
      </w:r>
    </w:p>
    <w:p w14:paraId="5D77DDD9">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构建循环经济产业链。</w:t>
      </w:r>
      <w:r>
        <w:rPr>
          <w:rFonts w:hint="eastAsia" w:ascii="方正仿宋简体" w:eastAsia="方正仿宋简体" w:cs="方正仿宋简体"/>
          <w:sz w:val="32"/>
          <w:szCs w:val="32"/>
        </w:rPr>
        <w:t>利用好山、好水、好空气和独特的气候条件，加快发展生态循环农业，推广种养结合、农牧结合、林牧结合的生态立体农业循环模式，建设一批生态循环农业示范区、示范基地和示范项目。坚持生态化、标准化、电商化，大力发展高品质、高科技含量、高附加值的特色农产品加工业。大力发展生态旅游业，突出抓好杏花村文化旅游区、九华天池等主要旅游景点提质升级，积极推动生态旅游业与文化、农业、林业、科技、体育等产业融合发展。以循环经济理念、清洁生产要求与生态工业原理为指导，坚持“减量化、再循环、再利用”原则，重点推进食品加工及制造、矿业及其深加工、机械制造及汽配等行业生态化改造和清洁生产。深入开展非煤矿山整治，实现“十三五”末矿山数量减少</w:t>
      </w:r>
      <w:r>
        <w:rPr>
          <w:rFonts w:ascii="方正仿宋简体" w:eastAsia="方正仿宋简体" w:cs="方正仿宋简体"/>
          <w:sz w:val="32"/>
          <w:szCs w:val="32"/>
        </w:rPr>
        <w:t>50%</w:t>
      </w:r>
      <w:r>
        <w:rPr>
          <w:rFonts w:hint="eastAsia" w:ascii="方正仿宋简体" w:eastAsia="方正仿宋简体" w:cs="方正仿宋简体"/>
          <w:sz w:val="32"/>
          <w:szCs w:val="32"/>
        </w:rPr>
        <w:t>以上；加快创建绿色企业和绿色矿山，力争通过两年的时间实现非金属矿山及深加工企业全部达到绿色矿山和绿色企业标准。</w:t>
      </w:r>
    </w:p>
    <w:p w14:paraId="2CC722FF">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积极发展低碳经济。</w:t>
      </w:r>
      <w:r>
        <w:rPr>
          <w:rFonts w:hint="eastAsia" w:ascii="方正仿宋简体" w:eastAsia="方正仿宋简体" w:cs="方正仿宋简体"/>
          <w:sz w:val="32"/>
          <w:szCs w:val="32"/>
        </w:rPr>
        <w:t>推广和利用新能源技术，加快风电、太阳能开发利用，积极推进抽水蓄能电站建设，鼓励建设渔光互补、农光互补、林光互补等光伏发电项目。大力发展服务业，转变工业发展方式，推动形成低碳产业结构。研究制定扶持政策，在资金、人才、财税、土地等方面给予低碳经济支持。加强低碳宣传，积极倡导低碳生活方式和消费模式，加快建设低碳建筑、低碳交通、低碳环境，进一步推进低碳社会建设。</w:t>
      </w:r>
    </w:p>
    <w:p w14:paraId="0DDF922E">
      <w:pPr>
        <w:pStyle w:val="4"/>
        <w:spacing w:after="60" w:line="480" w:lineRule="auto"/>
        <w:ind w:firstLine="643" w:firstLineChars="200"/>
        <w:jc w:val="left"/>
        <w:rPr>
          <w:rFonts w:ascii="方正仿宋简体" w:hAnsi="黑体" w:eastAsia="方正仿宋简体"/>
        </w:rPr>
      </w:pPr>
      <w:bookmarkStart w:id="193" w:name="_Toc449037271"/>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推进资源节约集约利用</w:t>
      </w:r>
      <w:bookmarkEnd w:id="191"/>
      <w:bookmarkEnd w:id="192"/>
      <w:bookmarkEnd w:id="193"/>
    </w:p>
    <w:p w14:paraId="2723A5B2">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强化节能节水节地节材。</w:t>
      </w:r>
      <w:r>
        <w:rPr>
          <w:rFonts w:hint="eastAsia" w:ascii="方正仿宋简体" w:eastAsia="方正仿宋简体" w:cs="方正仿宋简体"/>
          <w:sz w:val="32"/>
          <w:szCs w:val="32"/>
        </w:rPr>
        <w:t>重点抓好企业内部节能、能源梯级利用、余热回收利用、建筑节能，建立节能责任评价、考核机制和新上项目能评机制，对全区年综合能耗消费量</w:t>
      </w:r>
      <w:r>
        <w:rPr>
          <w:rFonts w:ascii="方正仿宋简体" w:eastAsia="方正仿宋简体" w:cs="方正仿宋简体"/>
          <w:sz w:val="32"/>
          <w:szCs w:val="32"/>
        </w:rPr>
        <w:t>1000</w:t>
      </w:r>
      <w:r>
        <w:rPr>
          <w:rFonts w:hint="eastAsia" w:ascii="方正仿宋简体" w:eastAsia="方正仿宋简体" w:cs="方正仿宋简体"/>
          <w:sz w:val="32"/>
          <w:szCs w:val="32"/>
        </w:rPr>
        <w:t>吨标煤及以上重点用能企业实施产能总量控制，组织实施冶金、建材、化工、非金属矿加工、造纸、食品等重点行业企业节能技术改造，扎实推进节能降耗工作。实行严格的水资源管理制度，大力推动高耗水行业的节约用水，积极推广农业节水灌溉设备的应用，建设节水型社会。大力推进节约集约用地，进一步清理违法违规、供而未用和闲置低效用地。推进各领域节材，加强重点行业原材料消耗管理和技术改造，加大替代型材料、可再生材料的推广力度，大力节约包装材料。</w:t>
      </w:r>
    </w:p>
    <w:p w14:paraId="0386A19A">
      <w:pPr>
        <w:pStyle w:val="23"/>
        <w:adjustRightInd w:val="0"/>
        <w:snapToGrid w:val="0"/>
        <w:spacing w:before="0" w:after="0" w:line="620" w:lineRule="exact"/>
        <w:ind w:firstLine="643" w:firstLineChars="200"/>
        <w:rPr>
          <w:rFonts w:ascii="方正仿宋简体" w:eastAsia="方正仿宋简体" w:cs="Times New Roman"/>
          <w:sz w:val="32"/>
          <w:szCs w:val="32"/>
        </w:rPr>
      </w:pPr>
      <w:r>
        <w:rPr>
          <w:rFonts w:hint="eastAsia" w:ascii="方正楷体简体" w:eastAsia="方正楷体简体" w:cs="方正楷体简体"/>
          <w:b/>
          <w:bCs/>
          <w:sz w:val="32"/>
          <w:szCs w:val="32"/>
        </w:rPr>
        <w:t>推进能源资源综合利用。</w:t>
      </w:r>
      <w:r>
        <w:rPr>
          <w:rFonts w:hint="eastAsia" w:ascii="方正仿宋简体" w:eastAsia="方正仿宋简体" w:cs="方正仿宋简体"/>
          <w:sz w:val="32"/>
          <w:szCs w:val="32"/>
        </w:rPr>
        <w:t>积极发展清洁能源，积极改善能源结构。加强水资源保护与利用，加大雨水集蓄、工业废水回收再利用、区域性中水回用等项目建设，加强地下水资源利用管理。以废塑料、再生金属、尾矿废弃物回收利用为重点，进一步推进再生资源循环和回收利用规范化。推进生活垃圾、污水污泥资源化利用，扶持生活垃圾、秸杆焚烧发电等资源再生利用产业的有序发展。到</w:t>
      </w:r>
      <w:r>
        <w:rPr>
          <w:rFonts w:ascii="方正仿宋简体" w:eastAsia="方正仿宋简体" w:cs="方正仿宋简体"/>
          <w:sz w:val="32"/>
          <w:szCs w:val="32"/>
        </w:rPr>
        <w:t>2020</w:t>
      </w:r>
      <w:r>
        <w:rPr>
          <w:rFonts w:hint="eastAsia" w:ascii="方正仿宋简体" w:eastAsia="方正仿宋简体" w:cs="方正仿宋简体"/>
          <w:sz w:val="32"/>
          <w:szCs w:val="32"/>
        </w:rPr>
        <w:t>年，全区工业固体废物处置利用率达到</w:t>
      </w:r>
      <w:r>
        <w:rPr>
          <w:rFonts w:ascii="方正仿宋简体" w:eastAsia="方正仿宋简体" w:cs="方正仿宋简体"/>
          <w:sz w:val="32"/>
          <w:szCs w:val="32"/>
        </w:rPr>
        <w:t>90%</w:t>
      </w:r>
      <w:r>
        <w:rPr>
          <w:rFonts w:hint="eastAsia" w:ascii="方正仿宋简体" w:eastAsia="方正仿宋简体" w:cs="方正仿宋简体"/>
          <w:sz w:val="32"/>
          <w:szCs w:val="32"/>
        </w:rPr>
        <w:t>以上。</w:t>
      </w:r>
    </w:p>
    <w:p w14:paraId="7D9E6A5A">
      <w:pPr>
        <w:pStyle w:val="23"/>
        <w:adjustRightInd w:val="0"/>
        <w:snapToGrid w:val="0"/>
        <w:spacing w:before="0" w:after="0" w:line="620" w:lineRule="exact"/>
        <w:ind w:firstLine="640" w:firstLineChars="200"/>
        <w:rPr>
          <w:rFonts w:ascii="方正仿宋简体" w:eastAsia="方正仿宋简体" w:cs="Times New Roman"/>
          <w:sz w:val="32"/>
          <w:szCs w:val="32"/>
        </w:rPr>
      </w:pPr>
    </w:p>
    <w:p w14:paraId="209BC378">
      <w:pPr>
        <w:pStyle w:val="3"/>
        <w:spacing w:after="120" w:line="480" w:lineRule="auto"/>
        <w:ind w:firstLine="640" w:firstLineChars="200"/>
        <w:jc w:val="left"/>
        <w:rPr>
          <w:rFonts w:ascii="方正黑体简体" w:hAnsi="黑体" w:eastAsia="方正黑体简体" w:cs="Times New Roman"/>
          <w:b w:val="0"/>
          <w:bCs w:val="0"/>
        </w:rPr>
      </w:pPr>
      <w:bookmarkStart w:id="194" w:name="_Toc449037272"/>
      <w:r>
        <w:rPr>
          <w:rFonts w:hint="eastAsia" w:ascii="方正黑体简体" w:hAnsi="黑体" w:eastAsia="方正黑体简体" w:cs="方正黑体简体"/>
          <w:b w:val="0"/>
          <w:bCs w:val="0"/>
        </w:rPr>
        <w:t>第十六章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加大保护力度，改善生态环境质量</w:t>
      </w:r>
      <w:bookmarkEnd w:id="194"/>
    </w:p>
    <w:p w14:paraId="79E787E4">
      <w:pPr>
        <w:ind w:firstLine="640" w:firstLineChars="200"/>
        <w:rPr>
          <w:rFonts w:ascii="方正仿宋简体" w:hAnsi="宋体" w:eastAsia="方正仿宋简体"/>
          <w:color w:val="000000"/>
          <w:kern w:val="0"/>
          <w:sz w:val="32"/>
          <w:szCs w:val="32"/>
        </w:rPr>
      </w:pPr>
      <w:bookmarkStart w:id="195" w:name="_Toc432670966"/>
      <w:r>
        <w:rPr>
          <w:rFonts w:hint="eastAsia" w:ascii="方正仿宋简体" w:hAnsi="宋体" w:eastAsia="方正仿宋简体" w:cs="方正仿宋简体"/>
          <w:color w:val="000000"/>
          <w:kern w:val="0"/>
          <w:sz w:val="32"/>
          <w:szCs w:val="32"/>
        </w:rPr>
        <w:t>按照国家环保模范城市的要求，坚持防治并举、综合治理，严格执行环境保护政策，大力整治影响生态环境安全的突出问题，改善生态环境质量。到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年，环境质量进一步提升，主要污染物排放总量继续减少，森林覆盖率达到</w:t>
      </w:r>
      <w:r>
        <w:rPr>
          <w:rFonts w:ascii="方正仿宋简体" w:hAnsi="宋体" w:eastAsia="方正仿宋简体" w:cs="方正仿宋简体"/>
          <w:color w:val="000000"/>
          <w:kern w:val="0"/>
          <w:sz w:val="32"/>
          <w:szCs w:val="32"/>
        </w:rPr>
        <w:t xml:space="preserve"> 50 %</w:t>
      </w:r>
      <w:r>
        <w:rPr>
          <w:rFonts w:hint="eastAsia" w:ascii="方正仿宋简体" w:hAnsi="宋体" w:eastAsia="方正仿宋简体" w:cs="方正仿宋简体"/>
          <w:color w:val="000000"/>
          <w:kern w:val="0"/>
          <w:sz w:val="32"/>
          <w:szCs w:val="32"/>
        </w:rPr>
        <w:t>，林木蓄积量达</w:t>
      </w:r>
      <w:r>
        <w:rPr>
          <w:rFonts w:ascii="方正仿宋简体" w:hAnsi="宋体" w:eastAsia="方正仿宋简体" w:cs="方正仿宋简体"/>
          <w:color w:val="000000"/>
          <w:kern w:val="0"/>
          <w:sz w:val="32"/>
          <w:szCs w:val="32"/>
        </w:rPr>
        <w:t>770</w:t>
      </w:r>
      <w:r>
        <w:rPr>
          <w:rFonts w:hint="eastAsia" w:ascii="方正仿宋简体" w:hAnsi="宋体" w:eastAsia="方正仿宋简体" w:cs="方正仿宋简体"/>
          <w:color w:val="000000"/>
          <w:kern w:val="0"/>
          <w:sz w:val="32"/>
          <w:szCs w:val="32"/>
        </w:rPr>
        <w:t>万立方米，生态环境安全格局基本形成。</w:t>
      </w:r>
    </w:p>
    <w:p w14:paraId="3D93E202">
      <w:pPr>
        <w:pStyle w:val="4"/>
        <w:spacing w:after="60" w:line="480" w:lineRule="auto"/>
        <w:ind w:firstLine="643" w:firstLineChars="200"/>
        <w:jc w:val="left"/>
        <w:rPr>
          <w:rFonts w:ascii="方正仿宋简体" w:hAnsi="黑体" w:eastAsia="方正仿宋简体"/>
        </w:rPr>
      </w:pPr>
      <w:bookmarkStart w:id="196" w:name="_Toc449037273"/>
      <w:r>
        <w:rPr>
          <w:rFonts w:hint="eastAsia" w:ascii="方正仿宋简体" w:hAnsi="黑体" w:eastAsia="方正仿宋简体" w:cs="方正仿宋简体"/>
        </w:rPr>
        <w:t>第一节</w:t>
      </w:r>
      <w:r>
        <w:rPr>
          <w:rFonts w:ascii="方正仿宋简体" w:hAnsi="黑体" w:eastAsia="方正仿宋简体" w:cs="方正仿宋简体"/>
        </w:rPr>
        <w:t xml:space="preserve">  </w:t>
      </w:r>
      <w:bookmarkEnd w:id="195"/>
      <w:r>
        <w:rPr>
          <w:rFonts w:hint="eastAsia" w:ascii="方正仿宋简体" w:hAnsi="黑体" w:eastAsia="方正仿宋简体" w:cs="方正仿宋简体"/>
        </w:rPr>
        <w:t>全面加强污染防治</w:t>
      </w:r>
      <w:bookmarkEnd w:id="196"/>
    </w:p>
    <w:p w14:paraId="3A8FE675">
      <w:pPr>
        <w:widowControl/>
        <w:adjustRightInd w:val="0"/>
        <w:snapToGrid w:val="0"/>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开展编制自然资源资产负债表，推行节能量、碳排放权、排污权交易制度、环境污染第三方治理等。</w:t>
      </w:r>
      <w:r>
        <w:rPr>
          <w:rFonts w:hint="eastAsia" w:ascii="方正仿宋简体" w:eastAsia="方正仿宋简体" w:cs="方正仿宋简体"/>
          <w:color w:val="000000"/>
          <w:sz w:val="33"/>
          <w:szCs w:val="33"/>
          <w:shd w:val="clear" w:color="auto" w:fill="FFFFFF"/>
        </w:rPr>
        <w:t>加强环境监管能力建设，夯实网格化监管机制。</w:t>
      </w:r>
    </w:p>
    <w:p w14:paraId="0FD605A8">
      <w:pPr>
        <w:widowControl/>
        <w:adjustRightInd w:val="0"/>
        <w:snapToGrid w:val="0"/>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加大污染物减排力度。</w:t>
      </w:r>
      <w:r>
        <w:rPr>
          <w:rFonts w:hint="eastAsia" w:ascii="方正仿宋简体" w:hAnsi="宋体" w:eastAsia="方正仿宋简体" w:cs="方正仿宋简体"/>
          <w:color w:val="000000"/>
          <w:kern w:val="0"/>
          <w:sz w:val="32"/>
          <w:szCs w:val="32"/>
        </w:rPr>
        <w:t>完善污染物总量减排指标、监测、考核体系，健全总量减排倒逼机制，强化工业园区、重点镇、重点领域、重点行业、重点企业的减排工作，合理安排减排项目，深挖减排潜力，确保“十三五”主要污染物减排指标顺利完成。淘汰、取缔、关闭不符合国家产业政策的企业、项目和生产线，完善环保治理设施的升级换代，重点企业安装在线监控设施。</w:t>
      </w:r>
    </w:p>
    <w:p w14:paraId="58AC3758">
      <w:pPr>
        <w:widowControl/>
        <w:adjustRightInd w:val="0"/>
        <w:snapToGrid w:val="0"/>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加强水污染防治。</w:t>
      </w:r>
      <w:r>
        <w:rPr>
          <w:rFonts w:hint="eastAsia" w:ascii="方正仿宋简体" w:hAnsi="宋体" w:eastAsia="方正仿宋简体" w:cs="方正仿宋简体"/>
          <w:color w:val="000000"/>
          <w:kern w:val="0"/>
          <w:sz w:val="32"/>
          <w:szCs w:val="32"/>
        </w:rPr>
        <w:t>提高池州市城东污水处理厂、前江工业园区污水处理厂运行效率，加快推进城镇污水处理设施建设，加强对重点监控企业的监控，开展饮用水源水质安全检查和专项整治，深化区内长江、秋浦河、九华河、白洋河等河道水环境综合整治，开展地下水污染防治，全面改善水环境质量。</w:t>
      </w:r>
    </w:p>
    <w:p w14:paraId="1EE27A82">
      <w:pPr>
        <w:widowControl/>
        <w:adjustRightInd w:val="0"/>
        <w:snapToGrid w:val="0"/>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加强大气污染防治。</w:t>
      </w:r>
      <w:r>
        <w:rPr>
          <w:rFonts w:hint="eastAsia" w:ascii="方正仿宋简体" w:hAnsi="宋体" w:eastAsia="方正仿宋简体" w:cs="方正仿宋简体"/>
          <w:color w:val="000000"/>
          <w:kern w:val="0"/>
          <w:sz w:val="32"/>
          <w:szCs w:val="32"/>
        </w:rPr>
        <w:t>对不达标的重点企业实行限期治理和限期整改，切实淘汰落后的工艺，使重点工业企业污染物排放稳定达标。加大对全区矿山企业环境综合整治力度。对有色、水泥等企业进行重点监控，对重点污染源单位规范监测和污染治理，积极推广使用低硫煤、固硫型煤和清洁能源。对重点企业实施清洁生产和建立清洁生产审核体系，扩大实行清洁生产企业的范围。实行大气污染区域联防联控联治，实现城市</w:t>
      </w:r>
      <w:r>
        <w:rPr>
          <w:rFonts w:ascii="方正仿宋简体" w:hAnsi="宋体" w:eastAsia="方正仿宋简体" w:cs="方正仿宋简体"/>
          <w:color w:val="000000"/>
          <w:kern w:val="0"/>
          <w:sz w:val="32"/>
          <w:szCs w:val="32"/>
        </w:rPr>
        <w:t>PM2.5</w:t>
      </w:r>
      <w:r>
        <w:rPr>
          <w:rFonts w:hint="eastAsia" w:ascii="方正仿宋简体" w:hAnsi="宋体" w:eastAsia="方正仿宋简体" w:cs="方正仿宋简体"/>
          <w:color w:val="000000"/>
          <w:kern w:val="0"/>
          <w:sz w:val="32"/>
          <w:szCs w:val="32"/>
        </w:rPr>
        <w:t>监测与控制全覆盖，全区空气质量全部达到国家二级标准。</w:t>
      </w:r>
    </w:p>
    <w:p w14:paraId="6412635B">
      <w:pPr>
        <w:widowControl/>
        <w:adjustRightInd w:val="0"/>
        <w:snapToGrid w:val="0"/>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加强噪声污染防治。</w:t>
      </w:r>
      <w:r>
        <w:rPr>
          <w:rFonts w:hint="eastAsia" w:ascii="方正仿宋简体" w:hAnsi="宋体" w:eastAsia="方正仿宋简体" w:cs="方正仿宋简体"/>
          <w:color w:val="000000"/>
          <w:kern w:val="0"/>
          <w:sz w:val="32"/>
          <w:szCs w:val="32"/>
        </w:rPr>
        <w:t>积极开展交通噪声、生活噪声、工矿企业噪声、建筑施工噪声防治工作，推进创建声环境达标区工作。</w:t>
      </w:r>
    </w:p>
    <w:p w14:paraId="125DDA13">
      <w:pPr>
        <w:widowControl/>
        <w:adjustRightInd w:val="0"/>
        <w:snapToGrid w:val="0"/>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加强固废污染防治。</w:t>
      </w:r>
      <w:r>
        <w:rPr>
          <w:rFonts w:hint="eastAsia" w:ascii="方正仿宋简体" w:hAnsi="宋体" w:eastAsia="方正仿宋简体" w:cs="方正仿宋简体"/>
          <w:color w:val="000000"/>
          <w:kern w:val="0"/>
          <w:sz w:val="32"/>
          <w:szCs w:val="32"/>
        </w:rPr>
        <w:t>切实加强工业废物、危险废物、医疗废物、电子废物、生活垃圾的处置，实施全过程监管，达到资源化、减量化、无害化处理。城镇生活垃圾无害化处理率达到</w:t>
      </w:r>
      <w:r>
        <w:rPr>
          <w:rFonts w:ascii="方正仿宋简体" w:hAnsi="宋体" w:eastAsia="方正仿宋简体" w:cs="方正仿宋简体"/>
          <w:color w:val="000000"/>
          <w:kern w:val="0"/>
          <w:sz w:val="32"/>
          <w:szCs w:val="32"/>
        </w:rPr>
        <w:t>95%</w:t>
      </w:r>
      <w:r>
        <w:rPr>
          <w:rFonts w:hint="eastAsia" w:ascii="方正仿宋简体" w:hAnsi="宋体" w:eastAsia="方正仿宋简体" w:cs="方正仿宋简体"/>
          <w:color w:val="000000"/>
          <w:kern w:val="0"/>
          <w:sz w:val="32"/>
          <w:szCs w:val="32"/>
        </w:rPr>
        <w:t>。</w:t>
      </w:r>
    </w:p>
    <w:p w14:paraId="71F7250F">
      <w:pPr>
        <w:widowControl/>
        <w:adjustRightInd w:val="0"/>
        <w:snapToGrid w:val="0"/>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加强农业面源和土壤污染防治。</w:t>
      </w:r>
      <w:r>
        <w:rPr>
          <w:rFonts w:hint="eastAsia" w:ascii="方正仿宋简体" w:hAnsi="宋体" w:eastAsia="方正仿宋简体" w:cs="方正仿宋简体"/>
          <w:color w:val="000000"/>
          <w:kern w:val="0"/>
          <w:sz w:val="32"/>
          <w:szCs w:val="32"/>
        </w:rPr>
        <w:t>重点抓好畜禽、水产养殖业污染防治、化肥农药施用合理控制、废弃农药（兽药）包装物回收处理等。开展土壤污染治理。</w:t>
      </w:r>
    </w:p>
    <w:p w14:paraId="2890C11B">
      <w:pPr>
        <w:widowControl/>
        <w:adjustRightInd w:val="0"/>
        <w:snapToGrid w:val="0"/>
        <w:spacing w:line="620" w:lineRule="exact"/>
        <w:ind w:firstLine="600" w:firstLineChars="200"/>
        <w:rPr>
          <w:rFonts w:ascii="仿宋_GB2312" w:eastAsia="仿宋_GB2312"/>
          <w:color w:val="000000"/>
          <w:sz w:val="30"/>
          <w:szCs w:val="30"/>
        </w:rPr>
      </w:pPr>
    </w:p>
    <w:p w14:paraId="4FBAC9A9">
      <w:pPr>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19  </w:t>
      </w:r>
      <w:r>
        <w:rPr>
          <w:rFonts w:hint="eastAsia" w:ascii="宋体" w:hAnsi="宋体" w:cs="宋体"/>
          <w:b/>
          <w:bCs/>
          <w:color w:val="000000"/>
          <w:sz w:val="28"/>
          <w:szCs w:val="28"/>
        </w:rPr>
        <w:t>污染防治和环境保护重大工程</w:t>
      </w:r>
    </w:p>
    <w:tbl>
      <w:tblPr>
        <w:tblStyle w:val="25"/>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E63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209B0F9">
            <w:pPr>
              <w:spacing w:line="560" w:lineRule="exact"/>
              <w:rPr>
                <w:rFonts w:ascii="方正仿宋简体" w:hAnsi="宋体" w:eastAsia="方正仿宋简体"/>
                <w:color w:val="000000"/>
                <w:sz w:val="28"/>
                <w:szCs w:val="28"/>
              </w:rPr>
            </w:pPr>
            <w:r>
              <w:rPr>
                <w:rFonts w:hint="eastAsia" w:cs="宋体"/>
                <w:color w:val="000000"/>
                <w:sz w:val="20"/>
                <w:szCs w:val="20"/>
              </w:rPr>
              <w:t>　</w:t>
            </w:r>
            <w:r>
              <w:rPr>
                <w:rFonts w:hint="eastAsia" w:cs="宋体"/>
                <w:color w:val="000000"/>
                <w:sz w:val="28"/>
                <w:szCs w:val="28"/>
              </w:rPr>
              <w:t>　</w:t>
            </w:r>
            <w:r>
              <w:rPr>
                <w:rFonts w:hint="eastAsia" w:ascii="方正楷体简体" w:hAnsi="宋体" w:eastAsia="方正楷体简体" w:cs="方正楷体简体"/>
                <w:b/>
                <w:bCs/>
                <w:color w:val="000000"/>
                <w:sz w:val="28"/>
                <w:szCs w:val="28"/>
              </w:rPr>
              <w:t>污染治理工程。</w:t>
            </w:r>
            <w:r>
              <w:rPr>
                <w:rFonts w:hint="eastAsia" w:ascii="方正仿宋简体" w:hAnsi="宋体" w:eastAsia="方正仿宋简体" w:cs="方正仿宋简体"/>
                <w:color w:val="000000"/>
                <w:sz w:val="28"/>
                <w:szCs w:val="28"/>
              </w:rPr>
              <w:t>开展重点废气污染源实施脱硫、脱硝、烟尘治理及改造；建设、改造重点工业废水污染源，推进工业废水深度处理；开展规模化畜禽养殖业污染综合防治工程；开展餐厨垃圾综合治理试点示范。</w:t>
            </w:r>
          </w:p>
          <w:p w14:paraId="2D4C9156">
            <w:pPr>
              <w:spacing w:line="560" w:lineRule="exact"/>
              <w:rPr>
                <w:rFonts w:ascii="宋体"/>
                <w:color w:val="000000"/>
                <w:sz w:val="28"/>
                <w:szCs w:val="28"/>
              </w:rPr>
            </w:pPr>
            <w:r>
              <w:rPr>
                <w:rFonts w:hint="eastAsia" w:ascii="宋体" w:hAnsi="宋体" w:cs="宋体"/>
                <w:color w:val="000000"/>
                <w:sz w:val="28"/>
                <w:szCs w:val="28"/>
              </w:rPr>
              <w:t>　　</w:t>
            </w:r>
            <w:r>
              <w:rPr>
                <w:rFonts w:hint="eastAsia" w:ascii="方正楷体简体" w:hAnsi="宋体" w:eastAsia="方正楷体简体" w:cs="方正楷体简体"/>
                <w:b/>
                <w:bCs/>
                <w:color w:val="000000"/>
                <w:sz w:val="28"/>
                <w:szCs w:val="28"/>
              </w:rPr>
              <w:t>生态工程。</w:t>
            </w:r>
            <w:r>
              <w:rPr>
                <w:rFonts w:hint="eastAsia" w:ascii="方正仿宋简体" w:hAnsi="宋体" w:eastAsia="方正仿宋简体" w:cs="方正仿宋简体"/>
                <w:color w:val="000000"/>
                <w:sz w:val="28"/>
                <w:szCs w:val="28"/>
              </w:rPr>
              <w:t>重点推进秋浦河、白洋河、九华河、升金湖、十八索湿地保护工程、自然保护区以及长江防护林、生态林建设。</w:t>
            </w:r>
          </w:p>
          <w:p w14:paraId="3CC26BEE">
            <w:pPr>
              <w:spacing w:line="560" w:lineRule="exact"/>
              <w:rPr>
                <w:rFonts w:ascii="宋体"/>
                <w:color w:val="000000"/>
                <w:sz w:val="28"/>
                <w:szCs w:val="28"/>
              </w:rPr>
            </w:pPr>
            <w:r>
              <w:rPr>
                <w:rFonts w:hint="eastAsia" w:ascii="宋体" w:hAnsi="宋体" w:cs="宋体"/>
                <w:color w:val="000000"/>
                <w:sz w:val="28"/>
                <w:szCs w:val="28"/>
              </w:rPr>
              <w:t>　　</w:t>
            </w:r>
            <w:r>
              <w:rPr>
                <w:rFonts w:hint="eastAsia" w:ascii="方正楷体简体" w:hAnsi="宋体" w:eastAsia="方正楷体简体" w:cs="方正楷体简体"/>
                <w:b/>
                <w:bCs/>
                <w:color w:val="000000"/>
                <w:sz w:val="28"/>
                <w:szCs w:val="28"/>
              </w:rPr>
              <w:t>农村环境综合整治工程。</w:t>
            </w:r>
            <w:r>
              <w:rPr>
                <w:rFonts w:hint="eastAsia" w:ascii="方正仿宋简体" w:hAnsi="宋体" w:eastAsia="方正仿宋简体" w:cs="方正仿宋简体"/>
                <w:color w:val="000000"/>
                <w:sz w:val="28"/>
                <w:szCs w:val="28"/>
              </w:rPr>
              <w:t>完善农村生活垃圾处理体制，建设农村生活污水处理工程，开展农村环境综合整治。</w:t>
            </w:r>
          </w:p>
          <w:p w14:paraId="1433F22A">
            <w:pPr>
              <w:spacing w:line="560" w:lineRule="exact"/>
              <w:rPr>
                <w:rFonts w:ascii="方正仿宋简体" w:hAnsi="宋体" w:eastAsia="方正仿宋简体"/>
                <w:color w:val="000000"/>
                <w:sz w:val="28"/>
                <w:szCs w:val="28"/>
              </w:rPr>
            </w:pPr>
            <w:r>
              <w:rPr>
                <w:rFonts w:hint="eastAsia" w:ascii="宋体" w:hAnsi="宋体" w:cs="宋体"/>
                <w:color w:val="000000"/>
                <w:sz w:val="28"/>
                <w:szCs w:val="28"/>
              </w:rPr>
              <w:t>　　</w:t>
            </w:r>
            <w:r>
              <w:rPr>
                <w:rFonts w:hint="eastAsia" w:ascii="方正楷体简体" w:hAnsi="宋体" w:eastAsia="方正楷体简体" w:cs="方正楷体简体"/>
                <w:b/>
                <w:bCs/>
                <w:color w:val="000000"/>
                <w:sz w:val="28"/>
                <w:szCs w:val="28"/>
              </w:rPr>
              <w:t>饮用水源防护工程。</w:t>
            </w:r>
            <w:r>
              <w:rPr>
                <w:rFonts w:hint="eastAsia" w:ascii="方正仿宋简体" w:hAnsi="宋体" w:eastAsia="方正仿宋简体" w:cs="方正仿宋简体"/>
                <w:color w:val="000000"/>
                <w:sz w:val="28"/>
                <w:szCs w:val="28"/>
              </w:rPr>
              <w:t>加大饮用水源防护力度，确保群众饮水安全，在重要饮用水源地开展饮用水源防护工程。</w:t>
            </w:r>
          </w:p>
          <w:p w14:paraId="4ECB6138">
            <w:pPr>
              <w:spacing w:line="560" w:lineRule="exact"/>
              <w:rPr>
                <w:rFonts w:ascii="方正仿宋简体" w:hAnsi="宋体" w:eastAsia="方正仿宋简体"/>
                <w:color w:val="000000"/>
                <w:sz w:val="28"/>
                <w:szCs w:val="28"/>
              </w:rPr>
            </w:pPr>
            <w:r>
              <w:rPr>
                <w:rFonts w:hint="eastAsia" w:ascii="宋体" w:hAnsi="宋体" w:cs="宋体"/>
                <w:color w:val="000000"/>
                <w:sz w:val="28"/>
                <w:szCs w:val="28"/>
              </w:rPr>
              <w:t>　　</w:t>
            </w:r>
            <w:r>
              <w:rPr>
                <w:rFonts w:hint="eastAsia" w:ascii="方正楷体简体" w:hAnsi="宋体" w:eastAsia="方正楷体简体" w:cs="方正楷体简体"/>
                <w:b/>
                <w:bCs/>
                <w:color w:val="000000"/>
                <w:sz w:val="28"/>
                <w:szCs w:val="28"/>
              </w:rPr>
              <w:t>城市环保基础设施建设工程。</w:t>
            </w:r>
            <w:r>
              <w:rPr>
                <w:rFonts w:hint="eastAsia" w:ascii="方正仿宋简体" w:hAnsi="宋体" w:eastAsia="方正仿宋简体" w:cs="方正仿宋简体"/>
                <w:color w:val="000000"/>
                <w:sz w:val="28"/>
                <w:szCs w:val="28"/>
              </w:rPr>
              <w:t>推进镇街工业集中区、小区污水集中处理工程建设，实现全区所有园区污水集中处理、集中排放；污水处理工艺全面升级，城市规划区内污水处理达到</w:t>
            </w:r>
            <w:r>
              <w:rPr>
                <w:rFonts w:ascii="方正仿宋简体" w:hAnsi="宋体" w:eastAsia="方正仿宋简体" w:cs="方正仿宋简体"/>
                <w:color w:val="000000"/>
                <w:sz w:val="28"/>
                <w:szCs w:val="28"/>
              </w:rPr>
              <w:t>1</w:t>
            </w:r>
            <w:r>
              <w:rPr>
                <w:rFonts w:hint="eastAsia" w:ascii="方正仿宋简体" w:hAnsi="宋体" w:eastAsia="方正仿宋简体" w:cs="方正仿宋简体"/>
                <w:color w:val="000000"/>
                <w:sz w:val="28"/>
                <w:szCs w:val="28"/>
              </w:rPr>
              <w:t>级</w:t>
            </w:r>
            <w:r>
              <w:rPr>
                <w:rFonts w:ascii="方正仿宋简体" w:hAnsi="宋体" w:eastAsia="方正仿宋简体" w:cs="方正仿宋简体"/>
                <w:color w:val="000000"/>
                <w:sz w:val="28"/>
                <w:szCs w:val="28"/>
              </w:rPr>
              <w:t>B</w:t>
            </w:r>
            <w:r>
              <w:rPr>
                <w:rFonts w:hint="eastAsia" w:ascii="方正仿宋简体" w:hAnsi="宋体" w:eastAsia="方正仿宋简体" w:cs="方正仿宋简体"/>
                <w:color w:val="000000"/>
                <w:sz w:val="28"/>
                <w:szCs w:val="28"/>
              </w:rPr>
              <w:t>以上；推进城区生活垃圾无害化处理，建立垃圾分类收集、转运试点小区。</w:t>
            </w:r>
          </w:p>
          <w:p w14:paraId="136FF005">
            <w:pPr>
              <w:spacing w:line="560" w:lineRule="exact"/>
              <w:rPr>
                <w:color w:val="000000"/>
                <w:sz w:val="20"/>
                <w:szCs w:val="20"/>
              </w:rPr>
            </w:pPr>
            <w:r>
              <w:rPr>
                <w:rFonts w:hint="eastAsia" w:ascii="宋体" w:hAnsi="宋体" w:cs="宋体"/>
                <w:color w:val="000000"/>
                <w:sz w:val="28"/>
                <w:szCs w:val="28"/>
              </w:rPr>
              <w:t>　　</w:t>
            </w:r>
            <w:r>
              <w:rPr>
                <w:rFonts w:hint="eastAsia" w:ascii="方正楷体简体" w:hAnsi="宋体" w:eastAsia="方正楷体简体" w:cs="方正楷体简体"/>
                <w:b/>
                <w:bCs/>
                <w:color w:val="000000"/>
                <w:sz w:val="28"/>
                <w:szCs w:val="28"/>
              </w:rPr>
              <w:t>环境监管信息系统工程。</w:t>
            </w:r>
            <w:r>
              <w:rPr>
                <w:rFonts w:hint="eastAsia" w:ascii="方正仿宋简体" w:hAnsi="宋体" w:eastAsia="方正仿宋简体" w:cs="方正仿宋简体"/>
                <w:color w:val="000000"/>
                <w:sz w:val="28"/>
                <w:szCs w:val="28"/>
              </w:rPr>
              <w:t>启动工业园区及区级环保监控中心建设，扩展在线监控企业终端，新建一批在线环境质量监测系统，实现区控重点污染源、新建污染源和各个空气自动站、水质自动站、城市噪声监控点、油烟监控点、放射源监控点、汽车尾气监控点等监控数据统一联网运行。</w:t>
            </w:r>
          </w:p>
        </w:tc>
      </w:tr>
    </w:tbl>
    <w:p w14:paraId="2E8AE737">
      <w:bookmarkStart w:id="197" w:name="_Toc432670967"/>
    </w:p>
    <w:p w14:paraId="0D2F0180">
      <w:pPr>
        <w:pStyle w:val="4"/>
        <w:spacing w:after="60" w:line="480" w:lineRule="auto"/>
        <w:ind w:firstLine="643" w:firstLineChars="200"/>
        <w:jc w:val="left"/>
        <w:rPr>
          <w:rFonts w:ascii="方正仿宋简体" w:hAnsi="黑体" w:eastAsia="方正仿宋简体"/>
        </w:rPr>
      </w:pPr>
      <w:bookmarkStart w:id="198" w:name="_Toc449037274"/>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推进生态保护和修复</w:t>
      </w:r>
      <w:bookmarkEnd w:id="197"/>
      <w:bookmarkEnd w:id="198"/>
    </w:p>
    <w:p w14:paraId="380EB98E">
      <w:pPr>
        <w:adjustRightInd w:val="0"/>
        <w:snapToGrid w:val="0"/>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以生态文明示范创建为抓手，继续开展“三线三边”综合治理，全面推进城乡环境综合整治，加强城镇和村庄绿化，推动城乡环境基础设施共建共享，着力改善城乡人居环境。加快创建国家和省级生态乡镇、生态村。深入开展绿色社区、绿色学校、绿色家庭、绿色机关、绿色乡村、绿色医院、绿色矿山等创建活动。加强南部山区天然生态屏障建设，发挥森林氧吧作用。强化</w:t>
      </w:r>
      <w:r>
        <w:rPr>
          <w:rFonts w:hint="eastAsia" w:ascii="方正仿宋简体" w:hAnsi="仿宋" w:eastAsia="方正仿宋简体" w:cs="方正仿宋简体"/>
          <w:sz w:val="32"/>
          <w:szCs w:val="32"/>
        </w:rPr>
        <w:t>四</w:t>
      </w:r>
      <w:r>
        <w:rPr>
          <w:rFonts w:hint="eastAsia" w:ascii="方正仿宋简体" w:hAnsi="仿宋" w:eastAsia="方正仿宋简体" w:cs="方正仿宋简体"/>
          <w:color w:val="000000"/>
          <w:sz w:val="32"/>
          <w:szCs w:val="32"/>
        </w:rPr>
        <w:t>岭</w:t>
      </w:r>
      <w:r>
        <w:rPr>
          <w:rFonts w:hint="eastAsia" w:ascii="方正仿宋简体" w:hAnsi="宋体" w:eastAsia="方正仿宋简体" w:cs="方正仿宋简体"/>
          <w:color w:val="000000"/>
          <w:kern w:val="0"/>
          <w:sz w:val="32"/>
          <w:szCs w:val="32"/>
        </w:rPr>
        <w:t>、</w:t>
      </w:r>
      <w:r>
        <w:rPr>
          <w:rFonts w:hint="eastAsia" w:ascii="方正仿宋简体" w:hAnsi="仿宋" w:eastAsia="方正仿宋简体" w:cs="方正仿宋简体"/>
          <w:color w:val="000000"/>
          <w:sz w:val="32"/>
          <w:szCs w:val="32"/>
        </w:rPr>
        <w:t>马衙</w:t>
      </w:r>
      <w:r>
        <w:rPr>
          <w:rFonts w:hint="eastAsia" w:ascii="方正仿宋简体" w:hAnsi="宋体" w:eastAsia="方正仿宋简体" w:cs="方正仿宋简体"/>
          <w:color w:val="000000"/>
          <w:kern w:val="0"/>
          <w:sz w:val="32"/>
          <w:szCs w:val="32"/>
        </w:rPr>
        <w:t>、滴水岩、八一、西山等水库等主要水源地源头生态保护。积极开展森林质量提升行动，巩固千万亩森林增长工程成果，重点加强中幼林、低效林提质增效和林相改造。加强长江沿岸、沿湖生态屏障建设。加强圩区河道整治和修复，矿山生态环境整治，湿地生态修复。加强老山自然保护区森林资源及野生动植物保护，使之成为我区生物多样性基因库，着力恢复丘陵森林植被区，使之成为城区生态屏障。积极探索财政转移支付、生态补偿机制、生态环境绩效评价等方面的制度创新，健全生态协调补偿机制。加快建设生态文化载体，深入挖掘传统文化与地域文化中丰富的生态思想，着力构建以皖江文化、农耕文化、生态旅游文化等为主体的生态文化体系。</w:t>
      </w:r>
    </w:p>
    <w:p w14:paraId="362428AC">
      <w:pPr>
        <w:autoSpaceDE w:val="0"/>
        <w:autoSpaceDN w:val="0"/>
        <w:spacing w:line="240" w:lineRule="exact"/>
        <w:ind w:firstLine="275" w:firstLineChars="98"/>
        <w:jc w:val="center"/>
        <w:rPr>
          <w:rFonts w:ascii="仿宋_GB2312" w:eastAsia="仿宋_GB2312"/>
          <w:b/>
          <w:bCs/>
          <w:color w:val="000000"/>
          <w:sz w:val="28"/>
          <w:szCs w:val="28"/>
        </w:rPr>
      </w:pPr>
    </w:p>
    <w:p w14:paraId="5B945CE4">
      <w:pPr>
        <w:spacing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2</w:t>
      </w:r>
      <w:r>
        <w:rPr>
          <w:rFonts w:ascii="宋体" w:cs="宋体"/>
          <w:b/>
          <w:bCs/>
          <w:color w:val="000000"/>
          <w:sz w:val="28"/>
          <w:szCs w:val="28"/>
        </w:rPr>
        <w:t>0</w:t>
      </w:r>
      <w:r>
        <w:rPr>
          <w:rFonts w:ascii="宋体" w:hAnsi="宋体" w:cs="宋体"/>
          <w:b/>
          <w:bCs/>
          <w:color w:val="000000"/>
          <w:sz w:val="28"/>
          <w:szCs w:val="28"/>
        </w:rPr>
        <w:t xml:space="preserve">  </w:t>
      </w:r>
      <w:r>
        <w:rPr>
          <w:rFonts w:hint="eastAsia" w:ascii="宋体" w:hAnsi="宋体" w:cs="宋体"/>
          <w:b/>
          <w:bCs/>
          <w:color w:val="000000"/>
          <w:sz w:val="28"/>
          <w:szCs w:val="28"/>
        </w:rPr>
        <w:t>生态重点建设项目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7D8F1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vAlign w:val="center"/>
          </w:tcPr>
          <w:p w14:paraId="334820AD">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生态林建设和林业产业化：</w:t>
            </w:r>
            <w:r>
              <w:rPr>
                <w:rFonts w:ascii="方正仿宋简体" w:hAnsi="宋体" w:eastAsia="方正仿宋简体" w:cs="方正仿宋简体"/>
                <w:color w:val="000000"/>
                <w:sz w:val="28"/>
                <w:szCs w:val="28"/>
              </w:rPr>
              <w:t>5</w:t>
            </w:r>
            <w:r>
              <w:rPr>
                <w:rFonts w:hint="eastAsia" w:ascii="方正仿宋简体" w:hAnsi="宋体" w:eastAsia="方正仿宋简体" w:cs="方正仿宋简体"/>
                <w:color w:val="000000"/>
                <w:sz w:val="28"/>
                <w:szCs w:val="28"/>
              </w:rPr>
              <w:t>年人工造林</w:t>
            </w:r>
            <w:r>
              <w:rPr>
                <w:rFonts w:ascii="方正仿宋简体" w:hAnsi="宋体" w:eastAsia="方正仿宋简体" w:cs="方正仿宋简体"/>
                <w:color w:val="000000"/>
                <w:sz w:val="28"/>
                <w:szCs w:val="28"/>
              </w:rPr>
              <w:t>6</w:t>
            </w:r>
            <w:r>
              <w:rPr>
                <w:rFonts w:hint="eastAsia" w:ascii="方正仿宋简体" w:hAnsi="宋体" w:eastAsia="方正仿宋简体" w:cs="方正仿宋简体"/>
                <w:color w:val="000000"/>
                <w:sz w:val="28"/>
                <w:szCs w:val="28"/>
              </w:rPr>
              <w:t>万亩，森林经营</w:t>
            </w:r>
            <w:r>
              <w:rPr>
                <w:rFonts w:ascii="方正仿宋简体" w:hAnsi="宋体" w:eastAsia="方正仿宋简体" w:cs="方正仿宋简体"/>
                <w:color w:val="000000"/>
                <w:sz w:val="28"/>
                <w:szCs w:val="28"/>
              </w:rPr>
              <w:t>20</w:t>
            </w:r>
            <w:r>
              <w:rPr>
                <w:rFonts w:hint="eastAsia" w:ascii="方正仿宋简体" w:hAnsi="宋体" w:eastAsia="方正仿宋简体" w:cs="方正仿宋简体"/>
                <w:color w:val="000000"/>
                <w:sz w:val="28"/>
                <w:szCs w:val="28"/>
              </w:rPr>
              <w:t>万亩；建设</w:t>
            </w:r>
            <w:r>
              <w:rPr>
                <w:rFonts w:ascii="方正仿宋简体" w:hAnsi="宋体" w:eastAsia="方正仿宋简体" w:cs="方正仿宋简体"/>
                <w:color w:val="000000"/>
                <w:sz w:val="28"/>
                <w:szCs w:val="28"/>
              </w:rPr>
              <w:t>2</w:t>
            </w:r>
            <w:r>
              <w:rPr>
                <w:rFonts w:hint="eastAsia" w:ascii="方正仿宋简体" w:hAnsi="宋体" w:eastAsia="方正仿宋简体" w:cs="方正仿宋简体"/>
                <w:color w:val="000000"/>
                <w:sz w:val="28"/>
                <w:szCs w:val="28"/>
              </w:rPr>
              <w:t>万亩储备林，</w:t>
            </w:r>
            <w:r>
              <w:rPr>
                <w:rFonts w:ascii="方正仿宋简体" w:hAnsi="宋体" w:eastAsia="方正仿宋简体" w:cs="方正仿宋简体"/>
                <w:color w:val="000000"/>
                <w:sz w:val="28"/>
                <w:szCs w:val="28"/>
              </w:rPr>
              <w:t>0.5</w:t>
            </w:r>
            <w:r>
              <w:rPr>
                <w:rFonts w:hint="eastAsia" w:ascii="方正仿宋简体" w:hAnsi="宋体" w:eastAsia="方正仿宋简体" w:cs="方正仿宋简体"/>
                <w:color w:val="000000"/>
                <w:sz w:val="28"/>
                <w:szCs w:val="28"/>
              </w:rPr>
              <w:t>万亩后备林；天然林保护工程</w:t>
            </w:r>
            <w:r>
              <w:rPr>
                <w:rFonts w:ascii="方正仿宋简体" w:hAnsi="宋体" w:eastAsia="方正仿宋简体" w:cs="方正仿宋简体"/>
                <w:color w:val="000000"/>
                <w:sz w:val="28"/>
                <w:szCs w:val="28"/>
              </w:rPr>
              <w:t>114</w:t>
            </w:r>
            <w:r>
              <w:rPr>
                <w:rFonts w:hint="eastAsia" w:ascii="方正仿宋简体" w:hAnsi="宋体" w:eastAsia="方正仿宋简体" w:cs="方正仿宋简体"/>
                <w:color w:val="000000"/>
                <w:sz w:val="28"/>
                <w:szCs w:val="28"/>
              </w:rPr>
              <w:t>万亩；建设</w:t>
            </w:r>
            <w:r>
              <w:rPr>
                <w:rFonts w:ascii="方正仿宋简体" w:hAnsi="宋体" w:eastAsia="方正仿宋简体" w:cs="方正仿宋简体"/>
                <w:color w:val="000000"/>
                <w:sz w:val="28"/>
                <w:szCs w:val="28"/>
              </w:rPr>
              <w:t>3</w:t>
            </w:r>
            <w:r>
              <w:rPr>
                <w:rFonts w:hint="eastAsia" w:ascii="方正仿宋简体" w:hAnsi="宋体" w:eastAsia="方正仿宋简体" w:cs="方正仿宋简体"/>
                <w:color w:val="000000"/>
                <w:sz w:val="28"/>
                <w:szCs w:val="28"/>
              </w:rPr>
              <w:t>个现代林业示范园区；东盾木业有限公司</w:t>
            </w:r>
            <w:r>
              <w:rPr>
                <w:rFonts w:ascii="方正仿宋简体" w:hAnsi="宋体" w:eastAsia="方正仿宋简体" w:cs="方正仿宋简体"/>
                <w:color w:val="000000"/>
                <w:sz w:val="28"/>
                <w:szCs w:val="28"/>
              </w:rPr>
              <w:t>10</w:t>
            </w:r>
            <w:r>
              <w:rPr>
                <w:rFonts w:hint="eastAsia" w:ascii="方正仿宋简体" w:hAnsi="宋体" w:eastAsia="方正仿宋简体" w:cs="方正仿宋简体"/>
                <w:color w:val="000000"/>
                <w:sz w:val="28"/>
                <w:szCs w:val="28"/>
              </w:rPr>
              <w:t>万立方米纤维板、切面板深加工建设项目。</w:t>
            </w:r>
          </w:p>
          <w:p w14:paraId="31F2CD0A">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贵池齐石线沿线及</w:t>
            </w:r>
            <w:r>
              <w:rPr>
                <w:rFonts w:ascii="方正楷体简体" w:hAnsi="宋体" w:eastAsia="方正楷体简体" w:cs="方正楷体简体"/>
                <w:b/>
                <w:bCs/>
                <w:color w:val="000000"/>
                <w:sz w:val="28"/>
                <w:szCs w:val="28"/>
              </w:rPr>
              <w:t>318</w:t>
            </w:r>
            <w:r>
              <w:rPr>
                <w:rFonts w:hint="eastAsia" w:ascii="方正楷体简体" w:hAnsi="宋体" w:eastAsia="方正楷体简体" w:cs="方正楷体简体"/>
                <w:b/>
                <w:bCs/>
                <w:color w:val="000000"/>
                <w:sz w:val="28"/>
                <w:szCs w:val="28"/>
              </w:rPr>
              <w:t>国道矿山生态环境恢复治理：</w:t>
            </w:r>
            <w:r>
              <w:rPr>
                <w:rFonts w:hint="eastAsia" w:ascii="方正仿宋简体" w:hAnsi="宋体" w:eastAsia="方正仿宋简体" w:cs="方正仿宋简体"/>
                <w:color w:val="000000"/>
                <w:sz w:val="28"/>
                <w:szCs w:val="28"/>
              </w:rPr>
              <w:t>对齐石沿线、</w:t>
            </w:r>
            <w:r>
              <w:rPr>
                <w:rFonts w:ascii="方正仿宋简体" w:hAnsi="宋体" w:eastAsia="方正仿宋简体" w:cs="方正仿宋简体"/>
                <w:color w:val="000000"/>
                <w:sz w:val="28"/>
                <w:szCs w:val="28"/>
              </w:rPr>
              <w:t>318</w:t>
            </w:r>
            <w:r>
              <w:rPr>
                <w:rFonts w:hint="eastAsia" w:ascii="方正仿宋简体" w:hAnsi="宋体" w:eastAsia="方正仿宋简体" w:cs="方正仿宋简体"/>
                <w:color w:val="000000"/>
                <w:sz w:val="28"/>
                <w:szCs w:val="28"/>
              </w:rPr>
              <w:t>国道沿线矿山生态环境恢复治理，对废弃矿山进行治理复绿，形成新增耕地、林地、建设用地等。</w:t>
            </w:r>
          </w:p>
          <w:p w14:paraId="247FC4F9">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贵池区重要湿地保护和综合开发利用：</w:t>
            </w:r>
            <w:r>
              <w:rPr>
                <w:rFonts w:hint="eastAsia" w:ascii="方正仿宋简体" w:hAnsi="宋体" w:eastAsia="方正仿宋简体" w:cs="方正仿宋简体"/>
                <w:color w:val="000000"/>
                <w:sz w:val="28"/>
                <w:szCs w:val="28"/>
              </w:rPr>
              <w:t>一是对湿地区进行综合治理，还湿地功能，实施退圩还湖、退网还湖、退田还湖；二是对湿地区进行综合开发，带动文化旅游业发展；三是完善湿地区周边基础设施建设，整合周边农家乐、开发旅游景点、健全旅游功能。</w:t>
            </w:r>
          </w:p>
          <w:p w14:paraId="38F00D85">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贵池老山自然保护区森林保护与科普宣教工程：</w:t>
            </w:r>
            <w:r>
              <w:rPr>
                <w:rFonts w:hint="eastAsia" w:ascii="方正仿宋简体" w:hAnsi="宋体" w:eastAsia="方正仿宋简体" w:cs="方正仿宋简体"/>
                <w:color w:val="000000"/>
                <w:sz w:val="28"/>
                <w:szCs w:val="28"/>
              </w:rPr>
              <w:t>新建管理业务用房，森林保育、森林及野生动植物保护和监测，植被恢复，科普宣教工程建设等。</w:t>
            </w:r>
          </w:p>
          <w:p w14:paraId="59760E2C">
            <w:pPr>
              <w:spacing w:line="560" w:lineRule="exact"/>
              <w:ind w:firstLine="562" w:firstLineChars="200"/>
              <w:rPr>
                <w:rFonts w:ascii="宋体"/>
                <w:color w:val="000000"/>
              </w:rPr>
            </w:pPr>
            <w:r>
              <w:rPr>
                <w:rFonts w:hint="eastAsia" w:ascii="方正楷体简体" w:hAnsi="宋体" w:eastAsia="方正楷体简体" w:cs="方正楷体简体"/>
                <w:b/>
                <w:bCs/>
                <w:color w:val="000000"/>
                <w:sz w:val="28"/>
                <w:szCs w:val="28"/>
              </w:rPr>
              <w:t>木本油料高效示范林基地建设：</w:t>
            </w:r>
            <w:r>
              <w:rPr>
                <w:rFonts w:hint="eastAsia" w:ascii="方正仿宋简体" w:hAnsi="宋体" w:eastAsia="方正仿宋简体" w:cs="方正仿宋简体"/>
                <w:color w:val="000000"/>
                <w:kern w:val="0"/>
                <w:sz w:val="28"/>
                <w:szCs w:val="28"/>
              </w:rPr>
              <w:t>新造木本油料林</w:t>
            </w:r>
            <w:r>
              <w:rPr>
                <w:rFonts w:ascii="方正仿宋简体" w:hAnsi="宋体" w:eastAsia="方正仿宋简体" w:cs="方正仿宋简体"/>
                <w:color w:val="000000"/>
                <w:kern w:val="0"/>
                <w:sz w:val="28"/>
                <w:szCs w:val="28"/>
              </w:rPr>
              <w:t>5000</w:t>
            </w:r>
            <w:r>
              <w:rPr>
                <w:rFonts w:hint="eastAsia" w:ascii="方正仿宋简体" w:hAnsi="宋体" w:eastAsia="方正仿宋简体" w:cs="方正仿宋简体"/>
                <w:color w:val="000000"/>
                <w:kern w:val="0"/>
                <w:sz w:val="28"/>
                <w:szCs w:val="28"/>
              </w:rPr>
              <w:t>亩。</w:t>
            </w:r>
          </w:p>
        </w:tc>
      </w:tr>
    </w:tbl>
    <w:p w14:paraId="31EDD02B">
      <w:pPr>
        <w:rPr>
          <w:color w:val="000000"/>
        </w:rPr>
      </w:pPr>
      <w:bookmarkStart w:id="199" w:name="_Toc432670968"/>
    </w:p>
    <w:p w14:paraId="31D7E1FE">
      <w:pPr>
        <w:rPr>
          <w:color w:val="000000"/>
        </w:rPr>
      </w:pPr>
    </w:p>
    <w:p w14:paraId="5B3A003B">
      <w:pPr>
        <w:rPr>
          <w:color w:val="000000"/>
        </w:rPr>
      </w:pPr>
    </w:p>
    <w:p w14:paraId="1FC282EF">
      <w:pPr>
        <w:rPr>
          <w:color w:val="000000"/>
        </w:rPr>
      </w:pPr>
    </w:p>
    <w:p w14:paraId="22559AE8">
      <w:pPr>
        <w:rPr>
          <w:color w:val="000000"/>
        </w:rPr>
      </w:pPr>
    </w:p>
    <w:p w14:paraId="734CA303">
      <w:pPr>
        <w:rPr>
          <w:color w:val="000000"/>
        </w:rPr>
      </w:pPr>
    </w:p>
    <w:p w14:paraId="11FB0B50">
      <w:pPr>
        <w:rPr>
          <w:color w:val="000000"/>
        </w:rPr>
      </w:pPr>
    </w:p>
    <w:p w14:paraId="62DCBDE2">
      <w:pPr>
        <w:pStyle w:val="2"/>
        <w:spacing w:before="260" w:after="260" w:line="480" w:lineRule="auto"/>
        <w:jc w:val="center"/>
        <w:rPr>
          <w:rFonts w:ascii="方正小标宋简体" w:hAnsi="黑体" w:eastAsia="方正小标宋简体"/>
          <w:b w:val="0"/>
          <w:bCs w:val="0"/>
          <w:color w:val="000000"/>
        </w:rPr>
      </w:pPr>
      <w:bookmarkStart w:id="200" w:name="_Toc449037275"/>
      <w:bookmarkStart w:id="201" w:name="_Toc432670974"/>
      <w:r>
        <w:rPr>
          <w:rFonts w:hint="eastAsia" w:ascii="方正小标宋简体" w:hAnsi="黑体" w:eastAsia="方正小标宋简体" w:cs="方正小标宋简体"/>
          <w:b w:val="0"/>
          <w:bCs w:val="0"/>
          <w:color w:val="000000"/>
        </w:rPr>
        <w:t>第五篇</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强化开放发展</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催生全面发展新动能</w:t>
      </w:r>
      <w:bookmarkEnd w:id="200"/>
    </w:p>
    <w:bookmarkEnd w:id="201"/>
    <w:p w14:paraId="2FD804B6">
      <w:pPr>
        <w:pStyle w:val="3"/>
        <w:spacing w:after="120" w:line="480" w:lineRule="auto"/>
        <w:ind w:firstLine="640" w:firstLineChars="200"/>
        <w:jc w:val="left"/>
        <w:rPr>
          <w:rFonts w:ascii="方正黑体简体" w:hAnsi="黑体" w:eastAsia="方正黑体简体" w:cs="Times New Roman"/>
          <w:b w:val="0"/>
          <w:bCs w:val="0"/>
        </w:rPr>
      </w:pPr>
      <w:bookmarkStart w:id="202" w:name="_Toc432670976"/>
      <w:bookmarkStart w:id="203" w:name="_Toc449037276"/>
      <w:r>
        <w:rPr>
          <w:rFonts w:hint="eastAsia" w:ascii="方正黑体简体" w:hAnsi="黑体" w:eastAsia="方正黑体简体" w:cs="方正黑体简体"/>
          <w:b w:val="0"/>
          <w:bCs w:val="0"/>
        </w:rPr>
        <w:t>第十七章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全方位扩大开放</w:t>
      </w:r>
      <w:bookmarkEnd w:id="202"/>
      <w:r>
        <w:rPr>
          <w:rFonts w:hint="eastAsia" w:ascii="方正黑体简体" w:hAnsi="黑体" w:eastAsia="方正黑体简体" w:cs="方正黑体简体"/>
          <w:b w:val="0"/>
          <w:bCs w:val="0"/>
        </w:rPr>
        <w:t>，增强发展活力</w:t>
      </w:r>
      <w:bookmarkEnd w:id="203"/>
    </w:p>
    <w:p w14:paraId="755B6CA5">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把握国家推进长江经济带建设和“一带一路”建设的战略机遇，实施更加积极主动的开放合作战略，在更大范围、更广领域、更高水平上实现资源要素优化配置，积极参与长三角发展分工，高水平承接国内外产业转移。</w:t>
      </w:r>
    </w:p>
    <w:p w14:paraId="23778687">
      <w:pPr>
        <w:pStyle w:val="4"/>
        <w:spacing w:after="60" w:line="480" w:lineRule="auto"/>
        <w:ind w:firstLine="643" w:firstLineChars="200"/>
        <w:jc w:val="left"/>
        <w:rPr>
          <w:rFonts w:ascii="方正仿宋简体" w:hAnsi="黑体" w:eastAsia="方正仿宋简体"/>
        </w:rPr>
      </w:pPr>
      <w:bookmarkStart w:id="204" w:name="_Toc449037277"/>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全面融入国家开发总体布局</w:t>
      </w:r>
      <w:bookmarkEnd w:id="204"/>
    </w:p>
    <w:p w14:paraId="5F4EA8D9">
      <w:pPr>
        <w:pStyle w:val="23"/>
        <w:shd w:val="clear" w:color="auto" w:fill="FFFFFF"/>
        <w:spacing w:before="0" w:after="0" w:line="620" w:lineRule="exact"/>
        <w:ind w:firstLine="643" w:firstLineChars="200"/>
        <w:jc w:val="both"/>
        <w:rPr>
          <w:rFonts w:ascii="方正仿宋简体" w:eastAsia="方正仿宋简体" w:cs="Times New Roman"/>
          <w:sz w:val="32"/>
          <w:szCs w:val="32"/>
        </w:rPr>
      </w:pPr>
      <w:r>
        <w:rPr>
          <w:rFonts w:hint="eastAsia" w:ascii="方正楷体简体" w:eastAsia="方正楷体简体" w:cs="方正楷体简体"/>
          <w:b/>
          <w:bCs/>
          <w:sz w:val="32"/>
          <w:szCs w:val="32"/>
          <w:lang w:val="zh-CN"/>
        </w:rPr>
        <w:t>推进长江经济带建设。</w:t>
      </w:r>
      <w:r>
        <w:rPr>
          <w:rFonts w:hint="eastAsia" w:ascii="方正仿宋简体" w:eastAsia="方正仿宋简体" w:cs="方正仿宋简体"/>
          <w:sz w:val="32"/>
          <w:szCs w:val="32"/>
        </w:rPr>
        <w:t>高水平开发长江岸线资源，加快牛头山港区公用码头、乌沙港区非金属矿运输码头、梅龙港区综合码头建设，加快港区码头建设，规划港口集聚区，优化航运资源，推动江海、铁海、空海等海陆空等多种运输方式一体化联动发展。积极参与长江经济带各个层面、各个领域的协调发展机制，促进区域资源合理配置和经济融合发展。全面引进资金、技术、人才、项目、品牌及先进的管理方式，力争在共建产业园、区域内企业并购重组、设立产业基金和技术联盟、产权交易所、联袂打造优秀文化交流活动和精品旅游线路等方面取得重要突破。加强生态环境保护和联防联控，积极推动市场监管、环境保护、社会管理联动机制，促进合作领域由产业转移、基础设施向市场体系和公共服务等方面拓展。</w:t>
      </w:r>
    </w:p>
    <w:p w14:paraId="2EE43A0F">
      <w:pPr>
        <w:pStyle w:val="23"/>
        <w:shd w:val="clear" w:color="auto" w:fill="FFFFFF"/>
        <w:spacing w:before="0" w:after="0" w:line="620" w:lineRule="exact"/>
        <w:ind w:firstLine="643" w:firstLineChars="200"/>
        <w:jc w:val="both"/>
        <w:rPr>
          <w:rFonts w:ascii="方正仿宋简体" w:eastAsia="方正仿宋简体" w:cs="Times New Roman"/>
          <w:sz w:val="32"/>
          <w:szCs w:val="32"/>
        </w:rPr>
      </w:pPr>
      <w:bookmarkStart w:id="205" w:name="_Toc16596"/>
      <w:bookmarkStart w:id="206" w:name="_Toc22938"/>
      <w:bookmarkStart w:id="207" w:name="_Toc14192"/>
      <w:bookmarkStart w:id="208" w:name="_Toc433650699"/>
      <w:bookmarkStart w:id="209" w:name="_Toc8013"/>
      <w:bookmarkStart w:id="210" w:name="_Toc12579"/>
      <w:r>
        <w:rPr>
          <w:rFonts w:hint="eastAsia" w:ascii="方正楷体简体" w:eastAsia="方正楷体简体" w:cs="方正楷体简体"/>
          <w:b/>
          <w:bCs/>
          <w:sz w:val="32"/>
          <w:szCs w:val="32"/>
          <w:lang w:val="zh-CN"/>
        </w:rPr>
        <w:t>主动参与“一带一路”建设</w:t>
      </w:r>
      <w:bookmarkEnd w:id="205"/>
      <w:bookmarkEnd w:id="206"/>
      <w:bookmarkEnd w:id="207"/>
      <w:bookmarkEnd w:id="208"/>
      <w:bookmarkEnd w:id="209"/>
      <w:bookmarkEnd w:id="210"/>
      <w:r>
        <w:rPr>
          <w:rFonts w:hint="eastAsia" w:ascii="方正楷体简体" w:eastAsia="方正楷体简体" w:cs="方正楷体简体"/>
          <w:b/>
          <w:bCs/>
          <w:sz w:val="32"/>
          <w:szCs w:val="32"/>
          <w:lang w:val="zh-CN"/>
        </w:rPr>
        <w:t>。</w:t>
      </w:r>
      <w:r>
        <w:rPr>
          <w:rFonts w:hint="eastAsia" w:ascii="方正仿宋简体" w:eastAsia="方正仿宋简体" w:cs="方正仿宋简体"/>
          <w:sz w:val="32"/>
          <w:szCs w:val="32"/>
        </w:rPr>
        <w:t>深化与“一带一路”地区的合作，支持我区企业通过新建、参股、并购等方式参与“一带一路”建设。注重发挥我区在海外的留学生、华侨、社团等桥梁作用，加强与外国政府机构、国际民间组织友好往来，推动多层次的交流与合作。</w:t>
      </w:r>
    </w:p>
    <w:p w14:paraId="214127B6">
      <w:pPr>
        <w:pStyle w:val="23"/>
        <w:shd w:val="clear" w:color="auto" w:fill="FFFFFF"/>
        <w:spacing w:before="0" w:after="0" w:line="620" w:lineRule="exact"/>
        <w:ind w:firstLine="643" w:firstLineChars="200"/>
        <w:jc w:val="both"/>
        <w:rPr>
          <w:rFonts w:ascii="方正仿宋简体" w:eastAsia="方正仿宋简体" w:cs="Times New Roman"/>
          <w:sz w:val="32"/>
          <w:szCs w:val="32"/>
        </w:rPr>
      </w:pPr>
      <w:r>
        <w:rPr>
          <w:rFonts w:hint="eastAsia" w:ascii="方正楷体简体" w:eastAsia="方正楷体简体" w:cs="方正楷体简体"/>
          <w:b/>
          <w:bCs/>
          <w:sz w:val="32"/>
          <w:szCs w:val="32"/>
          <w:lang w:val="zh-CN"/>
        </w:rPr>
        <w:t>推进区域协作。</w:t>
      </w:r>
      <w:r>
        <w:rPr>
          <w:rFonts w:hint="eastAsia" w:ascii="方正仿宋简体" w:eastAsia="方正仿宋简体" w:cs="方正仿宋简体"/>
          <w:sz w:val="32"/>
          <w:szCs w:val="32"/>
        </w:rPr>
        <w:t>切实加强区域内外交流，充分依靠相关部门和社会团体，加强与区外的联系，巩固和发展一批友好城市、友好企业、友好院校。注重区际横向经济联合与协作，不断加强与区外的经济技术交流，实现优势互补。融入安池铜城市组群合作发展，推进城乡、产业、基础设施、生态文明、公共服务等协同发展。建立与区域外毗邻区县资源合理配置，搭建交流合作平台，推动基础设施共建共享，联合构建无障碍旅游区。推动园区与全国知名商业协会、大企业和区外园区结对共建发展。</w:t>
      </w:r>
    </w:p>
    <w:p w14:paraId="2073BCE7">
      <w:pPr>
        <w:pStyle w:val="4"/>
        <w:spacing w:after="60" w:line="480" w:lineRule="auto"/>
        <w:ind w:firstLine="643" w:firstLineChars="200"/>
        <w:jc w:val="left"/>
        <w:rPr>
          <w:rFonts w:ascii="方正仿宋简体" w:hAnsi="黑体" w:eastAsia="方正仿宋简体"/>
        </w:rPr>
      </w:pPr>
      <w:bookmarkStart w:id="211" w:name="_Toc449037278"/>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提高招商引资质量效益</w:t>
      </w:r>
      <w:bookmarkEnd w:id="211"/>
    </w:p>
    <w:p w14:paraId="519044AE">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lang w:val="zh-CN"/>
        </w:rPr>
        <w:t>提升承接产业转移水平。</w:t>
      </w:r>
      <w:r>
        <w:rPr>
          <w:rFonts w:hint="eastAsia" w:ascii="方正仿宋简体" w:hAnsi="宋体" w:eastAsia="方正仿宋简体" w:cs="方正仿宋简体"/>
          <w:color w:val="000000"/>
          <w:kern w:val="0"/>
          <w:sz w:val="32"/>
          <w:szCs w:val="32"/>
        </w:rPr>
        <w:t>全面融入国家“三大战略”，紧盯长三角、珠三角、泛长三角重点区域，聚焦首位产业和主导产业招商，促进专业化和全产业链发展。抢抓产业转移机遇，创新招商方式，大力开展精准招商、产业招商、要素招商、驻点招商、以商招商。突出引资引技引智一体化，支持发展总部经济，积极引进研发、采购、物流、结算中心等产业链高端环节，引导资金投向新一代信息技术、高端装备制造、新材料、节能环保、现代服务业等领域。以世界</w:t>
      </w:r>
      <w:r>
        <w:rPr>
          <w:rFonts w:ascii="方正仿宋简体" w:hAnsi="宋体" w:eastAsia="方正仿宋简体" w:cs="方正仿宋简体"/>
          <w:color w:val="000000"/>
          <w:kern w:val="0"/>
          <w:sz w:val="32"/>
          <w:szCs w:val="32"/>
        </w:rPr>
        <w:t>500</w:t>
      </w:r>
      <w:r>
        <w:rPr>
          <w:rFonts w:hint="eastAsia" w:ascii="方正仿宋简体" w:hAnsi="宋体" w:eastAsia="方正仿宋简体" w:cs="方正仿宋简体"/>
          <w:color w:val="000000"/>
          <w:kern w:val="0"/>
          <w:sz w:val="32"/>
          <w:szCs w:val="32"/>
        </w:rPr>
        <w:t>强、跨国公司、行业领先企业和中央企业、知名民企为主攻目标，搜集、筛选符合我区产业发展导向的投资信息和项目，制定个性化招商方案，“一对一、点对点”招商，努力提高招商针对性。围绕我区主导产业发展的关键环节、核心技术、重点产品，完善产业招商路线图，围绕产业链上下游配套关系开展招商，力争引进一批产业链龙头核心项目，产业链延伸配套项目，做优主导产业、做强新兴产业、做大优势产业。</w:t>
      </w:r>
    </w:p>
    <w:p w14:paraId="5B4B2660">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lang w:val="zh-CN"/>
        </w:rPr>
        <w:t>完善保障和激励机制。</w:t>
      </w:r>
      <w:r>
        <w:rPr>
          <w:rFonts w:hint="eastAsia" w:ascii="方正仿宋简体" w:hAnsi="宋体" w:eastAsia="方正仿宋简体" w:cs="方正仿宋简体"/>
          <w:color w:val="000000"/>
          <w:kern w:val="0"/>
          <w:sz w:val="32"/>
          <w:szCs w:val="32"/>
        </w:rPr>
        <w:t>坚持招商引资为第一要务，实行主要领导负责制、项目联系人制度等，形成齐抓共管、各负其责的招商责任传导机制。加强专业化招商队伍建设，建设若干支既能独当一面，又能协调作战，高素质、复合型、专业化的招商队伍。建立招商人才培训和干部激励机制，定期开展招商工作人员业务技能培训，全面提高招商干部的政策业务能力、活动策划能力、项目谈判能力、组织协调能力和管理服务能力。完善招商引资考核办法，充分调动招商引资的积极性、主动性。压实园区和镇街招商主体责任，实施区级领导专职招商、园区全员招商、区直部门产业招商和镇街“飞地”招商，适度开展委托招商，鼓励要素招商。继续开展招商引资回头看活动，健全项目退出机制，以清促用、以清促建，提高土地、资产利用率。</w:t>
      </w:r>
    </w:p>
    <w:p w14:paraId="696558C2">
      <w:pPr>
        <w:pStyle w:val="4"/>
        <w:spacing w:after="60" w:line="480" w:lineRule="auto"/>
        <w:ind w:firstLine="643" w:firstLineChars="200"/>
        <w:jc w:val="left"/>
        <w:rPr>
          <w:rFonts w:ascii="方正仿宋简体" w:hAnsi="黑体" w:eastAsia="方正仿宋简体"/>
        </w:rPr>
      </w:pPr>
      <w:bookmarkStart w:id="212" w:name="_Toc449037279"/>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培育外贸竞争新优势</w:t>
      </w:r>
      <w:bookmarkEnd w:id="212"/>
    </w:p>
    <w:p w14:paraId="45649E9C">
      <w:pPr>
        <w:spacing w:line="620" w:lineRule="exact"/>
        <w:ind w:firstLine="643" w:firstLineChars="200"/>
        <w:rPr>
          <w:rFonts w:ascii="仿宋_GB2312" w:hAnsi="宋体" w:eastAsia="仿宋_GB2312"/>
          <w:color w:val="000000"/>
          <w:kern w:val="0"/>
          <w:sz w:val="30"/>
          <w:szCs w:val="30"/>
          <w:lang w:val="zh-CN"/>
        </w:rPr>
      </w:pPr>
      <w:r>
        <w:rPr>
          <w:rFonts w:hint="eastAsia" w:ascii="方正楷体简体" w:hAnsi="宋体" w:eastAsia="方正楷体简体" w:cs="方正楷体简体"/>
          <w:b/>
          <w:bCs/>
          <w:color w:val="000000"/>
          <w:kern w:val="0"/>
          <w:sz w:val="32"/>
          <w:szCs w:val="32"/>
          <w:lang w:val="zh-CN"/>
        </w:rPr>
        <w:t>积极拓展利用外资。</w:t>
      </w:r>
      <w:r>
        <w:rPr>
          <w:rFonts w:hint="eastAsia" w:ascii="方正仿宋简体" w:hAnsi="宋体" w:eastAsia="方正仿宋简体" w:cs="方正仿宋简体"/>
          <w:color w:val="000000"/>
          <w:kern w:val="0"/>
          <w:sz w:val="32"/>
          <w:szCs w:val="32"/>
        </w:rPr>
        <w:t>围绕主导产业，深入谋划外资项目，聚焦沿海地区、港澳台、日韩等外资主要来源地，积极开展以商招商、同乡会招商，探索中介招商等社会化、市场化招商模式。鼓励外商投资企业增资扩股，通过利润再分配、增资、并购等多种形式扩大规模。同时，在巩固传统工业利用外资的基础上，抓好农业、交通、教育、卫生、市政等基础产业的利用外资，拓展外资利用领域。</w:t>
      </w:r>
    </w:p>
    <w:p w14:paraId="204E4141">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lang w:val="zh-CN"/>
        </w:rPr>
        <w:t>转变外贸发展方式。</w:t>
      </w:r>
      <w:r>
        <w:rPr>
          <w:rFonts w:hint="eastAsia" w:ascii="方正仿宋简体" w:hAnsi="宋体" w:eastAsia="方正仿宋简体" w:cs="方正仿宋简体"/>
          <w:color w:val="000000"/>
          <w:kern w:val="0"/>
          <w:sz w:val="32"/>
          <w:szCs w:val="32"/>
        </w:rPr>
        <w:t>整合各项外贸扶持政策，在着力拓宽覆盖面的同时，加大带动力强、影响力大的优质企业扶持力度，夯实外贸主体基础。积极探索承接加工贸易产业转移新模式，加快培育综合型、专业型和企业型出口基地，积极争创加工贸易梯度转移示范基地。积极推进牛头山等港区扩大开放工作，建设前江工业园保税物流园，提高报关、物流、退税、信保、结汇等综合服务水平，增强企业国际市场开拓能力。加快发展服务贸易，扩大旅游、文化演艺等服务出口。加快培育新型外贸方式，大力发展跨境电子商务，引导和鼓励企业加入国际电子商务平台，打造跨境电子商务通关平台和集聚区。鼓励企业“走出去”，培育增强跨国经营能力，提升国际竞争力。</w:t>
      </w:r>
    </w:p>
    <w:p w14:paraId="610CB547">
      <w:pPr>
        <w:spacing w:line="620" w:lineRule="exact"/>
        <w:ind w:firstLine="640" w:firstLineChars="200"/>
        <w:rPr>
          <w:rFonts w:ascii="方正仿宋简体" w:hAnsi="宋体" w:eastAsia="方正仿宋简体"/>
          <w:color w:val="000000"/>
          <w:kern w:val="0"/>
          <w:sz w:val="32"/>
          <w:szCs w:val="32"/>
        </w:rPr>
      </w:pPr>
    </w:p>
    <w:p w14:paraId="60022916">
      <w:pPr>
        <w:pStyle w:val="3"/>
        <w:spacing w:after="120" w:line="480" w:lineRule="auto"/>
        <w:ind w:firstLine="640" w:firstLineChars="200"/>
        <w:jc w:val="left"/>
        <w:rPr>
          <w:rFonts w:ascii="方正黑体简体" w:hAnsi="黑体" w:eastAsia="方正黑体简体" w:cs="Times New Roman"/>
          <w:b w:val="0"/>
          <w:bCs w:val="0"/>
        </w:rPr>
      </w:pPr>
      <w:bookmarkStart w:id="213" w:name="_Toc449037280"/>
      <w:r>
        <w:rPr>
          <w:rFonts w:hint="eastAsia" w:ascii="方正黑体简体" w:hAnsi="黑体" w:eastAsia="方正黑体简体" w:cs="方正黑体简体"/>
          <w:b w:val="0"/>
          <w:bCs w:val="0"/>
        </w:rPr>
        <w:t>第十八章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加快改革攻坚步伐，构建全面发展新体制</w:t>
      </w:r>
      <w:bookmarkEnd w:id="213"/>
    </w:p>
    <w:p w14:paraId="77E89E99">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按照党的十八大及十八届四中、五中全会精神要求，统筹改革、创新关系，深化体制改革，加强自主创新，增强经济社会发展的动力和活力。</w:t>
      </w:r>
    </w:p>
    <w:p w14:paraId="57E62DC1">
      <w:pPr>
        <w:pStyle w:val="4"/>
        <w:spacing w:after="60" w:line="480" w:lineRule="auto"/>
        <w:ind w:firstLine="643" w:firstLineChars="200"/>
        <w:jc w:val="left"/>
        <w:rPr>
          <w:rFonts w:ascii="方正仿宋简体" w:hAnsi="黑体" w:eastAsia="方正仿宋简体"/>
        </w:rPr>
      </w:pPr>
      <w:bookmarkStart w:id="214" w:name="_Toc449037281"/>
      <w:bookmarkStart w:id="215" w:name="_Toc13088"/>
      <w:bookmarkStart w:id="216" w:name="_Toc430532522"/>
      <w:bookmarkStart w:id="217" w:name="_Toc24518"/>
      <w:bookmarkStart w:id="218" w:name="_Toc9566"/>
      <w:bookmarkStart w:id="219" w:name="_Toc24211"/>
      <w:bookmarkStart w:id="220" w:name="_Toc432405478"/>
      <w:bookmarkStart w:id="221" w:name="_Toc432670975"/>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加快转变政府职能</w:t>
      </w:r>
      <w:bookmarkEnd w:id="214"/>
    </w:p>
    <w:p w14:paraId="6CCB6AE3">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大力推进重点领域和关键环节改革，加快完善有利于科学发展基础，为加快经济转型升级提供保障。</w:t>
      </w:r>
    </w:p>
    <w:p w14:paraId="5B82296F">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lang w:val="zh-CN"/>
        </w:rPr>
        <w:t>深入推进行政管理体制改革。</w:t>
      </w:r>
      <w:r>
        <w:rPr>
          <w:rFonts w:hint="eastAsia" w:ascii="方正仿宋简体" w:hAnsi="宋体" w:eastAsia="方正仿宋简体" w:cs="方正仿宋简体"/>
          <w:color w:val="000000"/>
          <w:kern w:val="0"/>
          <w:sz w:val="32"/>
          <w:szCs w:val="32"/>
        </w:rPr>
        <w:t>深化行政审批制度改革，加快建立和完善权力清单、责任清单、负面清单、涉企收费清单等制度，深入推进流程再造，推行网上审批、联合审批；巩固完善行政权力“一库四平台”建设成果，不断深化为民服务全程代理制。推进事业单位分类改革，加大政府购买公共服务力度，推动公办事业单位与主管部门理顺关系和去行政化，着力构建财政支持公益事业发展长效机制。进一步厘清政府权责，加强发展战略、规划、政策、标准等制定和实施，全面履行公共服务、市场监管、社会管理、环境保护等职责。完善发展成果考核评价体系，推动发展的立足点转到提高发展的质量和效益上来。</w:t>
      </w:r>
    </w:p>
    <w:p w14:paraId="5E985E26">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lang w:val="zh-CN"/>
        </w:rPr>
        <w:t>深化经济体制改革。</w:t>
      </w:r>
      <w:r>
        <w:rPr>
          <w:rFonts w:hint="eastAsia" w:ascii="方正仿宋简体" w:hAnsi="宋体" w:eastAsia="方正仿宋简体" w:cs="方正仿宋简体"/>
          <w:color w:val="000000"/>
          <w:kern w:val="0"/>
          <w:sz w:val="32"/>
          <w:szCs w:val="32"/>
        </w:rPr>
        <w:t>积极发展混合所有制经济，推进国有企业兼并重组、做大做强，加强与央企、知名民企开展战略合作，促进非公经济转型升级。完善现代市场体系，实行统一的市场准入制度，加快实施负面清单管理，深化商事制度改革，全面落实“先照后证”，实现“三证合一”和“一证一号”，进一步激发市场和社会活力。推进要素平等交换和公共资源均衡配置，建立城乡统一的建设用地市场。深化投资审批制度改革，取消或简化前置性审批，充分落实企业投资自主权，推进投资创业便利化。推进投资体制改革，推广运用政府和社会资本合作模式（</w:t>
      </w:r>
      <w:r>
        <w:rPr>
          <w:rFonts w:ascii="方正仿宋简体" w:hAnsi="宋体" w:eastAsia="方正仿宋简体" w:cs="方正仿宋简体"/>
          <w:color w:val="000000"/>
          <w:kern w:val="0"/>
          <w:sz w:val="32"/>
          <w:szCs w:val="32"/>
        </w:rPr>
        <w:t>PPP</w:t>
      </w:r>
      <w:r>
        <w:rPr>
          <w:rFonts w:hint="eastAsia" w:ascii="方正仿宋简体" w:hAnsi="宋体" w:eastAsia="方正仿宋简体" w:cs="方正仿宋简体"/>
          <w:color w:val="000000"/>
          <w:kern w:val="0"/>
          <w:sz w:val="32"/>
          <w:szCs w:val="32"/>
        </w:rPr>
        <w:t>），鼓励社会资本参与投资。推进财税体制改革，实施全面规范、公开透明的预算制度，逐步扩大政府购买服务范围；落实“营改增”政策，促进服务业发展和产业结构优化升级；规范政府举债融资制度，防范政府性债务风险。发展多元化资本市场，积极推动“新三板”企业融资和“转板”工作。</w:t>
      </w:r>
    </w:p>
    <w:p w14:paraId="552FB451">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lang w:val="zh-CN"/>
        </w:rPr>
        <w:t>稳步推进社会体制改革。</w:t>
      </w:r>
      <w:r>
        <w:rPr>
          <w:rFonts w:hint="eastAsia" w:ascii="方正仿宋简体" w:hAnsi="宋体" w:eastAsia="方正仿宋简体" w:cs="方正仿宋简体"/>
          <w:color w:val="000000"/>
          <w:kern w:val="0"/>
          <w:sz w:val="32"/>
          <w:szCs w:val="32"/>
        </w:rPr>
        <w:t>推进政事分开、管办分开，分离政府的公共管理职能和社会事业举办职能，从制度上保障平等准入、公平竞争的市场环境；按照促进义务教育均衡发展、加快普及高中教育、提高高等教育质量、大力发展职业教育的方向，深化教育体制改革；深化医药卫生体制改革，坚持公共医疗卫生的公益性质，按照政事分开、管办分开、医药分开、营利性与非营利性分开的原则，进一步深化公立医院改革；深化文化体制改革，完善扶持公益性文化事业、发展文化产业、鼓励文化创新的政策，营造有利于出精品、出人才、出效益的环境；健全党委领导、政府负责、社会协同、公众参与的社会管理格局，健全基层社会管理体制，完善社区综合服务功能。</w:t>
      </w:r>
    </w:p>
    <w:p w14:paraId="6BAF95AA">
      <w:pPr>
        <w:pStyle w:val="4"/>
        <w:spacing w:after="60" w:line="480" w:lineRule="auto"/>
        <w:ind w:firstLine="643" w:firstLineChars="200"/>
        <w:jc w:val="left"/>
        <w:rPr>
          <w:rFonts w:ascii="方正仿宋简体" w:hAnsi="黑体" w:eastAsia="方正仿宋简体"/>
        </w:rPr>
      </w:pPr>
      <w:bookmarkStart w:id="222" w:name="_Toc449037282"/>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健全现代市场体系</w:t>
      </w:r>
      <w:bookmarkEnd w:id="222"/>
    </w:p>
    <w:p w14:paraId="62297DC5">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lang w:val="zh-CN"/>
        </w:rPr>
        <w:t>完善市场监管体系。</w:t>
      </w:r>
      <w:r>
        <w:rPr>
          <w:rFonts w:hint="eastAsia" w:ascii="方正仿宋简体" w:hAnsi="宋体" w:eastAsia="方正仿宋简体" w:cs="方正仿宋简体"/>
          <w:color w:val="000000"/>
          <w:kern w:val="0"/>
          <w:sz w:val="32"/>
          <w:szCs w:val="32"/>
        </w:rPr>
        <w:t>实行统一的市场准入制度，清理各行业准入规则中不适当的限制性条件，全面落实工商登记制度改革，全面实施企业信息公示制度。推进贸易流通体制改革，清理和废除妨碍统一市场和公平竞争的各种规定和做法。实行统一的市场监管体制机制，建立放管结合机制，推进市场监管重心下移、属地管理。</w:t>
      </w:r>
    </w:p>
    <w:p w14:paraId="7F40EA76">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lang w:val="zh-CN"/>
        </w:rPr>
        <w:t>完善中介服务体系。</w:t>
      </w:r>
      <w:r>
        <w:rPr>
          <w:rFonts w:hint="eastAsia" w:ascii="方正仿宋简体" w:hAnsi="宋体" w:eastAsia="方正仿宋简体" w:cs="方正仿宋简体"/>
          <w:color w:val="000000"/>
          <w:kern w:val="0"/>
          <w:sz w:val="32"/>
          <w:szCs w:val="32"/>
        </w:rPr>
        <w:t>加强多类别多层次中介服务网络建设，扶持发展研究开发、技术转移、创业孵化、知识产权、科技咨询等科技创新中介服务，加快完善勘察设计、招标代理、工程监理、项目代建等投资中介服务，鼓励发展证券期货投资咨询、资产评估、会计审计、融资担保、法律仲裁等领域中介服务。清理规范检验、检测、认证、咨询等行政审批相关的中介服务。推进政府部门与下属中介服务单位、行业协会、商会在机构、职能、资产等方面彻底脱钩。</w:t>
      </w:r>
    </w:p>
    <w:p w14:paraId="1E21169A">
      <w:pPr>
        <w:pStyle w:val="4"/>
        <w:spacing w:after="60" w:line="480" w:lineRule="auto"/>
        <w:ind w:firstLine="643" w:firstLineChars="200"/>
        <w:jc w:val="left"/>
        <w:rPr>
          <w:rFonts w:ascii="方正仿宋简体" w:hAnsi="黑体" w:eastAsia="方正仿宋简体"/>
        </w:rPr>
      </w:pPr>
      <w:bookmarkStart w:id="223" w:name="_Toc449037283"/>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促进多种所有制经济共同发展</w:t>
      </w:r>
      <w:bookmarkEnd w:id="215"/>
      <w:bookmarkEnd w:id="223"/>
    </w:p>
    <w:p w14:paraId="3DF7647E">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紧紧围绕使市场在资源配置中起决定性作用，坚持和完善基本经济制度。</w:t>
      </w:r>
    </w:p>
    <w:p w14:paraId="158DE2DD">
      <w:pPr>
        <w:spacing w:line="60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lang w:val="zh-CN"/>
        </w:rPr>
        <w:t>大力发展民营经济。</w:t>
      </w:r>
      <w:r>
        <w:rPr>
          <w:rFonts w:hint="eastAsia" w:ascii="方正仿宋简体" w:hAnsi="宋体" w:eastAsia="方正仿宋简体" w:cs="方正仿宋简体"/>
          <w:color w:val="000000"/>
          <w:kern w:val="0"/>
          <w:sz w:val="32"/>
          <w:szCs w:val="32"/>
        </w:rPr>
        <w:t>坚持权利平等、机会平等、规则平等，落实和完善支持民营经济发展的政策措施，废除各种不合理规定，消除各种隐形壁垒。进一步减少和规范涉企收费、减轻企业负担。加强中小企业公共服务体系和市场化服务平台建设。支持民营企业以独资、合作、联营、参股、特许经营等方式，参与经营性基础设施和公益事业项目建设。制定非公有制企业进入特许经营领域具体办法，实行统一的市场准入制度。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年，力争民营企业户数达</w:t>
      </w:r>
      <w:r>
        <w:rPr>
          <w:rFonts w:ascii="方正仿宋简体" w:hAnsi="宋体" w:eastAsia="方正仿宋简体" w:cs="方正仿宋简体"/>
          <w:color w:val="000000"/>
          <w:kern w:val="0"/>
          <w:sz w:val="32"/>
          <w:szCs w:val="32"/>
        </w:rPr>
        <w:t>5000</w:t>
      </w:r>
      <w:r>
        <w:rPr>
          <w:rFonts w:hint="eastAsia" w:ascii="方正仿宋简体" w:hAnsi="宋体" w:eastAsia="方正仿宋简体" w:cs="方正仿宋简体"/>
          <w:color w:val="000000"/>
          <w:kern w:val="0"/>
          <w:sz w:val="32"/>
          <w:szCs w:val="32"/>
        </w:rPr>
        <w:t>户以上，</w:t>
      </w:r>
      <w:r>
        <w:rPr>
          <w:rFonts w:ascii="方正仿宋简体" w:hAnsi="宋体" w:eastAsia="方正仿宋简体" w:cs="方正仿宋简体"/>
          <w:color w:val="000000"/>
          <w:kern w:val="0"/>
          <w:sz w:val="32"/>
          <w:szCs w:val="32"/>
        </w:rPr>
        <w:t>1</w:t>
      </w:r>
      <w:r>
        <w:rPr>
          <w:rFonts w:hint="eastAsia" w:ascii="方正仿宋简体" w:hAnsi="宋体" w:eastAsia="方正仿宋简体" w:cs="方正仿宋简体"/>
          <w:color w:val="000000"/>
          <w:kern w:val="0"/>
          <w:sz w:val="32"/>
          <w:szCs w:val="32"/>
        </w:rPr>
        <w:t>家以上企业进入全省民营百强。</w:t>
      </w:r>
    </w:p>
    <w:p w14:paraId="6CEA3392">
      <w:pPr>
        <w:spacing w:line="60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lang w:val="zh-CN"/>
        </w:rPr>
        <w:t>深化国资国企改革。</w:t>
      </w:r>
      <w:r>
        <w:rPr>
          <w:rFonts w:hint="eastAsia" w:ascii="方正仿宋简体" w:hAnsi="宋体" w:eastAsia="方正仿宋简体" w:cs="方正仿宋简体"/>
          <w:color w:val="000000"/>
          <w:kern w:val="0"/>
          <w:sz w:val="32"/>
          <w:szCs w:val="32"/>
        </w:rPr>
        <w:t>全面梳理经营性、非经营性国有资产，盘活存量，实现国有资产监管全覆盖，完善以管资本为主的国资管理体制，加快推进资产资本化。允许各种所有制资本交叉持股、相互融合，保障民营经济与国有经济平等参与市场竞争。</w:t>
      </w:r>
    </w:p>
    <w:p w14:paraId="3AE93650">
      <w:pPr>
        <w:spacing w:line="600" w:lineRule="exact"/>
        <w:ind w:firstLine="640" w:firstLineChars="200"/>
        <w:rPr>
          <w:rFonts w:ascii="方正仿宋简体" w:hAnsi="宋体" w:eastAsia="方正仿宋简体"/>
          <w:color w:val="000000"/>
          <w:kern w:val="0"/>
          <w:sz w:val="32"/>
          <w:szCs w:val="32"/>
        </w:rPr>
      </w:pPr>
    </w:p>
    <w:p w14:paraId="2E92E7C0">
      <w:pPr>
        <w:spacing w:line="600" w:lineRule="exact"/>
        <w:ind w:firstLine="640" w:firstLineChars="200"/>
        <w:rPr>
          <w:rFonts w:ascii="方正仿宋简体" w:hAnsi="宋体" w:eastAsia="方正仿宋简体"/>
          <w:color w:val="000000"/>
          <w:kern w:val="0"/>
          <w:sz w:val="32"/>
          <w:szCs w:val="32"/>
        </w:rPr>
      </w:pPr>
    </w:p>
    <w:p w14:paraId="689FFC53">
      <w:pPr>
        <w:spacing w:line="600" w:lineRule="exact"/>
        <w:ind w:firstLine="640" w:firstLineChars="200"/>
        <w:rPr>
          <w:rFonts w:ascii="方正仿宋简体" w:hAnsi="宋体" w:eastAsia="方正仿宋简体"/>
          <w:color w:val="000000"/>
          <w:kern w:val="0"/>
          <w:sz w:val="32"/>
          <w:szCs w:val="32"/>
        </w:rPr>
      </w:pPr>
    </w:p>
    <w:p w14:paraId="198D361D">
      <w:pPr>
        <w:spacing w:line="600" w:lineRule="exact"/>
        <w:ind w:firstLine="640" w:firstLineChars="200"/>
        <w:rPr>
          <w:rFonts w:ascii="方正仿宋简体" w:hAnsi="宋体" w:eastAsia="方正仿宋简体"/>
          <w:color w:val="000000"/>
          <w:kern w:val="0"/>
          <w:sz w:val="32"/>
          <w:szCs w:val="32"/>
        </w:rPr>
      </w:pPr>
    </w:p>
    <w:p w14:paraId="2A3CDF32">
      <w:pPr>
        <w:spacing w:line="600" w:lineRule="exact"/>
        <w:ind w:firstLine="640" w:firstLineChars="200"/>
        <w:rPr>
          <w:rFonts w:ascii="方正仿宋简体" w:hAnsi="宋体" w:eastAsia="方正仿宋简体"/>
          <w:color w:val="000000"/>
          <w:kern w:val="0"/>
          <w:sz w:val="32"/>
          <w:szCs w:val="32"/>
        </w:rPr>
      </w:pPr>
    </w:p>
    <w:p w14:paraId="20F6969C">
      <w:pPr>
        <w:spacing w:line="600" w:lineRule="exact"/>
        <w:ind w:firstLine="640" w:firstLineChars="200"/>
        <w:rPr>
          <w:rFonts w:ascii="方正仿宋简体" w:hAnsi="宋体" w:eastAsia="方正仿宋简体"/>
          <w:color w:val="000000"/>
          <w:kern w:val="0"/>
          <w:sz w:val="32"/>
          <w:szCs w:val="32"/>
        </w:rPr>
      </w:pPr>
    </w:p>
    <w:p w14:paraId="3C7F28F2">
      <w:pPr>
        <w:spacing w:line="600" w:lineRule="exact"/>
        <w:ind w:firstLine="640" w:firstLineChars="200"/>
        <w:rPr>
          <w:rFonts w:ascii="方正仿宋简体" w:hAnsi="宋体" w:eastAsia="方正仿宋简体"/>
          <w:color w:val="000000"/>
          <w:kern w:val="0"/>
          <w:sz w:val="32"/>
          <w:szCs w:val="32"/>
        </w:rPr>
      </w:pPr>
    </w:p>
    <w:p w14:paraId="46574BE4">
      <w:pPr>
        <w:spacing w:line="600" w:lineRule="exact"/>
        <w:ind w:firstLine="640" w:firstLineChars="200"/>
        <w:rPr>
          <w:rFonts w:ascii="方正仿宋简体" w:hAnsi="宋体" w:eastAsia="方正仿宋简体"/>
          <w:color w:val="000000"/>
          <w:kern w:val="0"/>
          <w:sz w:val="32"/>
          <w:szCs w:val="32"/>
        </w:rPr>
      </w:pPr>
    </w:p>
    <w:p w14:paraId="02E4A023">
      <w:pPr>
        <w:spacing w:line="600" w:lineRule="exact"/>
        <w:ind w:firstLine="640" w:firstLineChars="200"/>
        <w:rPr>
          <w:rFonts w:ascii="方正仿宋简体" w:hAnsi="宋体" w:eastAsia="方正仿宋简体"/>
          <w:color w:val="000000"/>
          <w:kern w:val="0"/>
          <w:sz w:val="32"/>
          <w:szCs w:val="32"/>
        </w:rPr>
      </w:pPr>
    </w:p>
    <w:p w14:paraId="1E1380F2">
      <w:pPr>
        <w:spacing w:line="600" w:lineRule="exact"/>
        <w:ind w:firstLine="640" w:firstLineChars="200"/>
        <w:rPr>
          <w:rFonts w:ascii="方正仿宋简体" w:hAnsi="宋体" w:eastAsia="方正仿宋简体"/>
          <w:color w:val="000000"/>
          <w:kern w:val="0"/>
          <w:sz w:val="32"/>
          <w:szCs w:val="32"/>
        </w:rPr>
      </w:pPr>
    </w:p>
    <w:p w14:paraId="3E833B5A">
      <w:pPr>
        <w:spacing w:line="600" w:lineRule="exact"/>
        <w:ind w:firstLine="640" w:firstLineChars="200"/>
        <w:rPr>
          <w:rFonts w:ascii="方正仿宋简体" w:hAnsi="宋体" w:eastAsia="方正仿宋简体"/>
          <w:color w:val="000000"/>
          <w:kern w:val="0"/>
          <w:sz w:val="32"/>
          <w:szCs w:val="32"/>
        </w:rPr>
      </w:pPr>
    </w:p>
    <w:p w14:paraId="1CED7D98">
      <w:pPr>
        <w:spacing w:line="600" w:lineRule="exact"/>
        <w:ind w:firstLine="640" w:firstLineChars="200"/>
        <w:rPr>
          <w:rFonts w:ascii="方正仿宋简体" w:hAnsi="宋体" w:eastAsia="方正仿宋简体"/>
          <w:color w:val="000000"/>
          <w:kern w:val="0"/>
          <w:sz w:val="32"/>
          <w:szCs w:val="32"/>
        </w:rPr>
      </w:pPr>
    </w:p>
    <w:p w14:paraId="0284C194">
      <w:pPr>
        <w:spacing w:line="600" w:lineRule="exact"/>
        <w:ind w:firstLine="640" w:firstLineChars="200"/>
        <w:rPr>
          <w:rFonts w:ascii="方正仿宋简体" w:hAnsi="宋体" w:eastAsia="方正仿宋简体"/>
          <w:color w:val="000000"/>
          <w:kern w:val="0"/>
          <w:sz w:val="32"/>
          <w:szCs w:val="32"/>
        </w:rPr>
      </w:pPr>
    </w:p>
    <w:p w14:paraId="54600058">
      <w:pPr>
        <w:spacing w:line="600" w:lineRule="exact"/>
        <w:ind w:firstLine="640" w:firstLineChars="200"/>
        <w:rPr>
          <w:rFonts w:ascii="方正仿宋简体" w:hAnsi="宋体" w:eastAsia="方正仿宋简体"/>
          <w:color w:val="000000"/>
          <w:kern w:val="0"/>
          <w:sz w:val="32"/>
          <w:szCs w:val="32"/>
        </w:rPr>
      </w:pPr>
    </w:p>
    <w:bookmarkEnd w:id="216"/>
    <w:bookmarkEnd w:id="217"/>
    <w:bookmarkEnd w:id="218"/>
    <w:bookmarkEnd w:id="219"/>
    <w:bookmarkEnd w:id="220"/>
    <w:bookmarkEnd w:id="221"/>
    <w:p w14:paraId="49FB6CEC">
      <w:pPr>
        <w:pStyle w:val="2"/>
        <w:spacing w:before="260" w:after="260" w:line="480" w:lineRule="auto"/>
        <w:jc w:val="center"/>
        <w:rPr>
          <w:rFonts w:ascii="方正小标宋简体" w:hAnsi="黑体" w:eastAsia="方正小标宋简体"/>
          <w:b w:val="0"/>
          <w:bCs w:val="0"/>
          <w:color w:val="000000"/>
        </w:rPr>
      </w:pPr>
      <w:bookmarkStart w:id="224" w:name="_Toc449037284"/>
      <w:r>
        <w:rPr>
          <w:rFonts w:hint="eastAsia" w:ascii="方正小标宋简体" w:hAnsi="黑体" w:eastAsia="方正小标宋简体" w:cs="方正小标宋简体"/>
          <w:b w:val="0"/>
          <w:bCs w:val="0"/>
          <w:color w:val="000000"/>
        </w:rPr>
        <w:t>第六篇</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强化共享发展</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实现人民福祉新提升</w:t>
      </w:r>
      <w:bookmarkEnd w:id="224"/>
    </w:p>
    <w:p w14:paraId="698ECC13">
      <w:pPr>
        <w:pStyle w:val="3"/>
        <w:spacing w:after="120" w:line="480" w:lineRule="auto"/>
        <w:ind w:firstLine="640" w:firstLineChars="200"/>
        <w:jc w:val="left"/>
        <w:rPr>
          <w:rFonts w:ascii="方正黑体简体" w:hAnsi="黑体" w:eastAsia="方正黑体简体" w:cs="Times New Roman"/>
          <w:b w:val="0"/>
          <w:bCs w:val="0"/>
        </w:rPr>
      </w:pPr>
      <w:bookmarkStart w:id="225" w:name="_Toc449037285"/>
      <w:r>
        <w:rPr>
          <w:rFonts w:hint="eastAsia" w:ascii="方正黑体简体" w:hAnsi="黑体" w:eastAsia="方正黑体简体" w:cs="方正黑体简体"/>
          <w:b w:val="0"/>
          <w:bCs w:val="0"/>
        </w:rPr>
        <w:t>第十九章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扩大公共服务供给，共享发展成果</w:t>
      </w:r>
      <w:bookmarkEnd w:id="225"/>
    </w:p>
    <w:p w14:paraId="7F874BC7">
      <w:pPr>
        <w:spacing w:line="62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坚持以人为本、民生优先，紧扣群众期盼，大力发展社会事业，推动公共服务资源均衡配置，实施一批重民意、惠民生的重大民生工程，统筹解决人民群众最关心、最直接、最现实的利益问题，实现基本公共服务均等化，显著提高人民群的生活质量和和幸福指数。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年，实现基本公共服务城乡全覆盖。</w:t>
      </w:r>
    </w:p>
    <w:p w14:paraId="509009F0">
      <w:pPr>
        <w:pStyle w:val="4"/>
        <w:spacing w:after="60" w:line="480" w:lineRule="auto"/>
        <w:ind w:firstLine="643" w:firstLineChars="200"/>
        <w:jc w:val="left"/>
        <w:rPr>
          <w:rFonts w:ascii="方正仿宋简体" w:hAnsi="黑体" w:eastAsia="方正仿宋简体"/>
        </w:rPr>
      </w:pPr>
      <w:bookmarkStart w:id="226" w:name="_Toc16771"/>
      <w:bookmarkStart w:id="227" w:name="_Toc432405470"/>
      <w:bookmarkStart w:id="228" w:name="_Toc432670969"/>
      <w:bookmarkStart w:id="229" w:name="_Toc449037286"/>
      <w:bookmarkStart w:id="230" w:name="_Toc22697"/>
      <w:bookmarkStart w:id="231" w:name="_Toc5920"/>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发展教育体育事业</w:t>
      </w:r>
      <w:bookmarkEnd w:id="226"/>
      <w:bookmarkEnd w:id="227"/>
      <w:bookmarkEnd w:id="228"/>
      <w:bookmarkEnd w:id="229"/>
      <w:bookmarkEnd w:id="230"/>
      <w:bookmarkEnd w:id="231"/>
    </w:p>
    <w:p w14:paraId="4CEC069F">
      <w:pPr>
        <w:widowControl/>
        <w:shd w:val="clear" w:color="auto" w:fill="FFFFFF"/>
        <w:ind w:firstLine="601"/>
        <w:rPr>
          <w:rFonts w:ascii="方正仿宋简体" w:eastAsia="方正仿宋简体"/>
          <w:color w:val="000000"/>
          <w:sz w:val="32"/>
          <w:szCs w:val="32"/>
        </w:rPr>
      </w:pPr>
      <w:bookmarkStart w:id="232" w:name="_Toc432670970"/>
      <w:bookmarkStart w:id="233" w:name="_Toc31764"/>
      <w:bookmarkStart w:id="234" w:name="_Toc432405472"/>
      <w:bookmarkStart w:id="235" w:name="_Toc13434"/>
      <w:bookmarkStart w:id="236" w:name="_Toc5425"/>
      <w:r>
        <w:rPr>
          <w:rFonts w:hint="eastAsia" w:ascii="方正仿宋简体" w:eastAsia="方正仿宋简体" w:cs="方正仿宋简体"/>
          <w:color w:val="000000"/>
          <w:sz w:val="32"/>
          <w:szCs w:val="32"/>
        </w:rPr>
        <w:t>以“全面改薄”项目建设为契机，加强中小学校舍建设、教师队伍建设，落实中小学校舍安全保障机制，提升中小学办学水平。推进教育信息化建设，加快实现中小学教育现代化。推进普通高中内涵发展、职业教育特色发展，促进普、职协调发展。严格规范办学，促进教育公平，提高教育质量，努力办好人民满意的教育。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年，实现家庭经济困难学生资助全覆盖。</w:t>
      </w:r>
    </w:p>
    <w:p w14:paraId="7273507F">
      <w:pPr>
        <w:widowControl/>
        <w:shd w:val="clear" w:color="auto" w:fill="FFFFFF"/>
        <w:ind w:firstLine="601"/>
        <w:rPr>
          <w:rFonts w:ascii="方正仿宋简体" w:eastAsia="方正仿宋简体"/>
          <w:color w:val="000000"/>
          <w:sz w:val="32"/>
          <w:szCs w:val="32"/>
        </w:rPr>
      </w:pPr>
      <w:r>
        <w:rPr>
          <w:rFonts w:hint="eastAsia" w:ascii="方正楷体简体" w:hAnsi="仿宋" w:eastAsia="方正楷体简体" w:cs="方正楷体简体"/>
          <w:b/>
          <w:bCs/>
          <w:color w:val="000000"/>
          <w:sz w:val="32"/>
          <w:szCs w:val="32"/>
        </w:rPr>
        <w:t>发展学前教育。</w:t>
      </w:r>
      <w:r>
        <w:rPr>
          <w:rFonts w:hint="eastAsia" w:ascii="方正仿宋简体" w:eastAsia="方正仿宋简体" w:cs="方正仿宋简体"/>
          <w:color w:val="000000"/>
          <w:sz w:val="32"/>
          <w:szCs w:val="32"/>
        </w:rPr>
        <w:t>把发展学前教育纳入美丽乡村建设、城乡一体化发展规划，城乡老小区和新建小区必须规划配套幼儿园建设，落实第三期学前教育三年行动计划，进一步加大公办幼儿园建设力度，新建公办幼儿园</w:t>
      </w:r>
      <w:r>
        <w:rPr>
          <w:rFonts w:ascii="方正仿宋简体" w:eastAsia="方正仿宋简体" w:cs="方正仿宋简体"/>
          <w:color w:val="000000"/>
          <w:sz w:val="32"/>
          <w:szCs w:val="32"/>
        </w:rPr>
        <w:t>3</w:t>
      </w:r>
      <w:r>
        <w:rPr>
          <w:rFonts w:hint="eastAsia" w:ascii="方正仿宋简体" w:eastAsia="方正仿宋简体" w:cs="方正仿宋简体"/>
          <w:color w:val="000000"/>
          <w:sz w:val="32"/>
          <w:szCs w:val="32"/>
        </w:rPr>
        <w:t>所，支持民办幼儿园建设和发展。至</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年，每个镇街办好</w:t>
      </w:r>
      <w:r>
        <w:rPr>
          <w:rFonts w:ascii="方正仿宋简体" w:eastAsia="方正仿宋简体" w:cs="方正仿宋简体"/>
          <w:color w:val="000000"/>
          <w:sz w:val="32"/>
          <w:szCs w:val="32"/>
        </w:rPr>
        <w:t>1</w:t>
      </w:r>
      <w:r>
        <w:rPr>
          <w:rFonts w:hint="eastAsia" w:ascii="方正仿宋简体" w:eastAsia="方正仿宋简体" w:cs="方正仿宋简体"/>
          <w:color w:val="000000"/>
          <w:sz w:val="32"/>
          <w:szCs w:val="32"/>
        </w:rPr>
        <w:t>－</w:t>
      </w:r>
      <w:r>
        <w:rPr>
          <w:rFonts w:ascii="方正仿宋简体" w:eastAsia="方正仿宋简体" w:cs="方正仿宋简体"/>
          <w:color w:val="000000"/>
          <w:sz w:val="32"/>
          <w:szCs w:val="32"/>
        </w:rPr>
        <w:t>2</w:t>
      </w:r>
      <w:r>
        <w:rPr>
          <w:rFonts w:hint="eastAsia" w:ascii="方正仿宋简体" w:eastAsia="方正仿宋简体" w:cs="方正仿宋简体"/>
          <w:color w:val="000000"/>
          <w:sz w:val="32"/>
          <w:szCs w:val="32"/>
        </w:rPr>
        <w:t>所优质公办幼儿园，学前三年毛入园率达到</w:t>
      </w:r>
      <w:r>
        <w:rPr>
          <w:rFonts w:ascii="方正仿宋简体" w:eastAsia="方正仿宋简体" w:cs="方正仿宋简体"/>
          <w:color w:val="000000"/>
          <w:sz w:val="32"/>
          <w:szCs w:val="32"/>
        </w:rPr>
        <w:t>95%</w:t>
      </w:r>
      <w:r>
        <w:rPr>
          <w:rFonts w:hint="eastAsia" w:ascii="方正仿宋简体" w:eastAsia="方正仿宋简体" w:cs="方正仿宋简体"/>
          <w:color w:val="000000"/>
          <w:sz w:val="32"/>
          <w:szCs w:val="32"/>
        </w:rPr>
        <w:t>以上。</w:t>
      </w:r>
    </w:p>
    <w:p w14:paraId="52613777">
      <w:pPr>
        <w:widowControl/>
        <w:shd w:val="clear" w:color="auto" w:fill="FFFFFF"/>
        <w:ind w:firstLine="601"/>
        <w:rPr>
          <w:rFonts w:ascii="方正仿宋简体" w:eastAsia="方正仿宋简体"/>
          <w:color w:val="000000"/>
          <w:sz w:val="32"/>
          <w:szCs w:val="32"/>
        </w:rPr>
      </w:pPr>
      <w:r>
        <w:rPr>
          <w:rFonts w:hint="eastAsia" w:ascii="方正楷体简体" w:hAnsi="仿宋" w:eastAsia="方正楷体简体" w:cs="方正楷体简体"/>
          <w:b/>
          <w:bCs/>
          <w:color w:val="000000"/>
          <w:sz w:val="32"/>
          <w:szCs w:val="32"/>
        </w:rPr>
        <w:t>推进义务教育公平均衡发展。</w:t>
      </w:r>
      <w:r>
        <w:rPr>
          <w:rFonts w:hint="eastAsia" w:ascii="方正仿宋简体" w:eastAsia="方正仿宋简体" w:cs="方正仿宋简体"/>
          <w:color w:val="000000"/>
          <w:sz w:val="32"/>
          <w:szCs w:val="32"/>
        </w:rPr>
        <w:t>巩固义务教育均衡发展成果，推进义务教育优质均衡发展。继续实施“全面改薄”项目，推进初中工程、义务教育标准化建设、普通高中攻坚计划、教师周转宿舍等项目建设，确保公办学校的教学设施满足基本教学需要。建立名校名师基地，搭建多样化创新实验平台，为学生提供便捷、优质的德育实践教育资源。规划建设仁盛·世纪星城配套小学、滨江名城配套小学、天堂湖配套小学和十里长岗配套小学。加快高脊岭初中、牛头山宝赛小学配套校舍及附属设施建设速度。促进教育公平，保障进入城镇务工人员子女、农村留守儿童、残疾儿童等困难人群享受义务教育权。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年，义务教育巩固率达到</w:t>
      </w:r>
      <w:r>
        <w:rPr>
          <w:rFonts w:ascii="方正仿宋简体" w:eastAsia="方正仿宋简体" w:cs="方正仿宋简体"/>
          <w:color w:val="000000"/>
          <w:sz w:val="32"/>
          <w:szCs w:val="32"/>
        </w:rPr>
        <w:t>98%</w:t>
      </w:r>
      <w:r>
        <w:rPr>
          <w:rFonts w:hint="eastAsia" w:ascii="方正仿宋简体" w:eastAsia="方正仿宋简体" w:cs="方正仿宋简体"/>
          <w:color w:val="000000"/>
          <w:sz w:val="32"/>
          <w:szCs w:val="32"/>
        </w:rPr>
        <w:t>。</w:t>
      </w:r>
    </w:p>
    <w:p w14:paraId="32A1BFB5">
      <w:pPr>
        <w:widowControl/>
        <w:shd w:val="clear" w:color="auto" w:fill="FFFFFF"/>
        <w:ind w:firstLine="601"/>
        <w:rPr>
          <w:rFonts w:ascii="方正仿宋简体" w:eastAsia="方正仿宋简体"/>
          <w:color w:val="000000"/>
          <w:sz w:val="32"/>
          <w:szCs w:val="32"/>
        </w:rPr>
      </w:pPr>
      <w:r>
        <w:rPr>
          <w:rFonts w:hint="eastAsia" w:ascii="方正楷体简体" w:hAnsi="仿宋" w:eastAsia="方正楷体简体" w:cs="方正楷体简体"/>
          <w:b/>
          <w:bCs/>
          <w:color w:val="000000"/>
          <w:sz w:val="32"/>
          <w:szCs w:val="32"/>
        </w:rPr>
        <w:t>普及高中教育。</w:t>
      </w:r>
      <w:r>
        <w:rPr>
          <w:rFonts w:hint="eastAsia" w:ascii="方正仿宋简体" w:eastAsia="方正仿宋简体" w:cs="方正仿宋简体"/>
          <w:color w:val="000000"/>
          <w:sz w:val="32"/>
          <w:szCs w:val="32"/>
        </w:rPr>
        <w:t>紧紧围绕“质量·特色”的办学导向，促进高中教育内涵发展、特色发展。省级示范高中不断加强教育教学管理，强化师资队伍建设和名师的带动作用，提高二本以上上线率，高考成绩继续位于全市前列。市级示范高中积极构建艺术类教学体系，积极创建品牌学校、特色学校，重点发展音乐、体育、美术等特色教育，实现一校一特色。普通高中加强基础设施建设，不断改善办学条件，办学水平得到提高。普及高中阶段基础教育，满足初中毕业生接受高中阶段教育需求。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年，高中阶段教育毛入学率达到</w:t>
      </w:r>
      <w:r>
        <w:rPr>
          <w:rFonts w:ascii="方正仿宋简体" w:eastAsia="方正仿宋简体" w:cs="方正仿宋简体"/>
          <w:color w:val="000000"/>
          <w:sz w:val="32"/>
          <w:szCs w:val="32"/>
        </w:rPr>
        <w:t>90%</w:t>
      </w:r>
      <w:r>
        <w:rPr>
          <w:rFonts w:hint="eastAsia" w:ascii="方正仿宋简体" w:eastAsia="方正仿宋简体" w:cs="方正仿宋简体"/>
          <w:color w:val="000000"/>
          <w:sz w:val="32"/>
          <w:szCs w:val="32"/>
        </w:rPr>
        <w:t>以上。</w:t>
      </w:r>
    </w:p>
    <w:p w14:paraId="13116CB3">
      <w:pPr>
        <w:widowControl/>
        <w:shd w:val="clear" w:color="auto" w:fill="FFFFFF"/>
        <w:ind w:firstLine="601"/>
        <w:rPr>
          <w:rFonts w:ascii="方正仿宋简体" w:eastAsia="方正仿宋简体"/>
          <w:color w:val="000000"/>
          <w:sz w:val="32"/>
          <w:szCs w:val="32"/>
        </w:rPr>
      </w:pPr>
      <w:r>
        <w:rPr>
          <w:rFonts w:hint="eastAsia" w:ascii="方正楷体简体" w:hAnsi="仿宋" w:eastAsia="方正楷体简体" w:cs="方正楷体简体"/>
          <w:b/>
          <w:bCs/>
          <w:color w:val="000000"/>
          <w:sz w:val="32"/>
          <w:szCs w:val="32"/>
        </w:rPr>
        <w:t>发展职业教育。</w:t>
      </w:r>
      <w:r>
        <w:rPr>
          <w:rFonts w:hint="eastAsia" w:ascii="方正仿宋简体" w:eastAsia="方正仿宋简体" w:cs="方正仿宋简体"/>
          <w:color w:val="000000"/>
          <w:sz w:val="32"/>
          <w:szCs w:val="32"/>
        </w:rPr>
        <w:t>加强贵池职教中心骨干专业建设，壮大计算机、机电技术应用等特色专业，抓好数控技术应用、电工电子与自动化等实训基地建设，实施贵池职教中心实训楼及设备购置项目。深化职教改革，推进校企合作、联合办学，不断提高初中毕业生升入中职学校的比例和教育质量，形成适应区域经济发展要求的现代职业教育体系。</w:t>
      </w:r>
    </w:p>
    <w:p w14:paraId="2448BD39">
      <w:pPr>
        <w:widowControl/>
        <w:shd w:val="clear" w:color="auto" w:fill="FFFFFF"/>
        <w:ind w:firstLine="601"/>
        <w:rPr>
          <w:rFonts w:ascii="方正仿宋简体" w:eastAsia="方正仿宋简体"/>
          <w:color w:val="000000"/>
          <w:sz w:val="32"/>
          <w:szCs w:val="32"/>
        </w:rPr>
      </w:pPr>
      <w:r>
        <w:rPr>
          <w:rFonts w:hint="eastAsia" w:ascii="方正楷体简体" w:hAnsi="仿宋" w:eastAsia="方正楷体简体" w:cs="方正楷体简体"/>
          <w:b/>
          <w:bCs/>
          <w:color w:val="000000"/>
          <w:sz w:val="32"/>
          <w:szCs w:val="32"/>
        </w:rPr>
        <w:t>发展民办教育。</w:t>
      </w:r>
      <w:r>
        <w:rPr>
          <w:rFonts w:hint="eastAsia" w:ascii="方正仿宋简体" w:eastAsia="方正仿宋简体" w:cs="方正仿宋简体"/>
          <w:color w:val="000000"/>
          <w:sz w:val="32"/>
          <w:szCs w:val="32"/>
        </w:rPr>
        <w:t>加强民办教育的科学管理，营造民办教育发展的良好环境，努力扩大优质民办教育资源。强化政府的管理职能，建立部门联动机制，建立科学规范的民办教育管理新体制。落实用地、减免税费等优惠政策，吸引具有合法资质、信誉良好的社会团体、企业捐助学前教育或出资举办幼儿园。开展普惠性民办园认定工作，通过政府购买服务、减免租金、以奖代补、派驻公办教师、培训教师等方式，对通过认定的普惠性民办幼儿园予以扶持。通过认定的普惠性民办园纳入乡镇（街道）中心幼儿园统一管理，在分类定级、教师培训等方面与公办幼儿园享有同等地位。</w:t>
      </w:r>
    </w:p>
    <w:p w14:paraId="61C937D1">
      <w:pPr>
        <w:widowControl/>
        <w:shd w:val="clear" w:color="auto" w:fill="FFFFFF"/>
        <w:ind w:firstLine="601"/>
        <w:rPr>
          <w:rFonts w:ascii="方正仿宋简体" w:eastAsia="方正仿宋简体"/>
          <w:color w:val="000000"/>
          <w:sz w:val="32"/>
          <w:szCs w:val="32"/>
        </w:rPr>
      </w:pPr>
      <w:r>
        <w:rPr>
          <w:rFonts w:hint="eastAsia" w:ascii="方正楷体简体" w:hAnsi="仿宋" w:eastAsia="方正楷体简体" w:cs="方正楷体简体"/>
          <w:b/>
          <w:bCs/>
          <w:color w:val="000000"/>
          <w:sz w:val="32"/>
          <w:szCs w:val="32"/>
        </w:rPr>
        <w:t>推进教育信息化。</w:t>
      </w:r>
      <w:r>
        <w:rPr>
          <w:rFonts w:hint="eastAsia" w:ascii="方正仿宋简体" w:eastAsia="方正仿宋简体" w:cs="方正仿宋简体"/>
          <w:color w:val="000000"/>
          <w:sz w:val="32"/>
          <w:szCs w:val="32"/>
        </w:rPr>
        <w:t>以中小学信息化建设为中心，重点建设校园网络、多媒体教室、电子备课室、电子阅览室、职业学校虚拟仿真实验室、一卡通系统等，实现“班班通”全覆盖。加强在线课堂建设，实现教学点信息化教学全覆盖。加强功能教室的使用管理，实现中小学功能室管理规范化、使用常态化。</w:t>
      </w:r>
    </w:p>
    <w:p w14:paraId="76291317">
      <w:pPr>
        <w:widowControl/>
        <w:shd w:val="clear" w:color="auto" w:fill="FFFFFF"/>
        <w:ind w:firstLine="601"/>
        <w:rPr>
          <w:rFonts w:ascii="方正仿宋简体" w:eastAsia="方正仿宋简体"/>
          <w:color w:val="000000"/>
          <w:sz w:val="32"/>
          <w:szCs w:val="32"/>
        </w:rPr>
      </w:pPr>
      <w:r>
        <w:rPr>
          <w:rFonts w:hint="eastAsia" w:ascii="方正楷体简体" w:hAnsi="仿宋" w:eastAsia="方正楷体简体" w:cs="方正楷体简体"/>
          <w:b/>
          <w:bCs/>
          <w:color w:val="000000"/>
          <w:sz w:val="32"/>
          <w:szCs w:val="32"/>
        </w:rPr>
        <w:t>发展体育事业。</w:t>
      </w:r>
      <w:r>
        <w:rPr>
          <w:rFonts w:hint="eastAsia" w:ascii="方正仿宋简体" w:eastAsia="方正仿宋简体" w:cs="方正仿宋简体"/>
          <w:color w:val="000000"/>
          <w:sz w:val="32"/>
          <w:szCs w:val="32"/>
        </w:rPr>
        <w:t>重视体育事业，将体育类项目建设、体育赛事活动、全民健身运动等资金等列为政府基本建设投资计划和财政预算。认真实施“安徽省</w:t>
      </w:r>
      <w:r>
        <w:rPr>
          <w:rFonts w:ascii="方正仿宋简体" w:eastAsia="方正仿宋简体" w:cs="方正仿宋简体"/>
          <w:color w:val="000000"/>
          <w:sz w:val="32"/>
          <w:szCs w:val="32"/>
        </w:rPr>
        <w:t>511</w:t>
      </w:r>
      <w:r>
        <w:rPr>
          <w:rFonts w:hint="eastAsia" w:ascii="方正仿宋简体" w:eastAsia="方正仿宋简体" w:cs="方正仿宋简体"/>
          <w:color w:val="000000"/>
          <w:sz w:val="32"/>
          <w:szCs w:val="32"/>
        </w:rPr>
        <w:t>城市体育行动计划”；积极推进城区、街道、社区、居民区四级公共体育设施建设，公共体育资源进一步向农村和基层倾斜，缩小城乡差距。积极开展丰富多彩的全民健身活动，推进农村、社区和职工体育发展，举办第四届全民健身运动会。积极推进政务新区综合性体育馆建设。加强对城乡基层广场舞活动的统筹协调，积极优化广场用地和体育活动设施布局，协调并做好室外广场适用电源、夜间照明等基础设施配套。着力推进中小学运动场地建设，力争全部达到国家标准。积极发展校园足球运动，开展校内外足球联赛。强化学校运动队训练工作，努力提高我区青少年体育运动竞技水平。认真落实学校体育工作评估，将学校体育工作纳入教育督导评估体系，努力创建“一校一品牌，一生双爱好”学校文体特色。贯彻执行《学校体育工作条例》，以增进学生体质健康为目的，积极开展丰富多彩的校园体育活动，到“十三五”中期，</w:t>
      </w:r>
      <w:r>
        <w:rPr>
          <w:rFonts w:ascii="方正仿宋简体" w:eastAsia="方正仿宋简体" w:cs="方正仿宋简体"/>
          <w:color w:val="000000"/>
          <w:sz w:val="32"/>
          <w:szCs w:val="32"/>
        </w:rPr>
        <w:t>95%</w:t>
      </w:r>
      <w:r>
        <w:rPr>
          <w:rFonts w:hint="eastAsia" w:ascii="方正仿宋简体" w:eastAsia="方正仿宋简体" w:cs="方正仿宋简体"/>
          <w:color w:val="000000"/>
          <w:sz w:val="32"/>
          <w:szCs w:val="32"/>
        </w:rPr>
        <w:t>以上学生体质健康合格率达国家标准。</w:t>
      </w:r>
    </w:p>
    <w:p w14:paraId="6C43A8A2">
      <w:pPr>
        <w:spacing w:afterLines="50"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21  </w:t>
      </w:r>
      <w:r>
        <w:rPr>
          <w:rFonts w:hint="eastAsia" w:ascii="宋体" w:hAnsi="宋体" w:cs="宋体"/>
          <w:b/>
          <w:bCs/>
          <w:color w:val="000000"/>
          <w:sz w:val="28"/>
          <w:szCs w:val="28"/>
        </w:rPr>
        <w:t>教育重点建设项目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62BAE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6CD9703">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贵池区“全面改薄”及教育现代化：</w:t>
            </w:r>
            <w:r>
              <w:rPr>
                <w:rFonts w:ascii="方正仿宋简体" w:hAnsi="宋体" w:eastAsia="方正仿宋简体" w:cs="方正仿宋简体"/>
                <w:color w:val="000000"/>
                <w:sz w:val="28"/>
                <w:szCs w:val="28"/>
              </w:rPr>
              <w:t>2016-2020</w:t>
            </w:r>
            <w:r>
              <w:rPr>
                <w:rFonts w:hint="eastAsia" w:ascii="方正仿宋简体" w:hAnsi="宋体" w:eastAsia="方正仿宋简体" w:cs="方正仿宋简体"/>
                <w:color w:val="000000"/>
                <w:sz w:val="28"/>
                <w:szCs w:val="28"/>
              </w:rPr>
              <w:t>年全面改善义务教育薄弱学校建设，主要实施教育信息化、中西部农村初中校舍改造工程、“学前教育”二期行动计划、雪炭工程（体育专项）、中等职业教育基础能力建设、中等职业教育培训基础项目等。</w:t>
            </w:r>
          </w:p>
          <w:p w14:paraId="18144508">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贵池区中小学配套及搬迁工程：</w:t>
            </w:r>
            <w:r>
              <w:rPr>
                <w:rFonts w:hint="eastAsia" w:ascii="方正仿宋简体" w:hAnsi="宋体" w:eastAsia="方正仿宋简体" w:cs="方正仿宋简体"/>
                <w:color w:val="000000"/>
                <w:sz w:val="28"/>
                <w:szCs w:val="28"/>
              </w:rPr>
              <w:t>主要实施仁盛·世纪星城配套小学、滨江明城配套小学、永明小学天堂湖分校、牛头山宝赛小学、高脊岭中学整体搬迁。</w:t>
            </w:r>
          </w:p>
          <w:p w14:paraId="43EA8A17">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贵池区职业教育实训基地及设备购置工程：</w:t>
            </w:r>
            <w:r>
              <w:rPr>
                <w:rFonts w:hint="eastAsia" w:ascii="方正仿宋简体" w:hAnsi="宋体" w:eastAsia="方正仿宋简体" w:cs="方正仿宋简体"/>
                <w:color w:val="000000"/>
                <w:sz w:val="28"/>
                <w:szCs w:val="28"/>
              </w:rPr>
              <w:t>配备虚拟仿真实验室</w:t>
            </w:r>
            <w:r>
              <w:rPr>
                <w:rFonts w:ascii="方正仿宋简体" w:hAnsi="宋体" w:eastAsia="方正仿宋简体" w:cs="方正仿宋简体"/>
                <w:color w:val="000000"/>
                <w:sz w:val="28"/>
                <w:szCs w:val="28"/>
              </w:rPr>
              <w:t>,</w:t>
            </w:r>
            <w:r>
              <w:rPr>
                <w:rFonts w:hint="eastAsia" w:ascii="方正仿宋简体" w:hAnsi="宋体" w:eastAsia="方正仿宋简体" w:cs="方正仿宋简体"/>
                <w:color w:val="000000"/>
                <w:sz w:val="28"/>
                <w:szCs w:val="28"/>
              </w:rPr>
              <w:t>建设实训楼、宿舍楼、图书馆、塑胶跑道、标准化操场等，购置设备及图书。</w:t>
            </w:r>
          </w:p>
          <w:p w14:paraId="0A43A68A">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贵池区教育文体消费提升工程：</w:t>
            </w:r>
            <w:r>
              <w:rPr>
                <w:rFonts w:hint="eastAsia" w:ascii="方正仿宋简体" w:hAnsi="宋体" w:eastAsia="方正仿宋简体" w:cs="方正仿宋简体"/>
                <w:color w:val="000000"/>
                <w:sz w:val="28"/>
                <w:szCs w:val="28"/>
              </w:rPr>
              <w:t>建设研学旅行及名校名师基地，建成后，可一次性容纳</w:t>
            </w:r>
            <w:r>
              <w:rPr>
                <w:rFonts w:ascii="方正仿宋简体" w:hAnsi="宋体" w:eastAsia="方正仿宋简体" w:cs="方正仿宋简体"/>
                <w:color w:val="000000"/>
                <w:sz w:val="28"/>
                <w:szCs w:val="28"/>
              </w:rPr>
              <w:t>1200</w:t>
            </w:r>
            <w:r>
              <w:rPr>
                <w:rFonts w:hint="eastAsia" w:ascii="方正仿宋简体" w:hAnsi="宋体" w:eastAsia="方正仿宋简体" w:cs="方正仿宋简体"/>
                <w:color w:val="000000"/>
                <w:sz w:val="28"/>
                <w:szCs w:val="28"/>
              </w:rPr>
              <w:t>名学生集中参加生产劳动，体验劳动过程。</w:t>
            </w:r>
          </w:p>
          <w:p w14:paraId="621DC252">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贵池区综合职业学校建设：</w:t>
            </w:r>
            <w:r>
              <w:rPr>
                <w:rFonts w:hint="eastAsia" w:ascii="方正仿宋简体" w:hAnsi="宋体" w:eastAsia="方正仿宋简体" w:cs="方正仿宋简体"/>
                <w:color w:val="000000"/>
                <w:sz w:val="28"/>
                <w:szCs w:val="28"/>
              </w:rPr>
              <w:t>占地</w:t>
            </w:r>
            <w:r>
              <w:rPr>
                <w:rFonts w:ascii="方正仿宋简体" w:hAnsi="宋体" w:eastAsia="方正仿宋简体" w:cs="方正仿宋简体"/>
                <w:color w:val="000000"/>
                <w:sz w:val="28"/>
                <w:szCs w:val="28"/>
              </w:rPr>
              <w:t>125</w:t>
            </w:r>
            <w:r>
              <w:rPr>
                <w:rFonts w:hint="eastAsia" w:ascii="方正仿宋简体" w:hAnsi="宋体" w:eastAsia="方正仿宋简体" w:cs="方正仿宋简体"/>
                <w:color w:val="000000"/>
                <w:sz w:val="28"/>
                <w:szCs w:val="28"/>
              </w:rPr>
              <w:t>亩，分两期建设，一期</w:t>
            </w:r>
            <w:r>
              <w:rPr>
                <w:rFonts w:ascii="方正仿宋简体" w:hAnsi="宋体" w:eastAsia="方正仿宋简体" w:cs="方正仿宋简体"/>
                <w:color w:val="000000"/>
                <w:sz w:val="28"/>
                <w:szCs w:val="28"/>
              </w:rPr>
              <w:t>60</w:t>
            </w:r>
            <w:r>
              <w:rPr>
                <w:rFonts w:hint="eastAsia" w:ascii="方正仿宋简体" w:hAnsi="宋体" w:eastAsia="方正仿宋简体" w:cs="方正仿宋简体"/>
                <w:color w:val="000000"/>
                <w:sz w:val="28"/>
                <w:szCs w:val="28"/>
              </w:rPr>
              <w:t>个班，二期</w:t>
            </w:r>
            <w:r>
              <w:rPr>
                <w:rFonts w:ascii="方正仿宋简体" w:hAnsi="宋体" w:eastAsia="方正仿宋简体" w:cs="方正仿宋简体"/>
                <w:color w:val="000000"/>
                <w:sz w:val="28"/>
                <w:szCs w:val="28"/>
              </w:rPr>
              <w:t>40</w:t>
            </w:r>
            <w:r>
              <w:rPr>
                <w:rFonts w:hint="eastAsia" w:ascii="方正仿宋简体" w:hAnsi="宋体" w:eastAsia="方正仿宋简体" w:cs="方正仿宋简体"/>
                <w:color w:val="000000"/>
                <w:sz w:val="28"/>
                <w:szCs w:val="28"/>
              </w:rPr>
              <w:t>个班。</w:t>
            </w:r>
          </w:p>
          <w:p w14:paraId="6B35025E">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贵池区乌沙中学实训楼及设备购置：</w:t>
            </w:r>
            <w:r>
              <w:rPr>
                <w:rFonts w:hint="eastAsia" w:ascii="方正仿宋简体" w:hAnsi="宋体" w:eastAsia="方正仿宋简体" w:cs="方正仿宋简体"/>
                <w:color w:val="000000"/>
                <w:sz w:val="28"/>
                <w:szCs w:val="28"/>
              </w:rPr>
              <w:t>新建</w:t>
            </w:r>
            <w:r>
              <w:rPr>
                <w:rFonts w:ascii="方正仿宋简体" w:hAnsi="宋体" w:eastAsia="方正仿宋简体" w:cs="方正仿宋简体"/>
                <w:color w:val="000000"/>
                <w:sz w:val="28"/>
                <w:szCs w:val="28"/>
              </w:rPr>
              <w:t>2400</w:t>
            </w:r>
            <w:r>
              <w:rPr>
                <w:rFonts w:hint="eastAsia" w:ascii="方正仿宋简体" w:hAnsi="宋体" w:eastAsia="方正仿宋简体" w:cs="方正仿宋简体"/>
                <w:color w:val="000000"/>
                <w:sz w:val="28"/>
                <w:szCs w:val="28"/>
              </w:rPr>
              <w:t>平米实训楼，购置设备</w:t>
            </w:r>
            <w:r>
              <w:rPr>
                <w:rFonts w:ascii="方正仿宋简体" w:hAnsi="宋体" w:eastAsia="方正仿宋简体" w:cs="方正仿宋简体"/>
                <w:color w:val="000000"/>
                <w:sz w:val="28"/>
                <w:szCs w:val="28"/>
              </w:rPr>
              <w:t>220</w:t>
            </w:r>
            <w:r>
              <w:rPr>
                <w:rFonts w:hint="eastAsia" w:ascii="方正仿宋简体" w:hAnsi="宋体" w:eastAsia="方正仿宋简体" w:cs="方正仿宋简体"/>
                <w:color w:val="000000"/>
                <w:sz w:val="28"/>
                <w:szCs w:val="28"/>
              </w:rPr>
              <w:t>台（套）。</w:t>
            </w:r>
          </w:p>
          <w:p w14:paraId="65D5FF88">
            <w:pPr>
              <w:spacing w:line="560" w:lineRule="exact"/>
              <w:ind w:firstLine="562" w:firstLineChars="200"/>
              <w:rPr>
                <w:rFonts w:ascii="宋体"/>
                <w:b/>
                <w:bCs/>
                <w:color w:val="000000"/>
                <w:kern w:val="0"/>
                <w:sz w:val="28"/>
                <w:szCs w:val="28"/>
              </w:rPr>
            </w:pPr>
            <w:r>
              <w:rPr>
                <w:rFonts w:hint="eastAsia" w:ascii="方正楷体简体" w:hAnsi="宋体" w:eastAsia="方正楷体简体" w:cs="方正楷体简体"/>
                <w:b/>
                <w:bCs/>
                <w:color w:val="000000"/>
                <w:sz w:val="28"/>
                <w:szCs w:val="28"/>
              </w:rPr>
              <w:t>贵池区教师周转宿舍建设：</w:t>
            </w:r>
            <w:r>
              <w:rPr>
                <w:rFonts w:hint="eastAsia" w:ascii="方正仿宋简体" w:hAnsi="宋体" w:eastAsia="方正仿宋简体" w:cs="方正仿宋简体"/>
                <w:color w:val="000000"/>
                <w:sz w:val="28"/>
                <w:szCs w:val="28"/>
              </w:rPr>
              <w:t>建设教师周转宿舍</w:t>
            </w:r>
            <w:r>
              <w:rPr>
                <w:rFonts w:ascii="方正仿宋简体" w:hAnsi="宋体" w:eastAsia="方正仿宋简体" w:cs="方正仿宋简体"/>
                <w:color w:val="000000"/>
                <w:sz w:val="28"/>
                <w:szCs w:val="28"/>
              </w:rPr>
              <w:t>268</w:t>
            </w:r>
            <w:r>
              <w:rPr>
                <w:rFonts w:hint="eastAsia" w:ascii="方正仿宋简体" w:hAnsi="宋体" w:eastAsia="方正仿宋简体" w:cs="方正仿宋简体"/>
                <w:color w:val="000000"/>
                <w:sz w:val="28"/>
                <w:szCs w:val="28"/>
              </w:rPr>
              <w:t>套。</w:t>
            </w:r>
          </w:p>
        </w:tc>
      </w:tr>
    </w:tbl>
    <w:p w14:paraId="5507F522">
      <w:pPr>
        <w:rPr>
          <w:color w:val="000000"/>
        </w:rPr>
      </w:pPr>
    </w:p>
    <w:p w14:paraId="33BC23B4">
      <w:pPr>
        <w:pStyle w:val="4"/>
        <w:spacing w:after="60" w:line="480" w:lineRule="auto"/>
        <w:ind w:firstLine="643" w:firstLineChars="200"/>
        <w:jc w:val="left"/>
        <w:rPr>
          <w:rFonts w:ascii="方正仿宋简体" w:hAnsi="黑体" w:eastAsia="方正仿宋简体"/>
        </w:rPr>
      </w:pPr>
      <w:bookmarkStart w:id="237" w:name="_Toc449037287"/>
      <w:r>
        <w:rPr>
          <w:rFonts w:hint="eastAsia" w:ascii="方正仿宋简体" w:hAnsi="黑体" w:eastAsia="方正仿宋简体" w:cs="方正仿宋简体"/>
        </w:rPr>
        <w:t>第二节</w:t>
      </w:r>
      <w:r>
        <w:rPr>
          <w:rFonts w:ascii="方正仿宋简体" w:hAnsi="黑体" w:eastAsia="方正仿宋简体" w:cs="方正仿宋简体"/>
        </w:rPr>
        <w:t xml:space="preserve"> </w:t>
      </w:r>
      <w:bookmarkEnd w:id="232"/>
      <w:bookmarkEnd w:id="233"/>
      <w:bookmarkEnd w:id="234"/>
      <w:bookmarkEnd w:id="235"/>
      <w:bookmarkEnd w:id="236"/>
      <w:r>
        <w:rPr>
          <w:rFonts w:ascii="方正仿宋简体" w:hAnsi="黑体" w:eastAsia="方正仿宋简体" w:cs="方正仿宋简体"/>
        </w:rPr>
        <w:t xml:space="preserve"> </w:t>
      </w:r>
      <w:r>
        <w:rPr>
          <w:rFonts w:hint="eastAsia" w:ascii="方正仿宋简体" w:hAnsi="黑体" w:eastAsia="方正仿宋简体" w:cs="方正仿宋简体"/>
        </w:rPr>
        <w:t>加强健康贵池建设</w:t>
      </w:r>
      <w:bookmarkEnd w:id="237"/>
    </w:p>
    <w:p w14:paraId="56CA02AA">
      <w:pPr>
        <w:pStyle w:val="13"/>
        <w:adjustRightInd w:val="0"/>
        <w:snapToGrid w:val="0"/>
        <w:spacing w:after="0" w:line="620" w:lineRule="exact"/>
        <w:ind w:left="0" w:leftChars="0"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深化医药卫生体制综合改革，坚持公益方向，到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年，建立覆盖城乡的基本医疗卫生制度和现代医院管理制度。</w:t>
      </w:r>
    </w:p>
    <w:p w14:paraId="36EC70E6">
      <w:pPr>
        <w:pStyle w:val="13"/>
        <w:adjustRightInd w:val="0"/>
        <w:snapToGrid w:val="0"/>
        <w:spacing w:after="0" w:line="620" w:lineRule="exact"/>
        <w:ind w:left="0" w:leftChars="0"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完善医疗卫生服务体系。</w:t>
      </w:r>
      <w:r>
        <w:rPr>
          <w:rFonts w:hint="eastAsia" w:ascii="仿宋_GB2312" w:eastAsia="仿宋_GB2312" w:cs="仿宋_GB2312"/>
          <w:sz w:val="32"/>
          <w:szCs w:val="32"/>
        </w:rPr>
        <w:t>全面深化医药卫生体制改革，建立健全职能明确、定位清晰、综合协调、权责统一的管理和运行体制，</w:t>
      </w:r>
      <w:r>
        <w:rPr>
          <w:rFonts w:hint="eastAsia" w:ascii="方正仿宋简体" w:eastAsia="方正仿宋简体" w:cs="方正仿宋简体"/>
          <w:color w:val="000000"/>
          <w:sz w:val="32"/>
          <w:szCs w:val="32"/>
        </w:rPr>
        <w:t>完善以区级医院为龙头、镇街卫生院为骨干、村卫生室为基础、民营医疗机构为补充的医疗救治网络，组建医疗服务共同体，建立区域临床检验和影像中心，构建分级诊疗模式。加快实施市第二人民医院危旧病房改扩建工程和区中医院医技楼改扩建工程，启动一批镇街卫生院业务用房和基层血防组业务用房工程建设。提高公共卫生服务、突发公共卫生事件应急处置能力建设，加强血吸虫病防治。</w:t>
      </w:r>
    </w:p>
    <w:p w14:paraId="45FF02D0">
      <w:pPr>
        <w:spacing w:line="62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加强重点临床专科建设。</w:t>
      </w:r>
      <w:r>
        <w:rPr>
          <w:rFonts w:hint="eastAsia" w:ascii="方正仿宋简体" w:eastAsia="方正仿宋简体" w:cs="方正仿宋简体"/>
          <w:color w:val="000000"/>
          <w:sz w:val="32"/>
          <w:szCs w:val="32"/>
        </w:rPr>
        <w:t>建立健全临床专科考核评价体系，在全区形成以区级医院重点专科为基础和龙头，中医重点专科为补充的在全市具有优势的特色专科。充分发挥临床重点专科的带动和示范作用，不断提高临床医疗技术水平和医疗管理水平，促进医疗机构合理调整技术结构，优化医疗资源配置，更好地满足人民群众日益增长的医疗服务需求。</w:t>
      </w:r>
    </w:p>
    <w:p w14:paraId="5CC0D1A3">
      <w:pPr>
        <w:spacing w:line="62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推进卫生计生信息化。</w:t>
      </w:r>
      <w:r>
        <w:rPr>
          <w:rFonts w:hint="eastAsia" w:ascii="方正仿宋简体" w:eastAsia="方正仿宋简体" w:cs="方正仿宋简体"/>
          <w:color w:val="000000"/>
          <w:sz w:val="32"/>
          <w:szCs w:val="32"/>
        </w:rPr>
        <w:t>建立卫生计生综合信息平台，整合全员人口信息、电子健康档案和电子病历三大数据库资源，实现公共卫生、计划生育、医疗服务、医疗保障、药品管理、综合管理等六大业务应用系统信息资源互联互通，并与安徽人口健康信息网对接。逐步建立危重疾病会诊系统，区域远程影像、检查检验、区域信息管理平台、技术质量平台和医疗便民服务平台等系统，充分利用远程医疗等信息化手段，推进双向转诊、分级诊疗，提高基层医疗服务能力，让群众就近享受到专家的优质服务。</w:t>
      </w:r>
    </w:p>
    <w:p w14:paraId="5F1C9B8E">
      <w:pPr>
        <w:spacing w:line="62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大力发展大健康产业。</w:t>
      </w:r>
      <w:r>
        <w:rPr>
          <w:rFonts w:hint="eastAsia" w:ascii="方正仿宋简体" w:eastAsia="方正仿宋简体" w:cs="方正仿宋简体"/>
          <w:color w:val="000000"/>
          <w:sz w:val="32"/>
          <w:szCs w:val="32"/>
        </w:rPr>
        <w:t>围绕贵池生态环境、自然保护区、古村落、古遗址，开发与休闲相结合的山林运动、户外拓展、徒步旅行、登山攀岩、科考探险等一批以户外活动为特色的大众性健身运动休闲产品，重点推进天生湖体育运动公园、体育主题公园等体育休闲项目建设。结合养生养老、旅游商品开发，着力推动中药材种植基地、山野菜种植基地、特种水产品养殖基地、茶叶加工集群专业镇建设，大力开发九华黄精等保健食品，笋干、蕨菜等山野菜，秋浦花鳜、芡实等干鲜水产品，以及霄坑绿茶、祁红等茶叶，促进保健食品、功能性食品、药食同用产品产业化、精深化、系列化发展。积极发展中医医疗预防保健服务，加强药食同用中药材的种植及产品研发与应用，推广有效的中医药养生、保健服务。充分利用负氧离子含量极高的空气、适宜的温度条件、特色动植物种、本地民俗养生方式，配合黄精等保健食品，引导市场主体建设长寿养生、山林养生、生态水疗、禅修养生、中医药养生、美食养生等项目，培育生态文化、禅修文化、民俗文化相融的养生品牌，加快建设国内知名的生态养生基地、保健疗养基地。</w:t>
      </w:r>
    </w:p>
    <w:p w14:paraId="7195C064">
      <w:pPr>
        <w:spacing w:line="620" w:lineRule="exact"/>
        <w:ind w:firstLine="640" w:firstLineChars="200"/>
        <w:rPr>
          <w:rFonts w:ascii="方正仿宋简体" w:eastAsia="方正仿宋简体"/>
          <w:color w:val="000000"/>
          <w:sz w:val="32"/>
          <w:szCs w:val="32"/>
        </w:rPr>
      </w:pPr>
    </w:p>
    <w:p w14:paraId="6D4D7026">
      <w:pPr>
        <w:spacing w:afterLines="50"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22  </w:t>
      </w:r>
      <w:r>
        <w:rPr>
          <w:rFonts w:hint="eastAsia" w:ascii="宋体" w:hAnsi="宋体" w:cs="宋体"/>
          <w:b/>
          <w:bCs/>
          <w:color w:val="000000"/>
          <w:sz w:val="28"/>
          <w:szCs w:val="28"/>
        </w:rPr>
        <w:t>卫生重点建设项目</w:t>
      </w:r>
    </w:p>
    <w:tbl>
      <w:tblPr>
        <w:tblStyle w:val="25"/>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799E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8" w:type="dxa"/>
          </w:tcPr>
          <w:p w14:paraId="1BEB35CC">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贵池区人民医院危旧病房改建：</w:t>
            </w:r>
            <w:r>
              <w:rPr>
                <w:rFonts w:hint="eastAsia" w:ascii="方正仿宋简体" w:hAnsi="宋体" w:eastAsia="方正仿宋简体" w:cs="方正仿宋简体"/>
                <w:color w:val="000000"/>
                <w:sz w:val="28"/>
                <w:szCs w:val="28"/>
              </w:rPr>
              <w:t>新建</w:t>
            </w:r>
            <w:r>
              <w:rPr>
                <w:rFonts w:ascii="方正仿宋简体" w:hAnsi="宋体" w:eastAsia="方正仿宋简体" w:cs="方正仿宋简体"/>
                <w:color w:val="000000"/>
                <w:sz w:val="28"/>
                <w:szCs w:val="28"/>
              </w:rPr>
              <w:t>2</w:t>
            </w:r>
            <w:r>
              <w:rPr>
                <w:rFonts w:hint="eastAsia" w:ascii="方正仿宋简体" w:hAnsi="宋体" w:eastAsia="方正仿宋简体" w:cs="方正仿宋简体"/>
                <w:color w:val="000000"/>
                <w:sz w:val="28"/>
                <w:szCs w:val="28"/>
              </w:rPr>
              <w:t>栋住院综合楼、后勤服务楼；原住院楼改（扩）建为门诊楼，配套建设地下立体机械停车库、连廊及文化景观广场等附属设施。</w:t>
            </w:r>
          </w:p>
          <w:p w14:paraId="40E2FD4E">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基层医疗卫生服务体系建设：</w:t>
            </w:r>
            <w:r>
              <w:rPr>
                <w:rFonts w:hint="eastAsia" w:ascii="方正仿宋简体" w:hAnsi="宋体" w:eastAsia="方正仿宋简体" w:cs="方正仿宋简体"/>
                <w:color w:val="000000"/>
                <w:kern w:val="0"/>
                <w:sz w:val="28"/>
                <w:szCs w:val="28"/>
              </w:rPr>
              <w:t>改扩建镇街卫生院医技综合楼、周转宿舍、村卫生室等。</w:t>
            </w:r>
          </w:p>
          <w:p w14:paraId="0B9DB692">
            <w:pPr>
              <w:spacing w:line="560" w:lineRule="exact"/>
              <w:ind w:firstLine="562" w:firstLineChars="200"/>
              <w:rPr>
                <w:rFonts w:ascii="方正仿宋简体" w:hAnsi="宋体" w:eastAsia="方正仿宋简体"/>
                <w:color w:val="000000"/>
                <w:kern w:val="0"/>
                <w:sz w:val="28"/>
                <w:szCs w:val="28"/>
              </w:rPr>
            </w:pPr>
            <w:r>
              <w:rPr>
                <w:rFonts w:hint="eastAsia" w:ascii="方正楷体简体" w:hAnsi="宋体" w:eastAsia="方正楷体简体" w:cs="方正楷体简体"/>
                <w:b/>
                <w:bCs/>
                <w:color w:val="000000"/>
                <w:sz w:val="28"/>
                <w:szCs w:val="28"/>
              </w:rPr>
              <w:t>卫生计生信息化：</w:t>
            </w:r>
            <w:r>
              <w:rPr>
                <w:rFonts w:hint="eastAsia" w:ascii="方正仿宋简体" w:hAnsi="宋体" w:eastAsia="方正仿宋简体" w:cs="方正仿宋简体"/>
                <w:color w:val="000000"/>
                <w:kern w:val="0"/>
                <w:sz w:val="28"/>
                <w:szCs w:val="28"/>
              </w:rPr>
              <w:t>整合全员人口信息、电子健康档案和电子病历三大数据库资源，实现公共卫生、计划生育、医疗服务、医疗保障、药品管理、综合管理等六大业务应用系统信息资源互联互通，并与安徽人口健康信息网对接。逐步建立危重疾病会诊系统，区域远程影像、检查检验、区域信息管理平台、技术质量平台和医疗便民服务平台等系统。</w:t>
            </w:r>
          </w:p>
        </w:tc>
      </w:tr>
    </w:tbl>
    <w:p w14:paraId="38949613"/>
    <w:p w14:paraId="1B2DAA64">
      <w:pPr>
        <w:pStyle w:val="4"/>
        <w:spacing w:after="60" w:line="480" w:lineRule="auto"/>
        <w:ind w:firstLine="643" w:firstLineChars="200"/>
        <w:jc w:val="left"/>
        <w:rPr>
          <w:rFonts w:ascii="方正仿宋简体" w:hAnsi="黑体" w:eastAsia="方正仿宋简体"/>
        </w:rPr>
      </w:pPr>
      <w:bookmarkStart w:id="238" w:name="_Toc449037288"/>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促进人口均衡发展</w:t>
      </w:r>
      <w:bookmarkEnd w:id="238"/>
    </w:p>
    <w:p w14:paraId="73360C06">
      <w:pPr>
        <w:spacing w:line="62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坚持计划生育的基本国策，完善人口发展战略，保护妇女儿童合法权益，促进人口均衡发展。</w:t>
      </w:r>
    </w:p>
    <w:p w14:paraId="4B17B6B4">
      <w:pPr>
        <w:spacing w:line="62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坚持计划生育基本国策。</w:t>
      </w:r>
      <w:r>
        <w:rPr>
          <w:rFonts w:hint="eastAsia" w:ascii="方正仿宋简体" w:eastAsia="方正仿宋简体" w:cs="方正仿宋简体"/>
          <w:color w:val="000000"/>
          <w:sz w:val="32"/>
          <w:szCs w:val="32"/>
        </w:rPr>
        <w:t>实施“全面两孩”生育政策，建立以人为本、寓管理于服务之中的新型人口计生管理和服务体系，形成稳定低生育水平的长效机制。做好计划生育特困家庭扶助关怀工作，抓好计划生育家庭养老照护试点。强化信息系统运用，加强与流动人口重点地区协作，做好流动人口动态监测。</w:t>
      </w:r>
    </w:p>
    <w:p w14:paraId="6045DF23">
      <w:pPr>
        <w:spacing w:line="62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积极应对人口老龄化。</w:t>
      </w:r>
      <w:r>
        <w:rPr>
          <w:rFonts w:hint="eastAsia" w:ascii="方正仿宋简体" w:eastAsia="方正仿宋简体" w:cs="方正仿宋简体"/>
          <w:color w:val="000000"/>
          <w:sz w:val="32"/>
          <w:szCs w:val="32"/>
        </w:rPr>
        <w:t>弘扬敬老、养老、助老社会风尚，建设以居家为基础、社区为依托、机构为补充的多层次养老服务体系，推动医疗卫生和养老服务相结合，探索建立长期护理保险制度。全面放开养老服务市场，积极引进社会资本投资建设健康养老项目，通过购买服务、股权合作等方式支持各类市场主体增加养老服务和产品供给。</w:t>
      </w:r>
    </w:p>
    <w:p w14:paraId="639EC87E">
      <w:pPr>
        <w:spacing w:line="62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保护妇女儿童及残疾人合法权益。</w:t>
      </w:r>
      <w:r>
        <w:rPr>
          <w:rFonts w:hint="eastAsia" w:ascii="方正仿宋简体" w:eastAsia="方正仿宋简体" w:cs="方正仿宋简体"/>
          <w:color w:val="000000"/>
          <w:sz w:val="32"/>
          <w:szCs w:val="32"/>
        </w:rPr>
        <w:t>坚持男女平等基本国策，保障妇女和未成年人权益。支持残疾人事业发展，全面推进无障碍设施建设，完善残疾人社会保障体系和社会服务体系，积极推进对聋哑、弱智群体等集中供养。</w:t>
      </w:r>
    </w:p>
    <w:bookmarkEnd w:id="199"/>
    <w:p w14:paraId="6F0F619A">
      <w:pPr>
        <w:pStyle w:val="4"/>
        <w:spacing w:after="60" w:line="480" w:lineRule="auto"/>
        <w:ind w:firstLine="643" w:firstLineChars="200"/>
        <w:jc w:val="left"/>
        <w:rPr>
          <w:rFonts w:ascii="方正仿宋简体" w:hAnsi="黑体" w:eastAsia="方正仿宋简体"/>
        </w:rPr>
      </w:pPr>
      <w:bookmarkStart w:id="239" w:name="_Toc449037289"/>
      <w:bookmarkStart w:id="240" w:name="_Toc25058"/>
      <w:bookmarkStart w:id="241" w:name="_Toc432670972"/>
      <w:bookmarkStart w:id="242" w:name="_Toc9195"/>
      <w:bookmarkStart w:id="243" w:name="_Toc432405474"/>
      <w:r>
        <w:rPr>
          <w:rFonts w:hint="eastAsia" w:ascii="方正仿宋简体" w:hAnsi="黑体" w:eastAsia="方正仿宋简体" w:cs="方正仿宋简体"/>
        </w:rPr>
        <w:t>第四节</w:t>
      </w:r>
      <w:r>
        <w:rPr>
          <w:rFonts w:ascii="方正仿宋简体" w:hAnsi="黑体" w:eastAsia="方正仿宋简体" w:cs="方正仿宋简体"/>
        </w:rPr>
        <w:t xml:space="preserve">  </w:t>
      </w:r>
      <w:r>
        <w:rPr>
          <w:rFonts w:hint="eastAsia" w:ascii="方正仿宋简体" w:hAnsi="黑体" w:eastAsia="方正仿宋简体" w:cs="方正仿宋简体"/>
        </w:rPr>
        <w:t>全面推进就业创业</w:t>
      </w:r>
      <w:bookmarkEnd w:id="239"/>
    </w:p>
    <w:p w14:paraId="37DD2797">
      <w:pPr>
        <w:spacing w:line="62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坚持就业优先方略，实施更加积极的就业政策，</w:t>
      </w:r>
      <w:r>
        <w:rPr>
          <w:rFonts w:hint="eastAsia" w:ascii="仿宋_GB2312" w:hAnsi="宋体" w:eastAsia="方正仿宋简体" w:cs="方正仿宋简体"/>
          <w:kern w:val="0"/>
          <w:sz w:val="33"/>
          <w:szCs w:val="33"/>
          <w:lang w:val="zh-CN"/>
        </w:rPr>
        <w:t>加强对灵活就业</w:t>
      </w:r>
      <w:r>
        <w:rPr>
          <w:rFonts w:hint="eastAsia" w:ascii="方正仿宋简体" w:eastAsia="方正仿宋简体" w:cs="方正仿宋简体"/>
          <w:color w:val="000000"/>
          <w:sz w:val="32"/>
          <w:szCs w:val="32"/>
        </w:rPr>
        <w:t>、新就业形态的支持，创造更多就业岗位，解决结构性就业矛盾。贯彻落实“劳动者自主就业、市场调节就业、政府促进就业和鼓励创业”的就业方式，着力推动更加充分、更高质量就业。</w:t>
      </w:r>
    </w:p>
    <w:p w14:paraId="42B26F82">
      <w:pPr>
        <w:spacing w:line="58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推进城乡创业就业。</w:t>
      </w:r>
      <w:r>
        <w:rPr>
          <w:rFonts w:hint="eastAsia" w:ascii="方正仿宋简体" w:eastAsia="方正仿宋简体" w:cs="方正仿宋简体"/>
          <w:color w:val="000000"/>
          <w:sz w:val="32"/>
          <w:szCs w:val="32"/>
        </w:rPr>
        <w:t>将扩大就业作为保障和改善民生的头等大事，持续加大对就业的资金投入，形成公共财政保障、社会多元化投入的机制。建立城乡就业政策普惠制度，建立健全城乡统一的社会就业失业登记制度。以创新促进创业，以创业带动就业，大力加强创业平台建设，建立就业援助制度，大力开发公益性岗位，多渠道增加就业。完善就业失业监测，实行就业失业登记实名制。帮助困难群体和退役军人就业。支持鼓励高校毕业生、科技人才、返乡农民工等群体创业。</w:t>
      </w:r>
    </w:p>
    <w:p w14:paraId="22014012">
      <w:pPr>
        <w:spacing w:line="59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推进终身职业技能培训。</w:t>
      </w:r>
      <w:r>
        <w:rPr>
          <w:rFonts w:hint="eastAsia" w:ascii="方正仿宋简体" w:eastAsia="方正仿宋简体" w:cs="方正仿宋简体"/>
          <w:color w:val="000000"/>
          <w:sz w:val="32"/>
          <w:szCs w:val="32"/>
        </w:rPr>
        <w:t>实施新生代农民工职业技能提升计划。建立职业技能培训制度，大规模开展职业技能培训。加大技术工人的培养，完善职称评定制度，在全社会倡导“工匠”精神。</w:t>
      </w:r>
    </w:p>
    <w:p w14:paraId="6E08F924">
      <w:pPr>
        <w:pStyle w:val="4"/>
        <w:spacing w:after="60" w:line="480" w:lineRule="auto"/>
        <w:ind w:firstLine="643" w:firstLineChars="200"/>
        <w:jc w:val="left"/>
        <w:rPr>
          <w:rFonts w:ascii="方正仿宋简体" w:hAnsi="黑体" w:eastAsia="方正仿宋简体"/>
        </w:rPr>
      </w:pPr>
      <w:bookmarkStart w:id="244" w:name="_Toc449037290"/>
      <w:r>
        <w:rPr>
          <w:rFonts w:hint="eastAsia" w:ascii="方正仿宋简体" w:hAnsi="黑体" w:eastAsia="方正仿宋简体" w:cs="方正仿宋简体"/>
        </w:rPr>
        <w:t>第五节</w:t>
      </w:r>
      <w:r>
        <w:rPr>
          <w:rFonts w:ascii="方正仿宋简体" w:hAnsi="黑体" w:eastAsia="方正仿宋简体" w:cs="方正仿宋简体"/>
        </w:rPr>
        <w:t xml:space="preserve">  </w:t>
      </w:r>
      <w:r>
        <w:rPr>
          <w:rFonts w:hint="eastAsia" w:ascii="方正仿宋简体" w:hAnsi="黑体" w:eastAsia="方正仿宋简体" w:cs="方正仿宋简体"/>
        </w:rPr>
        <w:t>提升社会保障水平</w:t>
      </w:r>
      <w:bookmarkEnd w:id="240"/>
      <w:bookmarkEnd w:id="241"/>
      <w:bookmarkEnd w:id="242"/>
      <w:bookmarkEnd w:id="243"/>
      <w:bookmarkEnd w:id="244"/>
    </w:p>
    <w:p w14:paraId="0C77F653">
      <w:pPr>
        <w:spacing w:line="58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推进多层次社会保障体系建设，大力实施全民参保计划，巩固扩大社会保险覆盖面，基本实现法定人员全覆盖。到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年，全区城镇居民基本养老、基本医疗保险覆盖率达</w:t>
      </w:r>
      <w:r>
        <w:rPr>
          <w:rFonts w:ascii="方正仿宋简体" w:eastAsia="方正仿宋简体" w:cs="方正仿宋简体"/>
          <w:color w:val="000000"/>
          <w:sz w:val="32"/>
          <w:szCs w:val="32"/>
        </w:rPr>
        <w:t>98%</w:t>
      </w:r>
      <w:r>
        <w:rPr>
          <w:rFonts w:hint="eastAsia" w:ascii="方正仿宋简体" w:eastAsia="方正仿宋简体" w:cs="方正仿宋简体"/>
          <w:color w:val="000000"/>
          <w:sz w:val="32"/>
          <w:szCs w:val="32"/>
        </w:rPr>
        <w:t>以上，城乡居民养老保险金每年按时足额发放率</w:t>
      </w:r>
      <w:r>
        <w:rPr>
          <w:rFonts w:ascii="方正仿宋简体" w:eastAsia="方正仿宋简体" w:cs="方正仿宋简体"/>
          <w:color w:val="000000"/>
          <w:sz w:val="32"/>
          <w:szCs w:val="32"/>
        </w:rPr>
        <w:t>100%</w:t>
      </w:r>
      <w:r>
        <w:rPr>
          <w:rFonts w:hint="eastAsia" w:ascii="方正仿宋简体" w:eastAsia="方正仿宋简体" w:cs="方正仿宋简体"/>
          <w:color w:val="000000"/>
          <w:sz w:val="32"/>
          <w:szCs w:val="32"/>
        </w:rPr>
        <w:t>。</w:t>
      </w:r>
    </w:p>
    <w:p w14:paraId="5A4C4C7D">
      <w:pPr>
        <w:spacing w:line="58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建成公平统一规范的城乡居民养老保险制度。</w:t>
      </w:r>
      <w:r>
        <w:rPr>
          <w:rFonts w:hint="eastAsia" w:ascii="方正仿宋简体" w:eastAsia="方正仿宋简体" w:cs="方正仿宋简体"/>
          <w:color w:val="000000"/>
          <w:sz w:val="32"/>
          <w:szCs w:val="32"/>
        </w:rPr>
        <w:t>完善职工养老保险个人账户制度，实现职工基础养老金统筹，建立基本养老金合理调整机制。做好城镇职工基本养老保险关系转移接续工作，改革机关事业单位养老保险制度，建立体现机关事业单位特点的职业年金制度，扩大企业年金制度覆盖面。鼓励发展商业养老、健康保险，多层次提高社会保障待遇水平。</w:t>
      </w:r>
    </w:p>
    <w:p w14:paraId="349943D7">
      <w:pPr>
        <w:spacing w:line="58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建成公平统一规范的城乡居民基本医疗保险制度。</w:t>
      </w:r>
      <w:r>
        <w:rPr>
          <w:rFonts w:hint="eastAsia" w:ascii="方正仿宋简体" w:eastAsia="方正仿宋简体" w:cs="方正仿宋简体"/>
          <w:color w:val="000000"/>
          <w:sz w:val="32"/>
          <w:szCs w:val="32"/>
        </w:rPr>
        <w:t>到</w:t>
      </w:r>
      <w:r>
        <w:rPr>
          <w:rFonts w:ascii="方正仿宋简体" w:eastAsia="方正仿宋简体" w:cs="方正仿宋简体"/>
          <w:color w:val="000000"/>
          <w:sz w:val="32"/>
          <w:szCs w:val="32"/>
        </w:rPr>
        <w:t>2017</w:t>
      </w:r>
      <w:r>
        <w:rPr>
          <w:rFonts w:hint="eastAsia" w:ascii="方正仿宋简体" w:eastAsia="方正仿宋简体" w:cs="方正仿宋简体"/>
          <w:color w:val="000000"/>
          <w:sz w:val="32"/>
          <w:szCs w:val="32"/>
        </w:rPr>
        <w:t>年前，合并实施生育保险和基本医疗保险。全面完成城镇居民基本医疗保险和新型农村合作医疗制度并轨。加快推进机关事业单位、城镇职工基本医疗保险与城乡居民基本医疗保险的衔接并轨。到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年前，全面建成公平、统一、规范的城乡居民医疗保险制度。</w:t>
      </w:r>
    </w:p>
    <w:p w14:paraId="276CD55B">
      <w:pPr>
        <w:spacing w:line="58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提高其它各项社会保险保障水平。</w:t>
      </w:r>
      <w:r>
        <w:rPr>
          <w:rFonts w:hint="eastAsia" w:ascii="方正仿宋简体" w:eastAsia="方正仿宋简体" w:cs="方正仿宋简体"/>
          <w:color w:val="000000"/>
          <w:sz w:val="32"/>
          <w:szCs w:val="32"/>
        </w:rPr>
        <w:t>加快工伤保险制度改革，完善工伤预防、工伤补偿、工伤康复“三位一体”的工伤保险制度体系，使城乡各类务工人员人人享有工伤保险。进一步扩大失业保险覆盖范围，完善集保障基本生活、促进就业和预防失业功能为一体的全区统一的城乡居民失业保险制度。全面实施城乡居民大病保险制度。稳步提高生育保险待遇水平。推动城乡低保统筹，完善特困人员供养制度和受灾人员救助制度，加快推进医疗、教育、住房、就业救助制度，全面建立临时救助制度。全面落实儿童、残疾人、流浪未成年人救助等福利政策，完善孤儿院、残疾人托养服务体系。</w:t>
      </w:r>
    </w:p>
    <w:p w14:paraId="2C72484E">
      <w:pPr>
        <w:pStyle w:val="4"/>
        <w:spacing w:after="60" w:line="480" w:lineRule="auto"/>
        <w:ind w:firstLine="643" w:firstLineChars="200"/>
        <w:jc w:val="left"/>
        <w:rPr>
          <w:rFonts w:ascii="方正仿宋简体" w:hAnsi="黑体" w:eastAsia="方正仿宋简体"/>
        </w:rPr>
      </w:pPr>
      <w:r>
        <w:rPr>
          <w:rFonts w:ascii="黑体" w:hAnsi="黑体" w:eastAsia="黑体"/>
          <w:color w:val="000000"/>
        </w:rPr>
        <w:tab/>
      </w:r>
      <w:bookmarkStart w:id="245" w:name="_Toc449037291"/>
      <w:r>
        <w:rPr>
          <w:rFonts w:hint="eastAsia" w:ascii="方正仿宋简体" w:hAnsi="黑体" w:eastAsia="方正仿宋简体" w:cs="方正仿宋简体"/>
        </w:rPr>
        <w:t>第六节</w:t>
      </w:r>
      <w:r>
        <w:rPr>
          <w:rFonts w:ascii="方正仿宋简体" w:hAnsi="黑体" w:eastAsia="方正仿宋简体" w:cs="方正仿宋简体"/>
        </w:rPr>
        <w:t xml:space="preserve">  </w:t>
      </w:r>
      <w:r>
        <w:rPr>
          <w:rFonts w:hint="eastAsia" w:ascii="方正仿宋简体" w:hAnsi="黑体" w:eastAsia="方正仿宋简体" w:cs="方正仿宋简体"/>
        </w:rPr>
        <w:t>大力发展养老事业</w:t>
      </w:r>
      <w:bookmarkEnd w:id="245"/>
    </w:p>
    <w:p w14:paraId="05417EC1">
      <w:pPr>
        <w:spacing w:line="60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开展应对人口老龄化行动，弘扬敬老、养老、助老社会风尚，全面建成以居家为基础、社区为依托、机构为支撑的功能完善、规模适度、覆盖城乡、具有贵池特色的养老服务体系，全区每千名老年人拥有养老床位不少于</w:t>
      </w:r>
      <w:r>
        <w:rPr>
          <w:rFonts w:ascii="方正仿宋简体" w:eastAsia="方正仿宋简体" w:cs="方正仿宋简体"/>
          <w:color w:val="000000"/>
          <w:sz w:val="32"/>
          <w:szCs w:val="32"/>
        </w:rPr>
        <w:t>45</w:t>
      </w:r>
      <w:r>
        <w:rPr>
          <w:rFonts w:hint="eastAsia" w:ascii="方正仿宋简体" w:eastAsia="方正仿宋简体" w:cs="方正仿宋简体"/>
          <w:color w:val="000000"/>
          <w:sz w:val="32"/>
          <w:szCs w:val="32"/>
        </w:rPr>
        <w:t>张。</w:t>
      </w:r>
    </w:p>
    <w:p w14:paraId="5FF03AD2">
      <w:pPr>
        <w:spacing w:line="600" w:lineRule="exact"/>
        <w:ind w:firstLine="630" w:firstLineChars="196"/>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提高基本养老公共服务水平。</w:t>
      </w:r>
      <w:r>
        <w:rPr>
          <w:rFonts w:hint="eastAsia" w:ascii="方正仿宋简体" w:eastAsia="方正仿宋简体" w:cs="方正仿宋简体"/>
          <w:color w:val="000000"/>
          <w:sz w:val="32"/>
          <w:szCs w:val="32"/>
        </w:rPr>
        <w:t>推进基本养老、基本医疗、社会救助等制度统筹衔接，保障困难老年人基本养老服务需求。强化公办保障性养老机构托底保障功能，建立社会福利院、农村敬老院、光荣院等公办机构入住评估制度。完善社区养老公共服务设施，加强养老服务与其他社区和公共服务设施的功能衔接，分区分级规划设置养老服务设施，落实社区居家养老服务用房。全面推进农村互助养老服务设施建设。</w:t>
      </w:r>
    </w:p>
    <w:p w14:paraId="4F1F97EB">
      <w:pPr>
        <w:spacing w:line="600" w:lineRule="exact"/>
        <w:ind w:firstLine="630" w:firstLineChars="196"/>
        <w:rPr>
          <w:rFonts w:ascii="仿宋_GB2312" w:eastAsia="仿宋_GB2312"/>
          <w:color w:val="000000"/>
          <w:sz w:val="30"/>
          <w:szCs w:val="30"/>
        </w:rPr>
      </w:pPr>
      <w:r>
        <w:rPr>
          <w:rFonts w:hint="eastAsia" w:ascii="方正楷体简体" w:eastAsia="方正楷体简体" w:cs="方正楷体简体"/>
          <w:b/>
          <w:bCs/>
          <w:color w:val="000000"/>
          <w:sz w:val="32"/>
          <w:szCs w:val="32"/>
        </w:rPr>
        <w:t>深入推进养老体制改革。</w:t>
      </w:r>
      <w:r>
        <w:rPr>
          <w:rFonts w:hint="eastAsia" w:ascii="方正仿宋简体" w:eastAsia="方正仿宋简体" w:cs="方正仿宋简体"/>
          <w:color w:val="000000"/>
          <w:sz w:val="32"/>
          <w:szCs w:val="32"/>
        </w:rPr>
        <w:t>创新养老服务供给方式，积极培育居家养老服务企业和机构，委托或公开招标各类企业和机构兴办、运营社区居家养老服务项目；加快推进政府购买养老服务，制定购买服务目录和实施办法。推动医疗卫生和养老服务相结合，探索建立长期护理保险制度，倡导医疗机构将护理服务延伸至居民家庭。</w:t>
      </w:r>
    </w:p>
    <w:p w14:paraId="38DE3B34">
      <w:pPr>
        <w:spacing w:afterLines="50"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23  </w:t>
      </w:r>
      <w:r>
        <w:rPr>
          <w:rFonts w:hint="eastAsia" w:ascii="宋体" w:hAnsi="宋体" w:cs="宋体"/>
          <w:b/>
          <w:bCs/>
          <w:color w:val="000000"/>
          <w:sz w:val="28"/>
          <w:szCs w:val="28"/>
        </w:rPr>
        <w:t>养老产业重点建设项目</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2F2C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759A168">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国家爱晚工程池州爱晚中心：</w:t>
            </w:r>
            <w:r>
              <w:rPr>
                <w:rFonts w:hint="eastAsia" w:ascii="方正仿宋简体" w:hAnsi="宋体" w:eastAsia="方正仿宋简体" w:cs="方正仿宋简体"/>
                <w:color w:val="000000"/>
                <w:sz w:val="28"/>
                <w:szCs w:val="28"/>
              </w:rPr>
              <w:t>占地</w:t>
            </w:r>
            <w:r>
              <w:rPr>
                <w:rFonts w:ascii="方正仿宋简体" w:hAnsi="宋体" w:eastAsia="方正仿宋简体" w:cs="方正仿宋简体"/>
                <w:color w:val="000000"/>
                <w:sz w:val="28"/>
                <w:szCs w:val="28"/>
              </w:rPr>
              <w:t>1000</w:t>
            </w:r>
            <w:r>
              <w:rPr>
                <w:rFonts w:hint="eastAsia" w:ascii="方正仿宋简体" w:hAnsi="宋体" w:eastAsia="方正仿宋简体" w:cs="方正仿宋简体"/>
                <w:color w:val="000000"/>
                <w:sz w:val="28"/>
                <w:szCs w:val="28"/>
              </w:rPr>
              <w:t>亩，主要建设养老公寓及配套服务设施，包括医疗护理中心、老年大学、老年娱乐中心、学校、超市、购物中心、康乐中心、社区行政中心、文化娱乐中心、金融服务中心、会议中心、高档会所等；</w:t>
            </w:r>
            <w:r>
              <w:rPr>
                <w:rFonts w:ascii="方正仿宋简体" w:hAnsi="宋体" w:eastAsia="方正仿宋简体" w:cs="方正仿宋简体"/>
                <w:color w:val="000000"/>
                <w:sz w:val="28"/>
                <w:szCs w:val="28"/>
              </w:rPr>
              <w:t>1</w:t>
            </w:r>
            <w:r>
              <w:rPr>
                <w:rFonts w:hint="eastAsia" w:ascii="方正仿宋简体" w:hAnsi="宋体" w:eastAsia="方正仿宋简体" w:cs="方正仿宋简体"/>
                <w:color w:val="000000"/>
                <w:sz w:val="28"/>
                <w:szCs w:val="28"/>
              </w:rPr>
              <w:t>所为养老公寓配套服务的五星级酒店；国家民政部主管的社工大学池州分院，主要培养从事养老事业研究、管理的专业人才。</w:t>
            </w:r>
          </w:p>
          <w:p w14:paraId="46D4A1CB">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杏花村文化旅游区乡村健康养老基地：</w:t>
            </w:r>
            <w:r>
              <w:rPr>
                <w:rFonts w:hint="eastAsia" w:ascii="方正仿宋简体" w:hAnsi="宋体" w:eastAsia="方正仿宋简体" w:cs="方正仿宋简体"/>
                <w:color w:val="000000"/>
                <w:sz w:val="28"/>
                <w:szCs w:val="28"/>
              </w:rPr>
              <w:t>规划用地面积</w:t>
            </w:r>
            <w:r>
              <w:rPr>
                <w:rFonts w:ascii="方正仿宋简体" w:hAnsi="宋体" w:eastAsia="方正仿宋简体" w:cs="方正仿宋简体"/>
                <w:color w:val="000000"/>
                <w:sz w:val="28"/>
                <w:szCs w:val="28"/>
              </w:rPr>
              <w:t>3000</w:t>
            </w:r>
            <w:r>
              <w:rPr>
                <w:rFonts w:hint="eastAsia" w:ascii="方正仿宋简体" w:hAnsi="宋体" w:eastAsia="方正仿宋简体" w:cs="方正仿宋简体"/>
                <w:color w:val="000000"/>
                <w:sz w:val="28"/>
                <w:szCs w:val="28"/>
              </w:rPr>
              <w:t>亩，主要建设老年人健康养护区、养生养老村落区、老年人文化交流区、老年人健身娱乐区、商务休闲区、综合服务区以及其他户外养生活动区包括文体活动区、种植区、采摘区，垂钓区等，配套建设道路、广场、供电、给排水、绿化环保等附属工程。</w:t>
            </w:r>
          </w:p>
          <w:p w14:paraId="567C0868">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贵池区老年公寓夕阳楼及康复中心：</w:t>
            </w:r>
            <w:r>
              <w:rPr>
                <w:rFonts w:hint="eastAsia" w:ascii="方正仿宋简体" w:hAnsi="宋体" w:eastAsia="方正仿宋简体" w:cs="方正仿宋简体"/>
                <w:color w:val="000000"/>
                <w:sz w:val="28"/>
                <w:szCs w:val="28"/>
              </w:rPr>
              <w:t>主要建设公寓楼</w:t>
            </w:r>
            <w:r>
              <w:rPr>
                <w:rFonts w:ascii="方正仿宋简体" w:hAnsi="宋体" w:eastAsia="方正仿宋简体" w:cs="方正仿宋简体"/>
                <w:color w:val="000000"/>
                <w:sz w:val="28"/>
                <w:szCs w:val="28"/>
              </w:rPr>
              <w:t>1500</w:t>
            </w:r>
            <w:r>
              <w:rPr>
                <w:rFonts w:hint="eastAsia" w:ascii="方正仿宋简体" w:hAnsi="宋体" w:eastAsia="方正仿宋简体" w:cs="方正仿宋简体"/>
                <w:color w:val="000000"/>
                <w:sz w:val="28"/>
                <w:szCs w:val="28"/>
              </w:rPr>
              <w:t>平方米、康复中心</w:t>
            </w:r>
            <w:r>
              <w:rPr>
                <w:rFonts w:ascii="方正仿宋简体" w:hAnsi="宋体" w:eastAsia="方正仿宋简体" w:cs="方正仿宋简体"/>
                <w:color w:val="000000"/>
                <w:sz w:val="28"/>
                <w:szCs w:val="28"/>
              </w:rPr>
              <w:t>2000</w:t>
            </w:r>
            <w:r>
              <w:rPr>
                <w:rFonts w:hint="eastAsia" w:ascii="方正仿宋简体" w:hAnsi="宋体" w:eastAsia="方正仿宋简体" w:cs="方正仿宋简体"/>
                <w:color w:val="000000"/>
                <w:sz w:val="28"/>
                <w:szCs w:val="28"/>
              </w:rPr>
              <w:t>平方米。</w:t>
            </w:r>
          </w:p>
          <w:p w14:paraId="5C13B655">
            <w:pPr>
              <w:spacing w:line="560" w:lineRule="exact"/>
              <w:ind w:firstLine="562" w:firstLineChars="200"/>
              <w:rPr>
                <w:rFonts w:ascii="方正仿宋简体" w:hAnsi="宋体" w:eastAsia="方正仿宋简体"/>
                <w:color w:val="000000"/>
                <w:sz w:val="28"/>
                <w:szCs w:val="28"/>
              </w:rPr>
            </w:pPr>
            <w:r>
              <w:rPr>
                <w:rFonts w:hint="eastAsia" w:ascii="方正楷体简体" w:hAnsi="宋体" w:eastAsia="方正楷体简体" w:cs="方正楷体简体"/>
                <w:b/>
                <w:bCs/>
                <w:color w:val="000000"/>
                <w:sz w:val="28"/>
                <w:szCs w:val="28"/>
              </w:rPr>
              <w:t>社区（村）老年人日间照料中心：</w:t>
            </w:r>
            <w:r>
              <w:rPr>
                <w:rFonts w:hint="eastAsia" w:ascii="方正仿宋简体" w:hAnsi="宋体" w:eastAsia="方正仿宋简体" w:cs="方正仿宋简体"/>
                <w:color w:val="000000"/>
                <w:sz w:val="28"/>
                <w:szCs w:val="28"/>
              </w:rPr>
              <w:t>建设</w:t>
            </w:r>
            <w:r>
              <w:rPr>
                <w:rFonts w:ascii="方正仿宋简体" w:hAnsi="宋体" w:eastAsia="方正仿宋简体" w:cs="方正仿宋简体"/>
                <w:color w:val="000000"/>
                <w:sz w:val="28"/>
                <w:szCs w:val="28"/>
              </w:rPr>
              <w:t>10</w:t>
            </w:r>
            <w:r>
              <w:rPr>
                <w:rFonts w:hint="eastAsia" w:ascii="方正仿宋简体" w:hAnsi="宋体" w:eastAsia="方正仿宋简体" w:cs="方正仿宋简体"/>
                <w:color w:val="000000"/>
                <w:sz w:val="28"/>
                <w:szCs w:val="28"/>
              </w:rPr>
              <w:t>个老年人日间照料中心，建设业务用房及相关配套设施</w:t>
            </w:r>
            <w:r>
              <w:rPr>
                <w:rFonts w:ascii="方正仿宋简体" w:hAnsi="宋体" w:eastAsia="方正仿宋简体" w:cs="方正仿宋简体"/>
                <w:color w:val="000000"/>
                <w:sz w:val="28"/>
                <w:szCs w:val="28"/>
              </w:rPr>
              <w:t>9000</w:t>
            </w:r>
            <w:r>
              <w:rPr>
                <w:rFonts w:hint="eastAsia" w:ascii="方正仿宋简体" w:hAnsi="宋体" w:eastAsia="方正仿宋简体" w:cs="方正仿宋简体"/>
                <w:color w:val="000000"/>
                <w:sz w:val="28"/>
                <w:szCs w:val="28"/>
              </w:rPr>
              <w:t>平米。</w:t>
            </w:r>
          </w:p>
          <w:p w14:paraId="5367611A">
            <w:pPr>
              <w:spacing w:line="560" w:lineRule="exact"/>
              <w:ind w:firstLine="562" w:firstLineChars="200"/>
              <w:rPr>
                <w:rFonts w:ascii="方正仿宋简体" w:hAnsi="宋体" w:eastAsia="方正仿宋简体"/>
                <w:b/>
                <w:bCs/>
                <w:color w:val="000000"/>
                <w:kern w:val="0"/>
                <w:sz w:val="28"/>
                <w:szCs w:val="28"/>
              </w:rPr>
            </w:pPr>
            <w:r>
              <w:rPr>
                <w:rFonts w:hint="eastAsia" w:ascii="方正楷体简体" w:hAnsi="宋体" w:eastAsia="方正楷体简体" w:cs="方正楷体简体"/>
                <w:b/>
                <w:bCs/>
                <w:color w:val="000000"/>
                <w:sz w:val="28"/>
                <w:szCs w:val="28"/>
              </w:rPr>
              <w:t>贵池区杏林医养结合项目：</w:t>
            </w:r>
            <w:r>
              <w:rPr>
                <w:rFonts w:hint="eastAsia" w:ascii="方正仿宋简体" w:hAnsi="宋体" w:eastAsia="方正仿宋简体" w:cs="方正仿宋简体"/>
                <w:color w:val="000000"/>
                <w:sz w:val="28"/>
                <w:szCs w:val="28"/>
              </w:rPr>
              <w:t>主要建设老年康复医院、养老院各</w:t>
            </w:r>
            <w:r>
              <w:rPr>
                <w:rFonts w:ascii="方正仿宋简体" w:hAnsi="宋体" w:eastAsia="方正仿宋简体" w:cs="方正仿宋简体"/>
                <w:color w:val="000000"/>
                <w:sz w:val="28"/>
                <w:szCs w:val="28"/>
              </w:rPr>
              <w:t>1</w:t>
            </w:r>
            <w:r>
              <w:rPr>
                <w:rFonts w:hint="eastAsia" w:ascii="方正仿宋简体" w:hAnsi="宋体" w:eastAsia="方正仿宋简体" w:cs="方正仿宋简体"/>
                <w:color w:val="000000"/>
                <w:sz w:val="28"/>
                <w:szCs w:val="28"/>
              </w:rPr>
              <w:t>家，配套建设办公、食堂、住宿等设施。</w:t>
            </w:r>
          </w:p>
        </w:tc>
      </w:tr>
    </w:tbl>
    <w:p w14:paraId="474B7B88">
      <w:pPr>
        <w:spacing w:line="620" w:lineRule="exact"/>
        <w:ind w:firstLine="600" w:firstLineChars="200"/>
        <w:rPr>
          <w:rFonts w:ascii="仿宋_GB2312" w:hAnsi="仿宋_GB2312" w:eastAsia="仿宋_GB2312"/>
          <w:color w:val="000000"/>
          <w:sz w:val="30"/>
          <w:szCs w:val="30"/>
        </w:rPr>
      </w:pPr>
    </w:p>
    <w:p w14:paraId="5906A89D">
      <w:pPr>
        <w:pStyle w:val="4"/>
        <w:spacing w:after="60" w:line="480" w:lineRule="auto"/>
        <w:ind w:firstLine="643" w:firstLineChars="200"/>
        <w:jc w:val="left"/>
        <w:rPr>
          <w:rFonts w:ascii="方正仿宋简体" w:hAnsi="黑体" w:eastAsia="方正仿宋简体"/>
        </w:rPr>
      </w:pPr>
      <w:bookmarkStart w:id="246" w:name="_Toc449037292"/>
      <w:r>
        <w:rPr>
          <w:rFonts w:hint="eastAsia" w:ascii="方正仿宋简体" w:hAnsi="黑体" w:eastAsia="方正仿宋简体" w:cs="方正仿宋简体"/>
        </w:rPr>
        <w:t>第七节</w:t>
      </w:r>
      <w:r>
        <w:rPr>
          <w:rFonts w:ascii="方正仿宋简体" w:hAnsi="黑体" w:eastAsia="方正仿宋简体" w:cs="方正仿宋简体"/>
        </w:rPr>
        <w:t xml:space="preserve">  </w:t>
      </w:r>
      <w:r>
        <w:rPr>
          <w:rFonts w:hint="eastAsia" w:ascii="方正仿宋简体" w:hAnsi="黑体" w:eastAsia="方正仿宋简体" w:cs="方正仿宋简体"/>
        </w:rPr>
        <w:t>提高城乡居民收入</w:t>
      </w:r>
      <w:bookmarkEnd w:id="246"/>
    </w:p>
    <w:p w14:paraId="509C2872">
      <w:pPr>
        <w:pStyle w:val="11"/>
        <w:spacing w:line="600" w:lineRule="exact"/>
        <w:ind w:firstLine="640" w:firstLineChars="200"/>
        <w:rPr>
          <w:rFonts w:ascii="仿宋_GB2312" w:hAnsi="Times New Roman" w:eastAsia="仿宋_GB2312" w:cs="仿宋_GB2312"/>
          <w:color w:val="000000"/>
          <w:sz w:val="30"/>
          <w:szCs w:val="30"/>
        </w:rPr>
      </w:pPr>
      <w:r>
        <w:rPr>
          <w:rFonts w:hint="eastAsia" w:ascii="方正仿宋简体" w:hAnsi="Times New Roman" w:eastAsia="方正仿宋简体" w:cs="方正仿宋简体"/>
          <w:color w:val="000000"/>
          <w:sz w:val="32"/>
          <w:szCs w:val="32"/>
        </w:rPr>
        <w:t>拓宽居民收入增长渠道，完善农民收入增长支持政策体系，持续增加城乡居民收入。</w:t>
      </w:r>
      <w:r>
        <w:rPr>
          <w:rFonts w:ascii="仿宋_GB2312" w:hAnsi="Times New Roman" w:eastAsia="仿宋_GB2312" w:cs="仿宋_GB2312"/>
          <w:color w:val="000000"/>
          <w:sz w:val="30"/>
          <w:szCs w:val="30"/>
        </w:rPr>
        <w:t xml:space="preserve"> </w:t>
      </w:r>
    </w:p>
    <w:p w14:paraId="4B593F09">
      <w:pPr>
        <w:pStyle w:val="11"/>
        <w:spacing w:line="600" w:lineRule="exact"/>
        <w:rPr>
          <w:rFonts w:ascii="方正仿宋简体" w:hAnsi="Times New Roman" w:eastAsia="方正仿宋简体" w:cs="Times New Roman"/>
          <w:color w:val="000000"/>
          <w:sz w:val="32"/>
          <w:szCs w:val="32"/>
        </w:rPr>
      </w:pPr>
      <w:r>
        <w:rPr>
          <w:rFonts w:hint="eastAsia" w:ascii="仿宋_GB2312" w:hAnsi="Times New Roman" w:eastAsia="仿宋_GB2312" w:cs="仿宋_GB2312"/>
          <w:color w:val="000000"/>
          <w:sz w:val="30"/>
          <w:szCs w:val="30"/>
        </w:rPr>
        <w:t>　</w:t>
      </w:r>
      <w:r>
        <w:rPr>
          <w:rFonts w:hint="eastAsia" w:ascii="方正楷体简体" w:hAnsi="Times New Roman" w:eastAsia="方正楷体简体" w:cs="方正楷体简体"/>
          <w:b/>
          <w:bCs/>
          <w:color w:val="000000"/>
          <w:sz w:val="32"/>
          <w:szCs w:val="32"/>
        </w:rPr>
        <w:t>　合理增加工资性收入。</w:t>
      </w:r>
      <w:r>
        <w:rPr>
          <w:rFonts w:hint="eastAsia" w:ascii="方正仿宋简体" w:hAnsi="Times New Roman" w:eastAsia="方正仿宋简体" w:cs="方正仿宋简体"/>
          <w:color w:val="000000"/>
          <w:sz w:val="32"/>
          <w:szCs w:val="32"/>
        </w:rPr>
        <w:t>建立科学的工资水平决定机制、正常增长机制，推行企业工资集体协商制度，完善最低工资增长机制，建立机关事业单位工资正常增长机制。规范收入分配秩序，保护合法收入，调节过高收入，清理规范隐形收入，取缔非法收入，扩大中等收入者比重。</w:t>
      </w:r>
    </w:p>
    <w:p w14:paraId="51ECFA7D">
      <w:pPr>
        <w:pStyle w:val="11"/>
        <w:spacing w:line="600" w:lineRule="exact"/>
        <w:rPr>
          <w:rFonts w:ascii="方正仿宋简体" w:hAnsi="Times New Roman" w:eastAsia="方正仿宋简体" w:cs="Times New Roman"/>
          <w:color w:val="000000"/>
          <w:sz w:val="32"/>
          <w:szCs w:val="32"/>
        </w:rPr>
      </w:pPr>
      <w:r>
        <w:rPr>
          <w:rFonts w:hint="eastAsia" w:ascii="仿宋_GB2312" w:hAnsi="Times New Roman" w:eastAsia="仿宋_GB2312" w:cs="仿宋_GB2312"/>
          <w:color w:val="000000"/>
          <w:sz w:val="30"/>
          <w:szCs w:val="30"/>
        </w:rPr>
        <w:t>　　</w:t>
      </w:r>
      <w:r>
        <w:rPr>
          <w:rFonts w:hint="eastAsia" w:ascii="方正楷体简体" w:hAnsi="Times New Roman" w:eastAsia="方正楷体简体" w:cs="方正楷体简体"/>
          <w:b/>
          <w:bCs/>
          <w:color w:val="000000"/>
          <w:sz w:val="32"/>
          <w:szCs w:val="32"/>
        </w:rPr>
        <w:t>保障劳动报酬正常支付。</w:t>
      </w:r>
      <w:r>
        <w:rPr>
          <w:rFonts w:hint="eastAsia" w:ascii="方正仿宋简体" w:hAnsi="Times New Roman" w:eastAsia="方正仿宋简体" w:cs="方正仿宋简体"/>
          <w:color w:val="000000"/>
          <w:sz w:val="32"/>
          <w:szCs w:val="32"/>
        </w:rPr>
        <w:t>针对容易发生工资拖欠的行业企业，实行工资支付重点监控制度、欠薪报告制度和工资保证金制度，建立健全打击恶意欠薪制度，确保职工工资支付。规范企业用工、劳动合同等制度，提高工资纠纷处理工作效率，依法追究拖欠职工工资等行为，切实维护劳动者的劳动报酬权。</w:t>
      </w:r>
      <w:r>
        <w:rPr>
          <w:rFonts w:ascii="方正仿宋简体" w:hAnsi="Times New Roman" w:eastAsia="方正仿宋简体" w:cs="方正仿宋简体"/>
          <w:color w:val="000000"/>
          <w:sz w:val="32"/>
          <w:szCs w:val="32"/>
        </w:rPr>
        <w:t xml:space="preserve"> </w:t>
      </w:r>
    </w:p>
    <w:p w14:paraId="7808366B">
      <w:pPr>
        <w:spacing w:line="620" w:lineRule="exact"/>
        <w:ind w:firstLine="643" w:firstLineChars="200"/>
        <w:rPr>
          <w:rFonts w:ascii="方正仿宋简体" w:eastAsia="方正仿宋简体"/>
          <w:color w:val="000000"/>
          <w:sz w:val="32"/>
          <w:szCs w:val="32"/>
        </w:rPr>
      </w:pPr>
      <w:r>
        <w:rPr>
          <w:rFonts w:hint="eastAsia" w:ascii="方正楷体简体" w:eastAsia="方正楷体简体" w:cs="方正楷体简体"/>
          <w:b/>
          <w:bCs/>
          <w:color w:val="000000"/>
          <w:sz w:val="32"/>
          <w:szCs w:val="32"/>
        </w:rPr>
        <w:t>多渠道增加城乡居民收入。</w:t>
      </w:r>
      <w:r>
        <w:rPr>
          <w:rFonts w:hint="eastAsia" w:ascii="方正仿宋简体" w:eastAsia="方正仿宋简体" w:cs="方正仿宋简体"/>
          <w:color w:val="000000"/>
          <w:sz w:val="32"/>
          <w:szCs w:val="32"/>
        </w:rPr>
        <w:t>增加财产性收入，保护私有财产权，创新居民财产保值增值方式，健全农民从集体资产和土地使用权中受益机制。增加经营性收入，优化创业环境，鼓励全民创业。扩大转移性收入，优化公共财政支出结构，增加财政对各类社保资金、“三农”的投入。增加低收入群体收入，逐步提高城乡最低生活保障标准，完善离退休人员养老金合理增长机制。</w:t>
      </w:r>
    </w:p>
    <w:p w14:paraId="6108B151">
      <w:pPr>
        <w:spacing w:line="620" w:lineRule="exact"/>
        <w:ind w:firstLine="640" w:firstLineChars="200"/>
        <w:rPr>
          <w:rFonts w:ascii="方正仿宋简体" w:eastAsia="方正仿宋简体"/>
          <w:color w:val="000000"/>
          <w:sz w:val="32"/>
          <w:szCs w:val="32"/>
        </w:rPr>
      </w:pPr>
    </w:p>
    <w:p w14:paraId="4DBABEB2">
      <w:pPr>
        <w:pStyle w:val="3"/>
        <w:spacing w:after="120" w:line="480" w:lineRule="auto"/>
        <w:ind w:firstLine="640" w:firstLineChars="200"/>
        <w:jc w:val="left"/>
        <w:rPr>
          <w:rFonts w:ascii="方正黑体简体" w:hAnsi="黑体" w:eastAsia="方正黑体简体" w:cs="Times New Roman"/>
          <w:b w:val="0"/>
          <w:bCs w:val="0"/>
        </w:rPr>
      </w:pPr>
      <w:bookmarkStart w:id="247" w:name="_Toc449037293"/>
      <w:r>
        <w:rPr>
          <w:rFonts w:hint="eastAsia" w:ascii="方正黑体简体" w:hAnsi="黑体" w:eastAsia="方正黑体简体" w:cs="方正黑体简体"/>
          <w:b w:val="0"/>
          <w:bCs w:val="0"/>
        </w:rPr>
        <w:t>第二十章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打赢脱贫攻坚战，同步建成小康社会</w:t>
      </w:r>
      <w:bookmarkEnd w:id="247"/>
    </w:p>
    <w:p w14:paraId="0DB40C05">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以实施精准扶贫、精准脱贫为基本方略，以增加贫困群众收入为核心，以贫困村为主战场，以改善贫困地区生产生活条件和增强自身发展能力为重点，扎实推进扶贫开发各项工作，促进贫困地区经济社会发展，确保如期实现全区</w:t>
      </w:r>
      <w:r>
        <w:rPr>
          <w:rFonts w:ascii="方正仿宋简体" w:hAnsi="宋体" w:eastAsia="方正仿宋简体" w:cs="方正仿宋简体"/>
          <w:color w:val="000000"/>
          <w:kern w:val="0"/>
          <w:sz w:val="32"/>
          <w:szCs w:val="32"/>
        </w:rPr>
        <w:t>3.18</w:t>
      </w:r>
      <w:r>
        <w:rPr>
          <w:rFonts w:hint="eastAsia" w:ascii="方正仿宋简体" w:hAnsi="宋体" w:eastAsia="方正仿宋简体" w:cs="方正仿宋简体"/>
          <w:color w:val="000000"/>
          <w:kern w:val="0"/>
          <w:sz w:val="32"/>
          <w:szCs w:val="32"/>
        </w:rPr>
        <w:t>万贫困人口、</w:t>
      </w:r>
      <w:r>
        <w:rPr>
          <w:rFonts w:ascii="方正仿宋简体" w:hAnsi="宋体" w:eastAsia="方正仿宋简体" w:cs="方正仿宋简体"/>
          <w:color w:val="000000"/>
          <w:kern w:val="0"/>
          <w:sz w:val="32"/>
          <w:szCs w:val="32"/>
        </w:rPr>
        <w:t>14</w:t>
      </w:r>
      <w:r>
        <w:rPr>
          <w:rFonts w:hint="eastAsia" w:ascii="方正仿宋简体" w:hAnsi="宋体" w:eastAsia="方正仿宋简体" w:cs="方正仿宋简体"/>
          <w:color w:val="000000"/>
          <w:kern w:val="0"/>
          <w:sz w:val="32"/>
          <w:szCs w:val="32"/>
        </w:rPr>
        <w:t>个贫困村的整体脱贫任务。</w:t>
      </w:r>
    </w:p>
    <w:p w14:paraId="6C1428CF">
      <w:pPr>
        <w:pStyle w:val="4"/>
        <w:spacing w:after="60" w:line="480" w:lineRule="auto"/>
        <w:ind w:firstLine="643" w:firstLineChars="200"/>
        <w:jc w:val="left"/>
        <w:rPr>
          <w:rFonts w:ascii="方正仿宋简体" w:hAnsi="黑体" w:eastAsia="方正仿宋简体"/>
        </w:rPr>
      </w:pPr>
      <w:bookmarkStart w:id="248" w:name="_Toc449037294"/>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实施脱贫攻坚工程</w:t>
      </w:r>
      <w:bookmarkEnd w:id="248"/>
    </w:p>
    <w:p w14:paraId="63AE70A2">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扶持生产和就业发展一批。</w:t>
      </w:r>
      <w:r>
        <w:rPr>
          <w:rFonts w:hint="eastAsia" w:ascii="方正仿宋简体" w:hAnsi="宋体" w:eastAsia="方正仿宋简体" w:cs="方正仿宋简体"/>
          <w:color w:val="000000"/>
          <w:kern w:val="0"/>
          <w:sz w:val="32"/>
          <w:szCs w:val="32"/>
        </w:rPr>
        <w:t>坚持因地制宜、分类指导，充分发挥龙头企业、农民专业合作社、家庭农场等新型农业经营主体的带动就业作用，让更多贫困户就地就近就业。通过政府投入、社会融资，采取项目带动、贫困户参股入股、以奖代补等方式，探索建立与贫困户的利益联接有效机制，支持具有资源生态和传统产业优势的贫困村发展“一村一品”，大力发展特色优势产业。稳步实施金融扶贫，积极协调金融机构对贫困户实施特惠政策。</w:t>
      </w:r>
    </w:p>
    <w:p w14:paraId="7F2E7CBB">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易地搬迁安置一批。</w:t>
      </w:r>
      <w:r>
        <w:rPr>
          <w:rFonts w:hint="eastAsia" w:ascii="方正仿宋简体" w:hAnsi="宋体" w:eastAsia="方正仿宋简体" w:cs="方正仿宋简体"/>
          <w:color w:val="000000"/>
          <w:kern w:val="0"/>
          <w:sz w:val="32"/>
          <w:szCs w:val="32"/>
        </w:rPr>
        <w:t>对居住在高山区、地质灾害频发区、洪水淹没威胁区的“三区”贫困群众，结合美丽乡村建设，科学规划实施搬迁安置，建立差别化补贴机制，实现具有搬迁条件和意愿的贫困户应搬尽搬。</w:t>
      </w:r>
    </w:p>
    <w:p w14:paraId="20E21324">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生态保护脱贫一批。</w:t>
      </w:r>
      <w:r>
        <w:rPr>
          <w:rFonts w:hint="eastAsia" w:ascii="方正仿宋简体" w:hAnsi="宋体" w:eastAsia="方正仿宋简体" w:cs="方正仿宋简体"/>
          <w:color w:val="000000"/>
          <w:kern w:val="0"/>
          <w:sz w:val="32"/>
          <w:szCs w:val="32"/>
        </w:rPr>
        <w:t>通过增加水电路基础设施建设等公共产品供给，改善贫困地区的生产生活环境；通过加大人力资源开发力度，提高贫困地区人口素质。增强贫困村和贫困人口的可持续发展能力，实现可持续脱贫。</w:t>
      </w:r>
    </w:p>
    <w:p w14:paraId="426737B4">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教育扶贫脱贫一批。</w:t>
      </w:r>
      <w:r>
        <w:rPr>
          <w:rFonts w:hint="eastAsia" w:ascii="方正仿宋简体" w:hAnsi="宋体" w:eastAsia="方正仿宋简体" w:cs="方正仿宋简体"/>
          <w:color w:val="000000"/>
          <w:kern w:val="0"/>
          <w:sz w:val="32"/>
          <w:szCs w:val="32"/>
        </w:rPr>
        <w:t>积极开展贫困人口教育培训，把扶志和扶智相结合，对贫困家庭考上大学本科学生实行奖励加贴息贷款政策；实施“雨露计划”，加大对贫困家庭的教育培训资助力度，有针对性开展分类分业分户技术培训和实践指导。</w:t>
      </w:r>
    </w:p>
    <w:p w14:paraId="1EFB801E">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低保政策兜底一批。</w:t>
      </w:r>
      <w:r>
        <w:rPr>
          <w:rFonts w:hint="eastAsia" w:ascii="方正仿宋简体" w:hAnsi="宋体" w:eastAsia="方正仿宋简体" w:cs="方正仿宋简体"/>
          <w:color w:val="000000"/>
          <w:kern w:val="0"/>
          <w:sz w:val="32"/>
          <w:szCs w:val="32"/>
        </w:rPr>
        <w:t>建立健全镇街扶贫救助中心，对农村“五保”老人、失独老人、孤儿和重度残疾、智障、精神病、重大疾病患者等无力脱贫特困群体，全面纳入最低生活保障范围，有条件的实行集中供养。</w:t>
      </w:r>
    </w:p>
    <w:p w14:paraId="7D968BDD">
      <w:pPr>
        <w:pStyle w:val="4"/>
        <w:spacing w:after="60" w:line="480" w:lineRule="auto"/>
        <w:ind w:firstLine="643" w:firstLineChars="200"/>
        <w:jc w:val="left"/>
        <w:rPr>
          <w:rFonts w:ascii="方正仿宋简体" w:hAnsi="黑体" w:eastAsia="方正仿宋简体"/>
        </w:rPr>
      </w:pPr>
      <w:bookmarkStart w:id="249" w:name="_Toc449037295"/>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加强扶贫项目建设</w:t>
      </w:r>
      <w:bookmarkEnd w:id="249"/>
    </w:p>
    <w:p w14:paraId="335719C3">
      <w:pPr>
        <w:spacing w:line="620" w:lineRule="exact"/>
        <w:ind w:firstLine="640" w:firstLineChars="200"/>
        <w:rPr>
          <w:rFonts w:eastAsia="仿宋_GB2312"/>
          <w:color w:val="000000"/>
          <w:sz w:val="32"/>
          <w:szCs w:val="32"/>
        </w:rPr>
      </w:pPr>
      <w:r>
        <w:rPr>
          <w:rFonts w:hint="eastAsia" w:eastAsia="仿宋_GB2312" w:cs="仿宋_GB2312"/>
          <w:color w:val="000000"/>
          <w:sz w:val="32"/>
          <w:szCs w:val="32"/>
        </w:rPr>
        <w:t>围绕扶贫开发目标和工作重点，重点实施基础设施、特色产业、危房改造、生态环境等项目建设。</w:t>
      </w:r>
    </w:p>
    <w:p w14:paraId="797EE4E7">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加快基础设施建设。</w:t>
      </w:r>
      <w:r>
        <w:rPr>
          <w:rFonts w:hint="eastAsia" w:ascii="方正仿宋简体" w:hAnsi="宋体" w:eastAsia="方正仿宋简体" w:cs="方正仿宋简体"/>
          <w:color w:val="000000"/>
          <w:kern w:val="0"/>
          <w:sz w:val="32"/>
          <w:szCs w:val="32"/>
        </w:rPr>
        <w:t>以水、电、路为突破口，加快基础设施项目向贫困村倾斜，打通连接贫困家庭的“最后一公里”，改善贫困人口生产生活条件。加强交通基础设施建设，提升公路通达能力，有效解决运输难、行路难问题。加强农田水利建设，抓好农村饮水安全工程建设，提高农业综合生产能力。加快电网改造升级，推进通信管网建设。</w:t>
      </w:r>
    </w:p>
    <w:p w14:paraId="660F629B">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发展特色产业。</w:t>
      </w:r>
      <w:r>
        <w:rPr>
          <w:rFonts w:hint="eastAsia" w:ascii="方正仿宋简体" w:hAnsi="宋体" w:eastAsia="方正仿宋简体" w:cs="方正仿宋简体"/>
          <w:color w:val="000000"/>
          <w:kern w:val="0"/>
          <w:sz w:val="32"/>
          <w:szCs w:val="32"/>
        </w:rPr>
        <w:t>根据贫困村自然资源、生产条件和产业基础情况，遵循市场规律，发挥比较优势，重点实施种植、养殖、林业、农产品加工、乡村旅游等项目建设，成为贫困群众增收的重要来源。</w:t>
      </w:r>
    </w:p>
    <w:p w14:paraId="06DFB253">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加强危房改造和环境整治。</w:t>
      </w:r>
      <w:r>
        <w:rPr>
          <w:rFonts w:hint="eastAsia" w:ascii="方正仿宋简体" w:hAnsi="宋体" w:eastAsia="方正仿宋简体" w:cs="方正仿宋简体"/>
          <w:color w:val="000000"/>
          <w:kern w:val="0"/>
          <w:sz w:val="32"/>
          <w:szCs w:val="32"/>
        </w:rPr>
        <w:t>实施农村危房改造工程，就地改善贫困群众生产生活条件。鼓励有条件的农村居民迁入集镇和城区。加快村容村貌整治，美化净化居住环境，提高群众生活质量。</w:t>
      </w:r>
    </w:p>
    <w:p w14:paraId="73D22E99">
      <w:pPr>
        <w:spacing w:line="620" w:lineRule="exact"/>
        <w:ind w:firstLine="643" w:firstLineChars="200"/>
        <w:rPr>
          <w:rFonts w:ascii="方正仿宋简体" w:hAnsi="宋体" w:eastAsia="方正仿宋简体"/>
          <w:color w:val="000000"/>
          <w:kern w:val="0"/>
          <w:sz w:val="32"/>
          <w:szCs w:val="32"/>
        </w:rPr>
      </w:pPr>
      <w:r>
        <w:rPr>
          <w:rFonts w:hint="eastAsia" w:ascii="方正楷体简体" w:hAnsi="宋体" w:eastAsia="方正楷体简体" w:cs="方正楷体简体"/>
          <w:b/>
          <w:bCs/>
          <w:color w:val="000000"/>
          <w:kern w:val="0"/>
          <w:sz w:val="32"/>
          <w:szCs w:val="32"/>
        </w:rPr>
        <w:t>推进公共服务均等化。</w:t>
      </w:r>
      <w:r>
        <w:rPr>
          <w:rFonts w:hint="eastAsia" w:ascii="方正仿宋简体" w:hAnsi="宋体" w:eastAsia="方正仿宋简体" w:cs="方正仿宋简体"/>
          <w:color w:val="000000"/>
          <w:kern w:val="0"/>
          <w:sz w:val="32"/>
          <w:szCs w:val="32"/>
        </w:rPr>
        <w:t>实施教育扶贫全覆盖工程，让贫困家庭子女都能接受公平的、有质量的教育。对农村“三留守”和残疾人进行全面摸底排查，建立信息管理和服务系统。重点实施一批文化惠民扶贫项目，重点是数字文化服务、乡土人才培养等，丰富贫困群众文化生活。</w:t>
      </w:r>
    </w:p>
    <w:p w14:paraId="2A03F098">
      <w:pPr>
        <w:pStyle w:val="4"/>
        <w:spacing w:after="60" w:line="480" w:lineRule="auto"/>
        <w:ind w:firstLine="643" w:firstLineChars="200"/>
        <w:jc w:val="left"/>
        <w:rPr>
          <w:rFonts w:ascii="方正仿宋简体" w:hAnsi="黑体" w:eastAsia="方正仿宋简体"/>
        </w:rPr>
      </w:pPr>
      <w:bookmarkStart w:id="250" w:name="_Toc449037296"/>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创新扶贫开发机制</w:t>
      </w:r>
      <w:bookmarkEnd w:id="250"/>
    </w:p>
    <w:p w14:paraId="56FEE88F">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实行脱贫工作责任制，完善单位包干、干部包户的工作机制。建立扶贫开发评估考核机制、精准扶贫动态管理机制、资金投入增长和管理机制，完善扶贫项目资金公开制度和扶贫开发统计与贫困监测制度。积极引导社会力量参与扶贫，构建政府、市场、社会互为支撑的大扶贫格局。探索对贫困人口实行资产收益扶持制度。按照“培育主导产业、发展集体经济、改善生产生活条件、保护生态环境、增加贫困人口收入、提升生活质量”的要求，围绕“六通十二有”的目标，整合各类资源，集中力量支持</w:t>
      </w:r>
      <w:r>
        <w:rPr>
          <w:rFonts w:ascii="方正仿宋简体" w:hAnsi="宋体" w:eastAsia="方正仿宋简体" w:cs="方正仿宋简体"/>
          <w:color w:val="000000"/>
          <w:kern w:val="0"/>
          <w:sz w:val="32"/>
          <w:szCs w:val="32"/>
        </w:rPr>
        <w:t>14</w:t>
      </w:r>
      <w:r>
        <w:rPr>
          <w:rFonts w:hint="eastAsia" w:ascii="方正仿宋简体" w:hAnsi="宋体" w:eastAsia="方正仿宋简体" w:cs="方正仿宋简体"/>
          <w:color w:val="000000"/>
          <w:kern w:val="0"/>
          <w:sz w:val="32"/>
          <w:szCs w:val="32"/>
        </w:rPr>
        <w:t>个贫困村发展。</w:t>
      </w:r>
    </w:p>
    <w:p w14:paraId="26DE9250">
      <w:pPr>
        <w:spacing w:afterLines="50"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24  </w:t>
      </w:r>
      <w:r>
        <w:rPr>
          <w:rFonts w:hint="eastAsia" w:ascii="宋体" w:hAnsi="宋体" w:cs="宋体"/>
          <w:b/>
          <w:bCs/>
          <w:color w:val="000000"/>
          <w:sz w:val="28"/>
          <w:szCs w:val="28"/>
        </w:rPr>
        <w:t>贫困村基础设施和公共服务建设任务</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142D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08EFAC1">
            <w:pPr>
              <w:spacing w:line="560" w:lineRule="exact"/>
              <w:ind w:firstLine="562" w:firstLineChars="200"/>
              <w:rPr>
                <w:rFonts w:ascii="宋体"/>
                <w:color w:val="000000"/>
                <w:kern w:val="0"/>
                <w:sz w:val="28"/>
                <w:szCs w:val="28"/>
              </w:rPr>
            </w:pPr>
            <w:r>
              <w:rPr>
                <w:rFonts w:hint="eastAsia" w:ascii="方正楷体简体" w:hAnsi="宋体" w:eastAsia="方正楷体简体" w:cs="方正楷体简体"/>
                <w:b/>
                <w:bCs/>
                <w:color w:val="000000"/>
                <w:kern w:val="0"/>
                <w:sz w:val="28"/>
                <w:szCs w:val="28"/>
              </w:rPr>
              <w:t>六通：</w:t>
            </w:r>
            <w:r>
              <w:rPr>
                <w:rFonts w:hint="eastAsia" w:ascii="方正仿宋简体" w:hAnsi="宋体" w:eastAsia="方正仿宋简体" w:cs="方正仿宋简体"/>
                <w:color w:val="000000"/>
                <w:kern w:val="0"/>
                <w:sz w:val="28"/>
                <w:szCs w:val="28"/>
              </w:rPr>
              <w:t>通油（水泥）路、通电、通广播电视、通网络、通电话、通邮</w:t>
            </w:r>
          </w:p>
          <w:p w14:paraId="57121764">
            <w:pPr>
              <w:spacing w:line="560" w:lineRule="exact"/>
              <w:ind w:firstLine="562" w:firstLineChars="200"/>
              <w:rPr>
                <w:rFonts w:ascii="仿宋_GB2312" w:hAnsi="宋体" w:eastAsia="仿宋_GB2312"/>
                <w:color w:val="000000"/>
                <w:kern w:val="0"/>
                <w:sz w:val="28"/>
                <w:szCs w:val="28"/>
              </w:rPr>
            </w:pPr>
            <w:r>
              <w:rPr>
                <w:rFonts w:hint="eastAsia" w:ascii="方正楷体简体" w:hAnsi="宋体" w:eastAsia="方正楷体简体" w:cs="方正楷体简体"/>
                <w:b/>
                <w:bCs/>
                <w:color w:val="000000"/>
                <w:kern w:val="0"/>
                <w:sz w:val="28"/>
                <w:szCs w:val="28"/>
              </w:rPr>
              <w:t>十二有：</w:t>
            </w:r>
            <w:r>
              <w:rPr>
                <w:rFonts w:hint="eastAsia" w:ascii="方正仿宋简体" w:hAnsi="宋体" w:eastAsia="方正仿宋简体" w:cs="方正仿宋简体"/>
                <w:color w:val="000000"/>
                <w:kern w:val="0"/>
                <w:sz w:val="28"/>
                <w:szCs w:val="28"/>
              </w:rPr>
              <w:t>有安全饮用水、有安居住房、有一项特色主导产业、有高产稳产基本农田或增收产业、有扶贫互助社、有学前教育、有卫生室、有文化室和农家书屋、有卫生厕所、有体育健身和民族文化活动场地、有沼气、有农家超市（便利店）和农资放心店。</w:t>
            </w:r>
          </w:p>
        </w:tc>
      </w:tr>
    </w:tbl>
    <w:p w14:paraId="6334DA20">
      <w:bookmarkStart w:id="251" w:name="_Toc5791"/>
      <w:bookmarkStart w:id="252" w:name="_Toc41"/>
      <w:bookmarkStart w:id="253" w:name="_Toc432405473"/>
      <w:bookmarkStart w:id="254" w:name="_Toc21113"/>
      <w:bookmarkStart w:id="255" w:name="_Toc432670971"/>
    </w:p>
    <w:p w14:paraId="63BC870F">
      <w:pPr>
        <w:spacing w:afterLines="50" w:line="620" w:lineRule="exact"/>
        <w:jc w:val="center"/>
        <w:rPr>
          <w:rFonts w:ascii="宋体"/>
          <w:b/>
          <w:bCs/>
          <w:color w:val="000000"/>
          <w:sz w:val="28"/>
          <w:szCs w:val="28"/>
        </w:rPr>
      </w:pPr>
      <w:r>
        <w:rPr>
          <w:rFonts w:hint="eastAsia" w:ascii="宋体" w:hAnsi="宋体" w:cs="宋体"/>
          <w:b/>
          <w:bCs/>
          <w:color w:val="000000"/>
          <w:sz w:val="28"/>
          <w:szCs w:val="28"/>
        </w:rPr>
        <w:t>专栏</w:t>
      </w:r>
      <w:r>
        <w:rPr>
          <w:rFonts w:ascii="宋体" w:hAnsi="宋体" w:cs="宋体"/>
          <w:b/>
          <w:bCs/>
          <w:color w:val="000000"/>
          <w:sz w:val="28"/>
          <w:szCs w:val="28"/>
        </w:rPr>
        <w:t xml:space="preserve">25  </w:t>
      </w:r>
      <w:r>
        <w:rPr>
          <w:rFonts w:hint="eastAsia" w:ascii="宋体" w:hAnsi="宋体" w:cs="宋体"/>
          <w:b/>
          <w:bCs/>
          <w:color w:val="000000"/>
          <w:sz w:val="28"/>
          <w:szCs w:val="28"/>
        </w:rPr>
        <w:t>扶贫攻坚十大工程</w:t>
      </w:r>
    </w:p>
    <w:tbl>
      <w:tblPr>
        <w:tblStyle w:val="25"/>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02A4E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5000" w:type="pct"/>
            <w:vAlign w:val="center"/>
          </w:tcPr>
          <w:p w14:paraId="658A41BF">
            <w:pPr>
              <w:spacing w:line="560" w:lineRule="exact"/>
              <w:ind w:firstLine="562" w:firstLineChars="200"/>
              <w:rPr>
                <w:rFonts w:ascii="方正仿宋简体" w:hAnsi="宋体" w:eastAsia="方正仿宋简体"/>
                <w:color w:val="000000"/>
                <w:kern w:val="0"/>
                <w:sz w:val="28"/>
                <w:szCs w:val="28"/>
              </w:rPr>
            </w:pPr>
            <w:r>
              <w:rPr>
                <w:rFonts w:hint="eastAsia" w:ascii="方正仿宋简体" w:hAnsi="宋体" w:eastAsia="方正仿宋简体" w:cs="方正仿宋简体"/>
                <w:b/>
                <w:bCs/>
                <w:color w:val="000000"/>
                <w:kern w:val="0"/>
                <w:sz w:val="28"/>
                <w:szCs w:val="28"/>
              </w:rPr>
              <w:t>产业脱贫工程：</w:t>
            </w:r>
            <w:r>
              <w:rPr>
                <w:rFonts w:hint="eastAsia" w:ascii="方正仿宋简体" w:hAnsi="宋体" w:eastAsia="方正仿宋简体" w:cs="方正仿宋简体"/>
                <w:color w:val="000000"/>
                <w:kern w:val="0"/>
                <w:sz w:val="28"/>
                <w:szCs w:val="28"/>
              </w:rPr>
              <w:t>通过发展特色农业、光伏产业、乡村旅游、商贸流通等产业带动贫困户脱贫，探索资产收益扶贫。</w:t>
            </w:r>
          </w:p>
          <w:p w14:paraId="000A3A5A">
            <w:pPr>
              <w:spacing w:line="560" w:lineRule="exact"/>
              <w:ind w:firstLine="562" w:firstLineChars="200"/>
              <w:rPr>
                <w:rFonts w:ascii="方正仿宋简体" w:hAnsi="宋体" w:eastAsia="方正仿宋简体"/>
                <w:color w:val="000000"/>
                <w:kern w:val="0"/>
                <w:sz w:val="28"/>
                <w:szCs w:val="28"/>
              </w:rPr>
            </w:pPr>
            <w:r>
              <w:rPr>
                <w:rFonts w:hint="eastAsia" w:ascii="方正仿宋简体" w:hAnsi="宋体" w:eastAsia="方正仿宋简体" w:cs="方正仿宋简体"/>
                <w:b/>
                <w:bCs/>
                <w:color w:val="000000"/>
                <w:kern w:val="0"/>
                <w:sz w:val="28"/>
                <w:szCs w:val="28"/>
              </w:rPr>
              <w:t>就业脱贫工程：</w:t>
            </w:r>
            <w:r>
              <w:rPr>
                <w:rFonts w:hint="eastAsia" w:ascii="方正仿宋简体" w:hAnsi="宋体" w:eastAsia="方正仿宋简体" w:cs="方正仿宋简体"/>
                <w:color w:val="000000"/>
                <w:kern w:val="0"/>
                <w:sz w:val="28"/>
                <w:szCs w:val="28"/>
              </w:rPr>
              <w:t>开展就业创业培训，实施“雨露计划”，实现贫困户就业增收。</w:t>
            </w:r>
          </w:p>
          <w:p w14:paraId="1B63CA2D">
            <w:pPr>
              <w:spacing w:line="560" w:lineRule="exact"/>
              <w:ind w:firstLine="562" w:firstLineChars="200"/>
              <w:rPr>
                <w:rFonts w:ascii="方正仿宋简体" w:hAnsi="宋体" w:eastAsia="方正仿宋简体"/>
                <w:color w:val="000000"/>
                <w:kern w:val="0"/>
                <w:sz w:val="28"/>
                <w:szCs w:val="28"/>
              </w:rPr>
            </w:pPr>
            <w:r>
              <w:rPr>
                <w:rFonts w:hint="eastAsia" w:ascii="方正仿宋简体" w:hAnsi="宋体" w:eastAsia="方正仿宋简体" w:cs="方正仿宋简体"/>
                <w:b/>
                <w:bCs/>
                <w:color w:val="000000"/>
                <w:kern w:val="0"/>
                <w:sz w:val="28"/>
                <w:szCs w:val="28"/>
              </w:rPr>
              <w:t>易地扶贫搬迁工程：</w:t>
            </w:r>
            <w:r>
              <w:rPr>
                <w:rFonts w:hint="eastAsia" w:ascii="方正仿宋简体" w:hAnsi="宋体" w:eastAsia="方正仿宋简体" w:cs="方正仿宋简体"/>
                <w:color w:val="000000"/>
                <w:kern w:val="0"/>
                <w:sz w:val="28"/>
                <w:szCs w:val="28"/>
              </w:rPr>
              <w:t>对居住地生存环境恶劣、生态环境脆弱、自然灾害频发、不具备基本发展条件的地方，实施易地扶贫搬迁。</w:t>
            </w:r>
          </w:p>
          <w:p w14:paraId="71C9D6E2">
            <w:pPr>
              <w:spacing w:line="560" w:lineRule="exact"/>
              <w:ind w:firstLine="562" w:firstLineChars="200"/>
              <w:rPr>
                <w:rFonts w:ascii="方正仿宋简体" w:hAnsi="宋体" w:eastAsia="方正仿宋简体"/>
                <w:color w:val="000000"/>
                <w:kern w:val="0"/>
                <w:sz w:val="28"/>
                <w:szCs w:val="28"/>
              </w:rPr>
            </w:pPr>
            <w:r>
              <w:rPr>
                <w:rFonts w:hint="eastAsia" w:ascii="方正仿宋简体" w:hAnsi="宋体" w:eastAsia="方正仿宋简体" w:cs="方正仿宋简体"/>
                <w:b/>
                <w:bCs/>
                <w:color w:val="000000"/>
                <w:kern w:val="0"/>
                <w:sz w:val="28"/>
                <w:szCs w:val="28"/>
              </w:rPr>
              <w:t>生态保护脱贫工程：</w:t>
            </w:r>
            <w:r>
              <w:rPr>
                <w:rFonts w:hint="eastAsia" w:ascii="方正仿宋简体" w:hAnsi="宋体" w:eastAsia="方正仿宋简体" w:cs="方正仿宋简体"/>
                <w:color w:val="000000"/>
                <w:kern w:val="0"/>
                <w:sz w:val="28"/>
                <w:szCs w:val="28"/>
              </w:rPr>
              <w:t>抓好生态保护修复、地质灾害防治工作，带动当地贫困户脱贫。</w:t>
            </w:r>
          </w:p>
          <w:p w14:paraId="6B7225D6">
            <w:pPr>
              <w:spacing w:line="560" w:lineRule="exact"/>
              <w:ind w:firstLine="562" w:firstLineChars="200"/>
              <w:rPr>
                <w:rFonts w:ascii="方正仿宋简体" w:hAnsi="宋体" w:eastAsia="方正仿宋简体"/>
                <w:color w:val="000000"/>
                <w:kern w:val="0"/>
                <w:sz w:val="28"/>
                <w:szCs w:val="28"/>
              </w:rPr>
            </w:pPr>
            <w:r>
              <w:rPr>
                <w:rFonts w:hint="eastAsia" w:ascii="方正仿宋简体" w:hAnsi="宋体" w:eastAsia="方正仿宋简体" w:cs="方正仿宋简体"/>
                <w:b/>
                <w:bCs/>
                <w:color w:val="000000"/>
                <w:kern w:val="0"/>
                <w:sz w:val="28"/>
                <w:szCs w:val="28"/>
              </w:rPr>
              <w:t>智力扶贫工程：</w:t>
            </w:r>
            <w:r>
              <w:rPr>
                <w:rFonts w:hint="eastAsia" w:ascii="方正仿宋简体" w:hAnsi="宋体" w:eastAsia="方正仿宋简体" w:cs="方正仿宋简体"/>
                <w:color w:val="000000"/>
                <w:kern w:val="0"/>
                <w:sz w:val="28"/>
                <w:szCs w:val="28"/>
              </w:rPr>
              <w:t>大力开展教育扶贫，加强人才科技扶贫。</w:t>
            </w:r>
          </w:p>
          <w:p w14:paraId="15B9443A">
            <w:pPr>
              <w:spacing w:line="560" w:lineRule="exact"/>
              <w:ind w:firstLine="562" w:firstLineChars="200"/>
              <w:rPr>
                <w:rFonts w:ascii="方正仿宋简体" w:hAnsi="宋体" w:eastAsia="方正仿宋简体"/>
                <w:color w:val="000000"/>
                <w:kern w:val="0"/>
                <w:sz w:val="28"/>
                <w:szCs w:val="28"/>
              </w:rPr>
            </w:pPr>
            <w:r>
              <w:rPr>
                <w:rFonts w:hint="eastAsia" w:ascii="方正仿宋简体" w:hAnsi="宋体" w:eastAsia="方正仿宋简体" w:cs="方正仿宋简体"/>
                <w:b/>
                <w:bCs/>
                <w:color w:val="000000"/>
                <w:kern w:val="0"/>
                <w:sz w:val="28"/>
                <w:szCs w:val="28"/>
              </w:rPr>
              <w:t>社保兜底脱贫工程：</w:t>
            </w:r>
            <w:r>
              <w:rPr>
                <w:rFonts w:hint="eastAsia" w:ascii="方正仿宋简体" w:hAnsi="宋体" w:eastAsia="方正仿宋简体" w:cs="方正仿宋简体"/>
                <w:color w:val="000000"/>
                <w:kern w:val="0"/>
                <w:sz w:val="28"/>
                <w:szCs w:val="28"/>
              </w:rPr>
              <w:t>完善农村最低生活保障制度，健全留守儿童、留守妇女、留守老人和残疾人关爱服务体系，加快推进贫困户危房改造。</w:t>
            </w:r>
          </w:p>
          <w:p w14:paraId="368AD5BD">
            <w:pPr>
              <w:spacing w:line="560" w:lineRule="exact"/>
              <w:ind w:firstLine="562" w:firstLineChars="200"/>
              <w:rPr>
                <w:rFonts w:ascii="方正仿宋简体" w:hAnsi="宋体" w:eastAsia="方正仿宋简体"/>
                <w:color w:val="000000"/>
                <w:kern w:val="0"/>
                <w:sz w:val="28"/>
                <w:szCs w:val="28"/>
              </w:rPr>
            </w:pPr>
            <w:r>
              <w:rPr>
                <w:rFonts w:hint="eastAsia" w:ascii="方正仿宋简体" w:hAnsi="宋体" w:eastAsia="方正仿宋简体" w:cs="方正仿宋简体"/>
                <w:b/>
                <w:bCs/>
                <w:color w:val="000000"/>
                <w:kern w:val="0"/>
                <w:sz w:val="28"/>
                <w:szCs w:val="28"/>
              </w:rPr>
              <w:t>健康脱贫工程：</w:t>
            </w:r>
            <w:r>
              <w:rPr>
                <w:rFonts w:hint="eastAsia" w:ascii="方正仿宋简体" w:hAnsi="宋体" w:eastAsia="方正仿宋简体" w:cs="方正仿宋简体"/>
                <w:color w:val="000000"/>
                <w:kern w:val="0"/>
                <w:sz w:val="28"/>
                <w:szCs w:val="28"/>
              </w:rPr>
              <w:t>抓好贫困户医疗保险、医疗救助工作。</w:t>
            </w:r>
          </w:p>
          <w:p w14:paraId="1911788A">
            <w:pPr>
              <w:spacing w:line="560" w:lineRule="exact"/>
              <w:ind w:firstLine="562" w:firstLineChars="200"/>
              <w:rPr>
                <w:rFonts w:ascii="方正仿宋简体" w:hAnsi="宋体" w:eastAsia="方正仿宋简体"/>
                <w:color w:val="000000"/>
                <w:kern w:val="0"/>
                <w:sz w:val="28"/>
                <w:szCs w:val="28"/>
              </w:rPr>
            </w:pPr>
            <w:r>
              <w:rPr>
                <w:rFonts w:hint="eastAsia" w:ascii="方正仿宋简体" w:hAnsi="宋体" w:eastAsia="方正仿宋简体" w:cs="方正仿宋简体"/>
                <w:b/>
                <w:bCs/>
                <w:color w:val="000000"/>
                <w:kern w:val="0"/>
                <w:sz w:val="28"/>
                <w:szCs w:val="28"/>
              </w:rPr>
              <w:t>基础设施建设脱贫工程：</w:t>
            </w:r>
            <w:r>
              <w:rPr>
                <w:rFonts w:hint="eastAsia" w:ascii="方正仿宋简体" w:hAnsi="宋体" w:eastAsia="方正仿宋简体" w:cs="方正仿宋简体"/>
                <w:color w:val="000000"/>
                <w:kern w:val="0"/>
                <w:sz w:val="28"/>
                <w:szCs w:val="28"/>
              </w:rPr>
              <w:t>实施道路畅通扶贫工程、水利保障扶贫工程、电网改造升级工程、公共文化服务完善工程和农村信息化建设工程，通过完善基础设施带动贫困户脱贫。</w:t>
            </w:r>
          </w:p>
          <w:p w14:paraId="336568A7">
            <w:pPr>
              <w:spacing w:line="560" w:lineRule="exact"/>
              <w:ind w:firstLine="562" w:firstLineChars="200"/>
              <w:rPr>
                <w:rFonts w:ascii="方正仿宋简体" w:hAnsi="宋体" w:eastAsia="方正仿宋简体"/>
                <w:color w:val="000000"/>
                <w:kern w:val="0"/>
                <w:sz w:val="28"/>
                <w:szCs w:val="28"/>
              </w:rPr>
            </w:pPr>
            <w:r>
              <w:rPr>
                <w:rFonts w:hint="eastAsia" w:ascii="方正仿宋简体" w:hAnsi="宋体" w:eastAsia="方正仿宋简体" w:cs="方正仿宋简体"/>
                <w:b/>
                <w:bCs/>
                <w:color w:val="000000"/>
                <w:kern w:val="0"/>
                <w:sz w:val="28"/>
                <w:szCs w:val="28"/>
              </w:rPr>
              <w:t>金融扶贫工程：</w:t>
            </w:r>
            <w:r>
              <w:rPr>
                <w:rFonts w:hint="eastAsia" w:ascii="方正仿宋简体" w:hAnsi="宋体" w:eastAsia="方正仿宋简体" w:cs="方正仿宋简体"/>
                <w:color w:val="000000"/>
                <w:kern w:val="0"/>
                <w:sz w:val="28"/>
                <w:szCs w:val="28"/>
              </w:rPr>
              <w:t>鼓励和引导各类金融机构加大对脱贫攻坚的金融支持，实做好易地扶贫搬迁的贷款发放小额扶贫贷款工作。</w:t>
            </w:r>
          </w:p>
          <w:p w14:paraId="30161E39">
            <w:pPr>
              <w:spacing w:line="560" w:lineRule="exact"/>
              <w:ind w:firstLine="562" w:firstLineChars="200"/>
              <w:rPr>
                <w:rFonts w:ascii="方正楷体简体" w:hAnsi="宋体" w:eastAsia="方正楷体简体"/>
                <w:b/>
                <w:bCs/>
                <w:color w:val="C00000"/>
                <w:kern w:val="0"/>
                <w:sz w:val="28"/>
                <w:szCs w:val="28"/>
              </w:rPr>
            </w:pPr>
            <w:r>
              <w:rPr>
                <w:rFonts w:hint="eastAsia" w:ascii="方正仿宋简体" w:hAnsi="宋体" w:eastAsia="方正仿宋简体" w:cs="方正仿宋简体"/>
                <w:b/>
                <w:bCs/>
                <w:color w:val="000000"/>
                <w:kern w:val="0"/>
                <w:sz w:val="28"/>
                <w:szCs w:val="28"/>
              </w:rPr>
              <w:t>社会扶贫工程：</w:t>
            </w:r>
            <w:r>
              <w:rPr>
                <w:rFonts w:hint="eastAsia" w:ascii="方正仿宋简体" w:hAnsi="宋体" w:eastAsia="方正仿宋简体" w:cs="方正仿宋简体"/>
                <w:color w:val="000000"/>
                <w:kern w:val="0"/>
                <w:sz w:val="28"/>
                <w:szCs w:val="28"/>
              </w:rPr>
              <w:t>开展招商引资扶贫，强化联系帮扶工作，搭建参与扶贫平台，鼓励各类民营企业实行村企共建方式到贫困村投资兴业，参与扶贫开发，助推贫困村脱贫攻坚。</w:t>
            </w:r>
          </w:p>
        </w:tc>
      </w:tr>
    </w:tbl>
    <w:p w14:paraId="04D392A6"/>
    <w:bookmarkEnd w:id="251"/>
    <w:bookmarkEnd w:id="252"/>
    <w:bookmarkEnd w:id="253"/>
    <w:bookmarkEnd w:id="254"/>
    <w:bookmarkEnd w:id="255"/>
    <w:p w14:paraId="033B6069">
      <w:pPr>
        <w:spacing w:line="620" w:lineRule="exact"/>
        <w:ind w:firstLine="640" w:firstLineChars="200"/>
        <w:rPr>
          <w:rFonts w:ascii="方正仿宋简体" w:eastAsia="方正仿宋简体"/>
          <w:color w:val="000000"/>
          <w:sz w:val="32"/>
          <w:szCs w:val="32"/>
        </w:rPr>
      </w:pPr>
    </w:p>
    <w:p w14:paraId="10294207">
      <w:pPr>
        <w:pStyle w:val="3"/>
        <w:spacing w:after="120" w:line="480" w:lineRule="auto"/>
        <w:ind w:firstLine="640" w:firstLineChars="200"/>
        <w:jc w:val="left"/>
        <w:rPr>
          <w:rFonts w:ascii="方正黑体简体" w:hAnsi="黑体" w:eastAsia="方正黑体简体" w:cs="Times New Roman"/>
          <w:b w:val="0"/>
          <w:bCs w:val="0"/>
        </w:rPr>
      </w:pPr>
      <w:bookmarkStart w:id="256" w:name="_Toc449037297"/>
      <w:r>
        <w:rPr>
          <w:rFonts w:hint="eastAsia" w:ascii="方正黑体简体" w:hAnsi="黑体" w:eastAsia="方正黑体简体" w:cs="方正黑体简体"/>
          <w:b w:val="0"/>
          <w:bCs w:val="0"/>
        </w:rPr>
        <w:t>第二十一章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创新体制机制，提高社会治理水平</w:t>
      </w:r>
      <w:bookmarkEnd w:id="256"/>
    </w:p>
    <w:p w14:paraId="5DD1356C">
      <w:pPr>
        <w:pStyle w:val="4"/>
        <w:spacing w:after="60" w:line="480" w:lineRule="auto"/>
        <w:ind w:firstLine="643" w:firstLineChars="200"/>
        <w:jc w:val="left"/>
        <w:rPr>
          <w:rFonts w:ascii="方正仿宋简体" w:hAnsi="黑体" w:eastAsia="方正仿宋简体"/>
        </w:rPr>
      </w:pPr>
      <w:bookmarkStart w:id="257" w:name="_Toc449037298"/>
      <w:r>
        <w:rPr>
          <w:rFonts w:hint="eastAsia" w:ascii="方正仿宋简体" w:hAnsi="黑体" w:eastAsia="方正仿宋简体" w:cs="方正仿宋简体"/>
        </w:rPr>
        <w:t>第一节　优化社会治理体制机制</w:t>
      </w:r>
      <w:bookmarkEnd w:id="257"/>
    </w:p>
    <w:p w14:paraId="0E379B51">
      <w:pPr>
        <w:spacing w:line="62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推进社会治理精细化，深化平安贵池建设，构建全民共享的社会治理格局。健全党委领导、政府主导、社会参与，政府治理和社会自我调节、居民自治调节良性互动的社会治理机制。健全利益表达、利益协调、利益保护机制，引导群众依法行使权利、表达诉求、解决纠纷。开展社会服务管理信息化建设，健全综合服务平台，提高社会服务水平。坚持关口前移、重心下移，以网格化、社会化服务为方向，加强社区服务体系建设，推进社区标准化建设，推行扁平化、网格化、信息化治理，切实增强社区自治和服务功能。深化镇、街道综治维稳信访工作中心（站）建设，完善矛盾纠纷排查调处工作机制，全面推进行业性、专业性调解组织建设。加大信访工作制度改革力度，实行访诉分离，推进网上信访。深化领导干部接访下访，完善联合接访中心运行机制，建立健全司法调解、人民调解、行政调解有效衔接机制，依法规范信访秩序，全力化解信访积案。</w:t>
      </w:r>
    </w:p>
    <w:p w14:paraId="0BDBB27F">
      <w:pPr>
        <w:pStyle w:val="4"/>
        <w:spacing w:after="60" w:line="480" w:lineRule="auto"/>
        <w:ind w:firstLine="643" w:firstLineChars="200"/>
        <w:jc w:val="left"/>
        <w:rPr>
          <w:rFonts w:ascii="方正仿宋简体" w:hAnsi="黑体" w:eastAsia="方正仿宋简体"/>
        </w:rPr>
      </w:pPr>
      <w:bookmarkStart w:id="258" w:name="_Toc449037299"/>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推动社会组织健康发展</w:t>
      </w:r>
      <w:bookmarkEnd w:id="258"/>
    </w:p>
    <w:p w14:paraId="0B7A5568">
      <w:pPr>
        <w:spacing w:line="590" w:lineRule="exact"/>
        <w:ind w:firstLine="640" w:firstLineChars="200"/>
        <w:rPr>
          <w:rFonts w:ascii="仿宋_GB2312" w:eastAsia="方正仿宋简体"/>
          <w:sz w:val="33"/>
          <w:szCs w:val="33"/>
        </w:rPr>
      </w:pPr>
      <w:r>
        <w:rPr>
          <w:rFonts w:hint="eastAsia" w:ascii="方正仿宋简体" w:eastAsia="方正仿宋简体" w:cs="方正仿宋简体"/>
          <w:color w:val="000000"/>
          <w:sz w:val="32"/>
          <w:szCs w:val="32"/>
        </w:rPr>
        <w:t>加强社会组织登记管理，重点培育和优先发展行业协会商会类、科技类、公益慈善类、城乡社区服务类社会组织。加大对社会组织的培育扶持力度，正确处理政府和社会关系，建立政府职能转移和购买服务制度，编制社会组织目录，政府向社会组织转移职能目录、政府向社会组织购买服务目录，加快实施政社分开、管办分离。落实公益性、福利性社会组织的税收减免政策和资金扶持政策，推进社会组织参政议政。引导社会组织加强自身建设，提高社会组织承接政府转移职能、开展公益服务和中介服务的能力。加强社区建设，深入推进老旧小区改造与管理，开展文明创建活动，努力建设环境优美、治安稳定、生活便利、人际关系和谐的新型现代化社区。加强慈善事业发展，广泛开展社会救济和社会互助、志愿服务活动。健全社会组织监督管理体系，坚持积极引导和依法管理并重，促进社会组织明确权责、依法自治、发挥作用；建立社会组织公共信息化系统和公共服务平台；建立健全退出机制、评估机制、信息披露机制。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年，建立与全区经济社会发展相适应的现代社会组织体系，社会组织成为政府职能转变的主要承接者、党的政策的重要执行者和社会道德的自觉践行者。</w:t>
      </w:r>
    </w:p>
    <w:p w14:paraId="25DAB346">
      <w:pPr>
        <w:pStyle w:val="4"/>
        <w:spacing w:after="60" w:line="480" w:lineRule="auto"/>
        <w:ind w:firstLine="643" w:firstLineChars="200"/>
        <w:jc w:val="left"/>
        <w:rPr>
          <w:rFonts w:ascii="方正仿宋简体" w:hAnsi="黑体" w:eastAsia="方正仿宋简体"/>
        </w:rPr>
      </w:pPr>
      <w:bookmarkStart w:id="259" w:name="_Toc449037300"/>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加强信用贵池体系建设</w:t>
      </w:r>
      <w:bookmarkEnd w:id="259"/>
    </w:p>
    <w:p w14:paraId="2975A93F">
      <w:pPr>
        <w:spacing w:line="62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以推进政务诚信、商务诚信、社会诚信和司法公信建设为主要内容，强化信用制度建设保障，推进公共信用信息的归集与使用、企业和个人征信管理、信用服务机构监管等方面的信用制度建设；完善企业征信数据平台、个人征信数据平台“两大平台”；</w:t>
      </w:r>
      <w:r>
        <w:rPr>
          <w:rFonts w:ascii="方正仿宋简体" w:eastAsia="方正仿宋简体" w:cs="方正仿宋简体"/>
          <w:color w:val="000000"/>
          <w:sz w:val="32"/>
          <w:szCs w:val="32"/>
        </w:rPr>
        <w:t xml:space="preserve"> </w:t>
      </w:r>
      <w:r>
        <w:rPr>
          <w:rFonts w:hint="eastAsia" w:ascii="方正仿宋简体" w:eastAsia="方正仿宋简体" w:cs="方正仿宋简体"/>
          <w:color w:val="000000"/>
          <w:sz w:val="32"/>
          <w:szCs w:val="32"/>
        </w:rPr>
        <w:t>进一步提升政府、企业、个人三大主体信用，夯实社会信用体系基础；加强诚信教育与诚信文化建设，加快推进信用信息系统建设和应用，完善以奖惩制度为重点的社会信用体系运行机制，全面参与长三角区域信用合作，加快“信用贵池”建设。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年，以信用信息资源共享为基础的覆盖全社会的征信系统基本建成，信用监管体制基本健全，信用服务市场体系比较完善，守信激励和失信惩戒机制全面发挥作用。</w:t>
      </w:r>
    </w:p>
    <w:p w14:paraId="36DB6FE4">
      <w:pPr>
        <w:pStyle w:val="4"/>
        <w:spacing w:after="60" w:line="480" w:lineRule="auto"/>
        <w:ind w:firstLine="643" w:firstLineChars="200"/>
        <w:jc w:val="left"/>
        <w:rPr>
          <w:rFonts w:ascii="方正仿宋简体" w:hAnsi="黑体" w:eastAsia="方正仿宋简体"/>
        </w:rPr>
      </w:pPr>
      <w:bookmarkStart w:id="260" w:name="_Toc449037301"/>
      <w:r>
        <w:rPr>
          <w:rFonts w:hint="eastAsia" w:ascii="方正仿宋简体" w:hAnsi="黑体" w:eastAsia="方正仿宋简体" w:cs="方正仿宋简体"/>
        </w:rPr>
        <w:t>第四节</w:t>
      </w:r>
      <w:r>
        <w:rPr>
          <w:rFonts w:ascii="方正仿宋简体" w:hAnsi="黑体" w:eastAsia="方正仿宋简体" w:cs="方正仿宋简体"/>
        </w:rPr>
        <w:t xml:space="preserve">  </w:t>
      </w:r>
      <w:r>
        <w:rPr>
          <w:rFonts w:hint="eastAsia" w:ascii="方正仿宋简体" w:hAnsi="黑体" w:eastAsia="方正仿宋简体" w:cs="方正仿宋简体"/>
        </w:rPr>
        <w:t>强化公共安全基础建设</w:t>
      </w:r>
      <w:bookmarkEnd w:id="260"/>
    </w:p>
    <w:p w14:paraId="452A0D18">
      <w:pPr>
        <w:spacing w:line="62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牢固树立安全发展观念，坚持人民利益至上，加强全民安全意识教育，健全公共安全体系。到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年，食品药品、质量监督、安全生产、防灾减灾、社会治安等行业监测监管体系建设取得明显成效。</w:t>
      </w:r>
    </w:p>
    <w:p w14:paraId="1827650C">
      <w:pPr>
        <w:spacing w:line="590" w:lineRule="exact"/>
        <w:ind w:firstLine="643" w:firstLineChars="200"/>
        <w:rPr>
          <w:rFonts w:ascii="仿宋_GB2312" w:eastAsia="方正仿宋简体"/>
          <w:sz w:val="33"/>
          <w:szCs w:val="33"/>
        </w:rPr>
      </w:pPr>
      <w:r>
        <w:rPr>
          <w:rFonts w:hint="eastAsia" w:ascii="方正楷体简体" w:hAnsi="宋体" w:eastAsia="方正楷体简体" w:cs="方正楷体简体"/>
          <w:b/>
          <w:bCs/>
          <w:color w:val="000000"/>
          <w:kern w:val="0"/>
          <w:sz w:val="32"/>
          <w:szCs w:val="32"/>
        </w:rPr>
        <w:t>强化安全生产监管。</w:t>
      </w:r>
      <w:r>
        <w:rPr>
          <w:rFonts w:hint="eastAsia" w:ascii="方正仿宋简体" w:eastAsia="方正仿宋简体" w:cs="方正仿宋简体"/>
          <w:color w:val="000000"/>
          <w:sz w:val="32"/>
          <w:szCs w:val="32"/>
        </w:rPr>
        <w:t>全面落实安全生产“党政同责、一岗双责、失职追责、齐抓共管”责任体系，加强安全意识教育，落实安全生产责任制，严格安全目标考核与责任追究，加大隐患排查化解和监管执法力度，遏制重大事故发生，杜绝重特大事故。实施重大隐患治理逐级挂牌督办和整改效果评价制度，深化矿山、交通、特种设备等重点领域专项治理。构建“大数据、大支撑、大安全”安全生产平台，推动安全生产监管监察动态化、实时化，以及事故预判和风险防控自动化、智能化。加强安全生产基础能力和防灾减灾能力建设，切实维护人民生命财产安全。</w:t>
      </w:r>
    </w:p>
    <w:p w14:paraId="31B67F34">
      <w:pPr>
        <w:spacing w:line="620" w:lineRule="exact"/>
        <w:ind w:firstLine="643" w:firstLineChars="200"/>
        <w:rPr>
          <w:rFonts w:ascii="方正仿宋简体" w:eastAsia="方正仿宋简体"/>
          <w:color w:val="000000"/>
          <w:sz w:val="32"/>
          <w:szCs w:val="32"/>
        </w:rPr>
      </w:pPr>
      <w:r>
        <w:rPr>
          <w:rFonts w:hint="eastAsia" w:ascii="方正楷体简体" w:hAnsi="宋体" w:eastAsia="方正楷体简体" w:cs="方正楷体简体"/>
          <w:b/>
          <w:bCs/>
          <w:color w:val="000000"/>
          <w:kern w:val="0"/>
          <w:sz w:val="32"/>
          <w:szCs w:val="32"/>
        </w:rPr>
        <w:t>保障食品药品安全。</w:t>
      </w:r>
      <w:r>
        <w:rPr>
          <w:rFonts w:hint="eastAsia" w:ascii="方正仿宋简体" w:eastAsia="方正仿宋简体" w:cs="方正仿宋简体"/>
          <w:color w:val="000000"/>
          <w:sz w:val="32"/>
          <w:szCs w:val="32"/>
        </w:rPr>
        <w:t>实施食品药品安全战略，构建严密高效、社会共治的食品药品安全体系，健全食品药品安全应急体系，强化快速通报和快速反应机制。完善食品药品原产地可追溯制度和质量标识制度。加强重点领域的风险防控和隐患排查治理，加大安全风险评估和监管执法，提高监管的有效性和公信力。加强食品药品安全技术支撑能力建设，着力提升基层快速检测能力。</w:t>
      </w:r>
    </w:p>
    <w:p w14:paraId="08E6F1E1">
      <w:pPr>
        <w:spacing w:line="620" w:lineRule="exact"/>
        <w:ind w:firstLine="643" w:firstLineChars="200"/>
        <w:rPr>
          <w:rFonts w:ascii="方正仿宋简体" w:eastAsia="方正仿宋简体"/>
          <w:color w:val="000000"/>
          <w:sz w:val="32"/>
          <w:szCs w:val="32"/>
        </w:rPr>
      </w:pPr>
      <w:r>
        <w:rPr>
          <w:rFonts w:hint="eastAsia" w:ascii="方正楷体简体" w:hAnsi="宋体" w:eastAsia="方正楷体简体" w:cs="方正楷体简体"/>
          <w:b/>
          <w:bCs/>
          <w:color w:val="000000"/>
          <w:kern w:val="0"/>
          <w:sz w:val="32"/>
          <w:szCs w:val="32"/>
        </w:rPr>
        <w:t>加强防灾减灾与应急能力建设。</w:t>
      </w:r>
      <w:r>
        <w:rPr>
          <w:rFonts w:hint="eastAsia" w:ascii="方正仿宋简体" w:eastAsia="方正仿宋简体" w:cs="方正仿宋简体"/>
          <w:color w:val="000000"/>
          <w:sz w:val="32"/>
          <w:szCs w:val="32"/>
        </w:rPr>
        <w:t>建立健全覆盖全区的综合防灾减灾体系，推进气象现代化进程，加强自然灾害、地质灾害预测预警和消防设施建设，提高防灾减灾能力。坚持预防为主，健全自然灾害、灾难事故、公共卫生事件、社会安全事件的预防预警和应急处置体系。完善灾害救助体系。</w:t>
      </w:r>
    </w:p>
    <w:p w14:paraId="61B89ECB">
      <w:pPr>
        <w:spacing w:line="620" w:lineRule="exact"/>
        <w:ind w:firstLine="643" w:firstLineChars="200"/>
        <w:rPr>
          <w:rFonts w:ascii="方正仿宋简体" w:eastAsia="方正仿宋简体"/>
          <w:color w:val="000000"/>
          <w:sz w:val="32"/>
          <w:szCs w:val="32"/>
        </w:rPr>
      </w:pPr>
      <w:r>
        <w:rPr>
          <w:rFonts w:hint="eastAsia" w:ascii="方正楷体简体" w:hAnsi="宋体" w:eastAsia="方正楷体简体" w:cs="方正楷体简体"/>
          <w:b/>
          <w:bCs/>
          <w:color w:val="000000"/>
          <w:kern w:val="0"/>
          <w:sz w:val="32"/>
          <w:szCs w:val="32"/>
        </w:rPr>
        <w:t>健全社会治安防控体系。</w:t>
      </w:r>
      <w:r>
        <w:rPr>
          <w:rFonts w:hint="eastAsia" w:ascii="方正仿宋简体" w:eastAsia="方正仿宋简体" w:cs="方正仿宋简体"/>
          <w:color w:val="000000"/>
          <w:sz w:val="32"/>
          <w:szCs w:val="32"/>
        </w:rPr>
        <w:t>完善社会治安防控体系，加强网络安全和信息化建设，提高网上舆情监管能力。依法打击违法犯罪活动，严厉打击逃避债务、欺行霸市等行为。加强刑事犯罪预警工作，加强流动人口和特殊人群服务管理。推进人民防空、经济动员与经济社会融合发展。加强应急队伍建设，完善应急管理体制和应急处置联动机制。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年，确保重点领域公共视频监控覆盖率、联网率达到</w:t>
      </w:r>
      <w:r>
        <w:rPr>
          <w:rFonts w:ascii="方正仿宋简体" w:eastAsia="方正仿宋简体" w:cs="方正仿宋简体"/>
          <w:color w:val="000000"/>
          <w:sz w:val="32"/>
          <w:szCs w:val="32"/>
        </w:rPr>
        <w:t>100%</w:t>
      </w:r>
      <w:r>
        <w:rPr>
          <w:rFonts w:hint="eastAsia" w:ascii="方正仿宋简体" w:eastAsia="方正仿宋简体" w:cs="方正仿宋简体"/>
          <w:color w:val="000000"/>
          <w:sz w:val="32"/>
          <w:szCs w:val="32"/>
        </w:rPr>
        <w:t>，逐步实现城乡视频监控一体化。到</w:t>
      </w:r>
      <w:r>
        <w:rPr>
          <w:rFonts w:ascii="方正仿宋简体" w:eastAsia="方正仿宋简体" w:cs="方正仿宋简体"/>
          <w:color w:val="000000"/>
          <w:sz w:val="32"/>
          <w:szCs w:val="32"/>
        </w:rPr>
        <w:t>2020</w:t>
      </w:r>
      <w:r>
        <w:rPr>
          <w:rFonts w:hint="eastAsia" w:ascii="方正仿宋简体" w:eastAsia="方正仿宋简体" w:cs="方正仿宋简体"/>
          <w:color w:val="000000"/>
          <w:sz w:val="32"/>
          <w:szCs w:val="32"/>
        </w:rPr>
        <w:t>年，刑事案件万人发案率，以及刑事案件总量、</w:t>
      </w:r>
      <w:r>
        <w:rPr>
          <w:rFonts w:ascii="方正仿宋简体" w:eastAsia="方正仿宋简体" w:cs="方正仿宋简体"/>
          <w:color w:val="000000"/>
          <w:sz w:val="32"/>
          <w:szCs w:val="32"/>
        </w:rPr>
        <w:t>8</w:t>
      </w:r>
      <w:r>
        <w:rPr>
          <w:rFonts w:hint="eastAsia" w:ascii="方正仿宋简体" w:eastAsia="方正仿宋简体" w:cs="方正仿宋简体"/>
          <w:color w:val="000000"/>
          <w:sz w:val="32"/>
          <w:szCs w:val="32"/>
        </w:rPr>
        <w:t>类主要案件和“两抢一盗”案件增幅均低于全市平均水平，公安机关破案率高于全市平均水平。</w:t>
      </w:r>
    </w:p>
    <w:p w14:paraId="46217FC8">
      <w:pPr>
        <w:spacing w:line="620" w:lineRule="exact"/>
        <w:ind w:firstLine="640" w:firstLineChars="200"/>
        <w:rPr>
          <w:rFonts w:ascii="方正仿宋简体" w:eastAsia="方正仿宋简体"/>
          <w:color w:val="000000"/>
          <w:sz w:val="32"/>
          <w:szCs w:val="32"/>
        </w:rPr>
      </w:pPr>
    </w:p>
    <w:p w14:paraId="2C9E36E1">
      <w:pPr>
        <w:spacing w:line="620" w:lineRule="exact"/>
        <w:ind w:firstLine="640" w:firstLineChars="200"/>
        <w:rPr>
          <w:rFonts w:ascii="方正仿宋简体" w:eastAsia="方正仿宋简体"/>
          <w:color w:val="000000"/>
          <w:sz w:val="32"/>
          <w:szCs w:val="32"/>
        </w:rPr>
      </w:pPr>
    </w:p>
    <w:p w14:paraId="2390D463">
      <w:pPr>
        <w:spacing w:line="620" w:lineRule="exact"/>
        <w:ind w:firstLine="640" w:firstLineChars="200"/>
        <w:rPr>
          <w:rFonts w:ascii="方正仿宋简体" w:eastAsia="方正仿宋简体"/>
          <w:color w:val="000000"/>
          <w:sz w:val="32"/>
          <w:szCs w:val="32"/>
        </w:rPr>
      </w:pPr>
    </w:p>
    <w:p w14:paraId="2AD80339">
      <w:pPr>
        <w:spacing w:line="620" w:lineRule="exact"/>
        <w:ind w:firstLine="640" w:firstLineChars="200"/>
        <w:rPr>
          <w:rFonts w:ascii="方正仿宋简体" w:eastAsia="方正仿宋简体"/>
          <w:color w:val="000000"/>
          <w:sz w:val="32"/>
          <w:szCs w:val="32"/>
        </w:rPr>
      </w:pPr>
    </w:p>
    <w:p w14:paraId="3FEFF79D">
      <w:pPr>
        <w:spacing w:line="620" w:lineRule="exact"/>
        <w:ind w:firstLine="640" w:firstLineChars="200"/>
        <w:rPr>
          <w:rFonts w:ascii="方正仿宋简体" w:eastAsia="方正仿宋简体"/>
          <w:color w:val="000000"/>
          <w:sz w:val="32"/>
          <w:szCs w:val="32"/>
        </w:rPr>
      </w:pPr>
    </w:p>
    <w:p w14:paraId="18280D7A">
      <w:pPr>
        <w:pStyle w:val="2"/>
        <w:spacing w:before="260" w:after="260" w:line="480" w:lineRule="auto"/>
        <w:jc w:val="center"/>
        <w:rPr>
          <w:rFonts w:ascii="方正小标宋简体" w:hAnsi="黑体" w:eastAsia="方正小标宋简体"/>
          <w:b w:val="0"/>
          <w:bCs w:val="0"/>
          <w:color w:val="000000"/>
        </w:rPr>
      </w:pPr>
      <w:bookmarkStart w:id="261" w:name="_Toc449037302"/>
      <w:bookmarkStart w:id="262" w:name="_Toc407009757"/>
      <w:bookmarkStart w:id="263" w:name="_Toc432670983"/>
      <w:r>
        <w:rPr>
          <w:rFonts w:hint="eastAsia" w:ascii="方正小标宋简体" w:hAnsi="黑体" w:eastAsia="方正小标宋简体" w:cs="方正小标宋简体"/>
          <w:b w:val="0"/>
          <w:bCs w:val="0"/>
          <w:color w:val="000000"/>
        </w:rPr>
        <w:t>第七篇</w:t>
      </w:r>
      <w:r>
        <w:rPr>
          <w:rFonts w:ascii="方正小标宋简体" w:hAnsi="黑体" w:eastAsia="方正小标宋简体" w:cs="方正小标宋简体"/>
          <w:b w:val="0"/>
          <w:bCs w:val="0"/>
          <w:color w:val="000000"/>
        </w:rPr>
        <w:t xml:space="preserve"> </w:t>
      </w:r>
      <w:r>
        <w:rPr>
          <w:rFonts w:ascii="方正小标宋简体" w:hAnsi="黑体" w:eastAsia="方正小标宋简体" w:cs="方正小标宋简体"/>
          <w:b w:val="0"/>
          <w:bCs w:val="0"/>
          <w:color w:val="FF0000"/>
        </w:rPr>
        <w:t xml:space="preserve"> </w:t>
      </w:r>
      <w:r>
        <w:rPr>
          <w:rFonts w:hint="eastAsia" w:ascii="方正小标宋简体" w:hAnsi="黑体" w:eastAsia="方正小标宋简体" w:cs="方正小标宋简体"/>
          <w:b w:val="0"/>
          <w:bCs w:val="0"/>
          <w:color w:val="000000"/>
        </w:rPr>
        <w:t>强化规划实施</w:t>
      </w:r>
      <w:r>
        <w:rPr>
          <w:rFonts w:ascii="方正小标宋简体" w:hAnsi="黑体" w:eastAsia="方正小标宋简体" w:cs="方正小标宋简体"/>
          <w:b w:val="0"/>
          <w:bCs w:val="0"/>
          <w:color w:val="000000"/>
        </w:rPr>
        <w:t xml:space="preserve">  </w:t>
      </w:r>
      <w:r>
        <w:rPr>
          <w:rFonts w:hint="eastAsia" w:ascii="方正小标宋简体" w:hAnsi="黑体" w:eastAsia="方正小标宋简体" w:cs="方正小标宋简体"/>
          <w:b w:val="0"/>
          <w:bCs w:val="0"/>
          <w:color w:val="000000"/>
        </w:rPr>
        <w:t>绘就宏伟发展新蓝图</w:t>
      </w:r>
      <w:bookmarkEnd w:id="261"/>
    </w:p>
    <w:p w14:paraId="18C61DBC">
      <w:pPr>
        <w:pStyle w:val="3"/>
        <w:spacing w:after="120" w:line="480" w:lineRule="auto"/>
        <w:ind w:firstLine="640" w:firstLineChars="200"/>
        <w:jc w:val="left"/>
        <w:rPr>
          <w:rFonts w:ascii="方正黑体简体" w:hAnsi="黑体" w:eastAsia="方正黑体简体" w:cs="Times New Roman"/>
          <w:b w:val="0"/>
          <w:bCs w:val="0"/>
        </w:rPr>
      </w:pPr>
      <w:bookmarkStart w:id="264" w:name="_Toc449037303"/>
      <w:r>
        <w:rPr>
          <w:rFonts w:hint="eastAsia" w:ascii="方正黑体简体" w:hAnsi="黑体" w:eastAsia="方正黑体简体" w:cs="方正黑体简体"/>
          <w:b w:val="0"/>
          <w:bCs w:val="0"/>
        </w:rPr>
        <w:t>第二十二章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推进民主法治建设，促进社会包容和谐</w:t>
      </w:r>
      <w:bookmarkEnd w:id="264"/>
    </w:p>
    <w:p w14:paraId="1898CD83">
      <w:pPr>
        <w:pStyle w:val="4"/>
        <w:spacing w:after="60" w:line="480" w:lineRule="auto"/>
        <w:ind w:firstLine="643" w:firstLineChars="200"/>
        <w:jc w:val="left"/>
        <w:rPr>
          <w:rFonts w:ascii="方正仿宋简体" w:hAnsi="黑体" w:eastAsia="方正仿宋简体"/>
        </w:rPr>
      </w:pPr>
      <w:bookmarkStart w:id="265" w:name="_Toc449037304"/>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加强民主政治建设</w:t>
      </w:r>
      <w:bookmarkEnd w:id="265"/>
    </w:p>
    <w:p w14:paraId="35282DA4">
      <w:pPr>
        <w:spacing w:line="59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充分发挥人大及其常委会在法治建设中的重要职能作用，强化人民代表大会依法履职，切实使党的主张通过法定程序成为全区人民群众的自觉行动。支持人民政协围绕团结和民主主题履行职能，推进政治协商、民主监督、参政议政。巩固和发展爱国统一战线，充分发挥民主党派、工商联和无党派人士作用。推进公共决策民主化，进一步完善深入了解民情、充分反映民意、广泛集中民智的决策机制，增强决策的公众参与度。推进全力运行公开化，完善党务公开、政务公开、司法公开和各领域办公公开制度，健全质询、问责、经济责任审计、引咎辞职等制度。广泛发展基层民主，鼓励成立村民理事会、社区理事会等基层群众自治性组织，实行群众自我管理、自我监督。发挥基层各类组织协同作用，实现政府管理和基层民主有机结合。加强群团组织建设，充分发挥工会、共青团、妇联等人民团体联系和服务群众作用。贯彻党的民族政策和宗教工作基本方针。认真做好民族、宗教、侨务、外事等工作。</w:t>
      </w:r>
    </w:p>
    <w:p w14:paraId="783CC093">
      <w:pPr>
        <w:pStyle w:val="4"/>
        <w:spacing w:after="60" w:line="480" w:lineRule="auto"/>
        <w:ind w:firstLine="643" w:firstLineChars="200"/>
        <w:jc w:val="left"/>
        <w:rPr>
          <w:rFonts w:ascii="方正仿宋简体" w:hAnsi="黑体" w:eastAsia="方正仿宋简体"/>
        </w:rPr>
      </w:pPr>
      <w:bookmarkStart w:id="266" w:name="_Toc449037305"/>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全面推进依法治区</w:t>
      </w:r>
      <w:bookmarkEnd w:id="266"/>
    </w:p>
    <w:p w14:paraId="586DCA50">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坚持依法治区、依法执政、依法行政共同推进，坚持法治贵池、法治政府、法治社会一体建设。深化行政审批制度改革，完善权力和责任清单制度体系，加强和改进市场监管，强化政府公共服务功能，推动行政权力规范透明运行。严格执行重大行政决策公众参与、专家咨询论证、风险评估、合法性审查、集体讨论决定等基本决策程序制度，完善重大决策听证制度，加强重大决策执行情况跟踪反馈和责任追究。强化政府重大事项法律把关制度，建立相应的工作制度，不断提高行政决策水平。强化行政执法工作，大力推行综合执法，理顺行政强制执行体制和城管执法体制，坚持严格规范公正文明执法，探索开展柔性执法。完善政府信息公开制度，规范信息公开工作程序，推进重点领域信息主动公开，保障公众知情权、参与权、监督权。加强政府法制机构和队伍建设，推进法治专门队伍正规化、专业化、职业化，落实执法责任“终身制”</w:t>
      </w:r>
      <w:r>
        <w:rPr>
          <w:rFonts w:ascii="方正仿宋简体" w:hAnsi="宋体" w:eastAsia="方正仿宋简体" w:cs="方正仿宋简体"/>
          <w:color w:val="000000"/>
          <w:kern w:val="0"/>
          <w:sz w:val="32"/>
          <w:szCs w:val="32"/>
        </w:rPr>
        <w:t>,</w:t>
      </w:r>
      <w:r>
        <w:rPr>
          <w:rFonts w:hint="eastAsia" w:ascii="方正仿宋简体" w:hAnsi="宋体" w:eastAsia="方正仿宋简体" w:cs="方正仿宋简体"/>
          <w:color w:val="000000"/>
          <w:kern w:val="0"/>
          <w:sz w:val="32"/>
          <w:szCs w:val="32"/>
        </w:rPr>
        <w:t>建立健全重心下移、力量下沉的法治工作机制。到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年基本建成职能科学、权责法定、执法严明、公开公正、廉洁高效、守法诚信的法治政府。</w:t>
      </w:r>
    </w:p>
    <w:p w14:paraId="3D5B40A2">
      <w:pPr>
        <w:pStyle w:val="4"/>
        <w:spacing w:after="60" w:line="480" w:lineRule="auto"/>
        <w:ind w:firstLine="643" w:firstLineChars="200"/>
        <w:jc w:val="left"/>
        <w:rPr>
          <w:rFonts w:ascii="方正仿宋简体" w:hAnsi="黑体" w:eastAsia="方正仿宋简体"/>
        </w:rPr>
      </w:pPr>
      <w:bookmarkStart w:id="267" w:name="_Toc449037306"/>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切实推进公正司法</w:t>
      </w:r>
      <w:bookmarkEnd w:id="267"/>
    </w:p>
    <w:p w14:paraId="7F7DB853">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积极推进司法体制和工作机制改革，确保审判机关、检察机关依法独立公正行使审判权、检察权。严格执行领导干部干预司法活动、插手具体案件处理的记录、通报和责任追究制度。改革司法机关人财物管理体制，推进以审判为中心的诉讼制度改革，实行办案质量终身负责制和错案责任倒查问责机制。加强法律监督，着力监督纠正有案不立、有罪不究、刑讯逼供等问题。全面推进司法公开，推进“阳光司法”，进一步完善审判公开、检务公开、警务公开、所务公开。切实解决执行难，推动实行审判权和执行权相分离，落实失信被执行人信用监督、威慑和惩戒法律制度。</w:t>
      </w:r>
    </w:p>
    <w:p w14:paraId="5E43E61D">
      <w:pPr>
        <w:pStyle w:val="4"/>
        <w:spacing w:after="60" w:line="480" w:lineRule="auto"/>
        <w:ind w:firstLine="643" w:firstLineChars="200"/>
        <w:jc w:val="left"/>
        <w:rPr>
          <w:rFonts w:ascii="方正仿宋简体" w:hAnsi="黑体" w:eastAsia="方正仿宋简体"/>
        </w:rPr>
      </w:pPr>
      <w:bookmarkStart w:id="268" w:name="_Toc449037307"/>
      <w:r>
        <w:rPr>
          <w:rFonts w:hint="eastAsia" w:ascii="方正仿宋简体" w:hAnsi="黑体" w:eastAsia="方正仿宋简体" w:cs="方正仿宋简体"/>
        </w:rPr>
        <w:t>第四节</w:t>
      </w:r>
      <w:r>
        <w:rPr>
          <w:rFonts w:ascii="方正仿宋简体" w:hAnsi="黑体" w:eastAsia="方正仿宋简体" w:cs="方正仿宋简体"/>
        </w:rPr>
        <w:t xml:space="preserve">  </w:t>
      </w:r>
      <w:r>
        <w:rPr>
          <w:rFonts w:hint="eastAsia" w:ascii="方正仿宋简体" w:hAnsi="黑体" w:eastAsia="方正仿宋简体" w:cs="方正仿宋简体"/>
        </w:rPr>
        <w:t>营造良好法治环境</w:t>
      </w:r>
      <w:bookmarkEnd w:id="268"/>
    </w:p>
    <w:p w14:paraId="2BC4DC37">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深入开展法制宣传教育，实施“七五”普法规划，不断创新法制宣传教育形式，扩大宣传教育对象的覆盖面。大力提高领导干部法治思维和理念，强化公务员学法用法，推进行政机关负责人出庭应诉工作。把法治上升到信仰的高度，教育引导干部群众牢固树立法治理念，在全社会形成崇尚法治、践行法治的新风尚，推动全社会形成学法、尊法、守法、用法的良好氛围。加强法治诚信体系建设，引导公民积极参与法治实践活动。推进覆盖城乡居民的公共法律服务体系建设，扩大法律援助范围，完善调解、仲裁、行政裁决、行政复议、诉讼等有机衔接的多元化纠纷解决机制。把涉法涉诉纳入法治轨道，推行涉法涉诉依法终结制度。</w:t>
      </w:r>
    </w:p>
    <w:p w14:paraId="42536DC4">
      <w:pPr>
        <w:spacing w:line="620" w:lineRule="exact"/>
        <w:ind w:firstLine="640" w:firstLineChars="200"/>
        <w:rPr>
          <w:rFonts w:ascii="方正仿宋简体" w:hAnsi="宋体" w:eastAsia="方正仿宋简体"/>
          <w:color w:val="000000"/>
          <w:kern w:val="0"/>
          <w:sz w:val="32"/>
          <w:szCs w:val="32"/>
        </w:rPr>
      </w:pPr>
    </w:p>
    <w:p w14:paraId="08F5B82A">
      <w:pPr>
        <w:pStyle w:val="3"/>
        <w:spacing w:after="120" w:line="480" w:lineRule="auto"/>
        <w:ind w:firstLine="640" w:firstLineChars="200"/>
        <w:jc w:val="left"/>
        <w:rPr>
          <w:rFonts w:ascii="方正黑体简体" w:hAnsi="黑体" w:eastAsia="方正黑体简体" w:cs="Times New Roman"/>
          <w:b w:val="0"/>
          <w:bCs w:val="0"/>
        </w:rPr>
      </w:pPr>
      <w:bookmarkStart w:id="269" w:name="_Toc449037308"/>
      <w:r>
        <w:rPr>
          <w:rFonts w:hint="eastAsia" w:ascii="方正黑体简体" w:hAnsi="黑体" w:eastAsia="方正黑体简体" w:cs="方正黑体简体"/>
          <w:b w:val="0"/>
          <w:bCs w:val="0"/>
        </w:rPr>
        <w:t>第二十三章</w:t>
      </w:r>
      <w:r>
        <w:rPr>
          <w:rFonts w:ascii="方正黑体简体" w:hAnsi="黑体" w:eastAsia="方正黑体简体" w:cs="方正黑体简体"/>
          <w:b w:val="0"/>
          <w:bCs w:val="0"/>
        </w:rPr>
        <w:t xml:space="preserve">  </w:t>
      </w:r>
      <w:r>
        <w:rPr>
          <w:rFonts w:hint="eastAsia" w:ascii="方正黑体简体" w:hAnsi="黑体" w:eastAsia="方正黑体简体" w:cs="方正黑体简体"/>
          <w:b w:val="0"/>
          <w:bCs w:val="0"/>
        </w:rPr>
        <w:t>实施人才强区战略，强化人力资本支撑</w:t>
      </w:r>
      <w:bookmarkEnd w:id="269"/>
    </w:p>
    <w:p w14:paraId="10A028C9">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坚持人才强区战略，根据经济社会发展需要，造就聚集一批高素质经营管理人才、高层次创新人才、高技能人才，增强对经济社会发展的支撑引领。</w:t>
      </w:r>
    </w:p>
    <w:p w14:paraId="0D76F7A0">
      <w:pPr>
        <w:pStyle w:val="4"/>
        <w:spacing w:after="60" w:line="480" w:lineRule="auto"/>
        <w:ind w:firstLine="643" w:firstLineChars="200"/>
        <w:jc w:val="left"/>
        <w:rPr>
          <w:rFonts w:ascii="方正仿宋简体" w:hAnsi="黑体" w:eastAsia="方正仿宋简体"/>
        </w:rPr>
      </w:pPr>
      <w:bookmarkStart w:id="270" w:name="_Toc449037309"/>
      <w:r>
        <w:rPr>
          <w:rFonts w:hint="eastAsia" w:ascii="方正仿宋简体" w:hAnsi="黑体" w:eastAsia="方正仿宋简体" w:cs="方正仿宋简体"/>
        </w:rPr>
        <w:t>第一节</w:t>
      </w:r>
      <w:r>
        <w:rPr>
          <w:rFonts w:ascii="方正仿宋简体" w:hAnsi="黑体" w:eastAsia="方正仿宋简体" w:cs="方正仿宋简体"/>
        </w:rPr>
        <w:t xml:space="preserve">  </w:t>
      </w:r>
      <w:r>
        <w:rPr>
          <w:rFonts w:hint="eastAsia" w:ascii="方正仿宋简体" w:hAnsi="黑体" w:eastAsia="方正仿宋简体" w:cs="方正仿宋简体"/>
        </w:rPr>
        <w:t>引进培育创新人才</w:t>
      </w:r>
      <w:bookmarkEnd w:id="270"/>
    </w:p>
    <w:p w14:paraId="1F999479">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坚持招商引资与招才引智相结合，积极吸引外地企业家前来投资兴业，多渠道、多方式引进人才。以贵池区职业教育学校为依托，大力发展现代职业教育，实施高技能人才培训工程，切实抓好公共职业训练基地和高技能人才培养基地建设，打造高素质产业工人队伍。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年，建设省级高技能人才培训基地</w:t>
      </w:r>
      <w:r>
        <w:rPr>
          <w:rFonts w:ascii="方正仿宋简体" w:hAnsi="宋体" w:eastAsia="方正仿宋简体" w:cs="方正仿宋简体"/>
          <w:color w:val="000000"/>
          <w:kern w:val="0"/>
          <w:sz w:val="32"/>
          <w:szCs w:val="32"/>
        </w:rPr>
        <w:t>1</w:t>
      </w:r>
      <w:r>
        <w:rPr>
          <w:rFonts w:hint="eastAsia" w:ascii="方正仿宋简体" w:hAnsi="宋体" w:eastAsia="方正仿宋简体" w:cs="方正仿宋简体"/>
          <w:color w:val="000000"/>
          <w:kern w:val="0"/>
          <w:sz w:val="32"/>
          <w:szCs w:val="32"/>
        </w:rPr>
        <w:t>个以上，省级技能大师工作室</w:t>
      </w:r>
      <w:r>
        <w:rPr>
          <w:rFonts w:ascii="方正仿宋简体" w:hAnsi="宋体" w:eastAsia="方正仿宋简体" w:cs="方正仿宋简体"/>
          <w:color w:val="000000"/>
          <w:kern w:val="0"/>
          <w:sz w:val="32"/>
          <w:szCs w:val="32"/>
        </w:rPr>
        <w:t>2</w:t>
      </w:r>
      <w:r>
        <w:rPr>
          <w:rFonts w:hint="eastAsia" w:ascii="方正仿宋简体" w:hAnsi="宋体" w:eastAsia="方正仿宋简体" w:cs="方正仿宋简体"/>
          <w:color w:val="000000"/>
          <w:kern w:val="0"/>
          <w:sz w:val="32"/>
          <w:szCs w:val="32"/>
        </w:rPr>
        <w:t>个以上。</w:t>
      </w:r>
    </w:p>
    <w:p w14:paraId="667C0840">
      <w:pPr>
        <w:pStyle w:val="4"/>
        <w:spacing w:after="60" w:line="480" w:lineRule="auto"/>
        <w:ind w:firstLine="643" w:firstLineChars="200"/>
        <w:jc w:val="left"/>
        <w:rPr>
          <w:rFonts w:ascii="方正仿宋简体" w:hAnsi="黑体" w:eastAsia="方正仿宋简体"/>
        </w:rPr>
      </w:pPr>
      <w:bookmarkStart w:id="271" w:name="_Toc449037310"/>
      <w:r>
        <w:rPr>
          <w:rFonts w:hint="eastAsia" w:ascii="方正仿宋简体" w:hAnsi="黑体" w:eastAsia="方正仿宋简体" w:cs="方正仿宋简体"/>
        </w:rPr>
        <w:t>第二节</w:t>
      </w:r>
      <w:r>
        <w:rPr>
          <w:rFonts w:ascii="方正仿宋简体" w:hAnsi="黑体" w:eastAsia="方正仿宋简体" w:cs="方正仿宋简体"/>
        </w:rPr>
        <w:t xml:space="preserve">  </w:t>
      </w:r>
      <w:r>
        <w:rPr>
          <w:rFonts w:hint="eastAsia" w:ascii="方正仿宋简体" w:hAnsi="黑体" w:eastAsia="方正仿宋简体" w:cs="方正仿宋简体"/>
        </w:rPr>
        <w:t>加强人才队伍建设</w:t>
      </w:r>
      <w:bookmarkEnd w:id="271"/>
    </w:p>
    <w:p w14:paraId="294218EE">
      <w:pPr>
        <w:spacing w:line="62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围绕经济社会发展和产业转型升级需要，统筹开发区内区外两种人才资源，切实抓好党政人才、企业经营管理人才、专业技术人才、高技能人才、农村实用人才和社会工作人才等六支人才队伍建设。统筹推进党政人才素质提升工程，强化干部理论学习、党性修养、作风培养和实践锻炼，建设一支思想政治素质高、依法行政能力强，勤政廉洁、精干高效、奋发有为、善于推动科学发展的党政人才队伍。统筹推进企业管理人才队伍不断壮大，以企业高端经营管理人才为重点，重点培养造就一批具有全球战略眼光、具有市场开拓精神、具有管理创新能力、具有强烈社会责任感的优秀企业家。统筹推进专业技术人才队伍结构优化，建立健全专业人才、高技能人才的职业资格制度，推进专业技术人员知识更新，加快培养一批覆盖各学科或各工种的学术与技术带头人、专业技术与技工骨干。统筹推进农村实用人才队伍建设，推进“双培双带”先锋工程，强化农村科技骨干、农民创业带头人培育，做好高校毕业生“三支一扶”计划项目，着力形成符合农村发展要求的、符合基层实际的实用人才新格局。统筹推进社会工作专业人才素质提升工程，建立社会工作职业准入制度、社会工作人才岗位设置体系和绩效考核体系，大力培养社会工作服务、管理、教育与研究类等专业人才。坚持党管人才原则，建立完善科学决策、协调高效的人才工作运行机制。</w:t>
      </w:r>
    </w:p>
    <w:p w14:paraId="22629AFF">
      <w:pPr>
        <w:pStyle w:val="4"/>
        <w:spacing w:after="60" w:line="480" w:lineRule="auto"/>
        <w:ind w:firstLine="643" w:firstLineChars="200"/>
        <w:jc w:val="left"/>
        <w:rPr>
          <w:rFonts w:ascii="方正仿宋简体" w:hAnsi="黑体" w:eastAsia="方正仿宋简体"/>
        </w:rPr>
      </w:pPr>
      <w:bookmarkStart w:id="272" w:name="_Toc449037311"/>
      <w:r>
        <w:rPr>
          <w:rFonts w:hint="eastAsia" w:ascii="方正仿宋简体" w:hAnsi="黑体" w:eastAsia="方正仿宋简体" w:cs="方正仿宋简体"/>
        </w:rPr>
        <w:t>第三节</w:t>
      </w:r>
      <w:r>
        <w:rPr>
          <w:rFonts w:ascii="方正仿宋简体" w:hAnsi="黑体" w:eastAsia="方正仿宋简体" w:cs="方正仿宋简体"/>
        </w:rPr>
        <w:t xml:space="preserve">  </w:t>
      </w:r>
      <w:r>
        <w:rPr>
          <w:rFonts w:hint="eastAsia" w:ascii="方正仿宋简体" w:hAnsi="黑体" w:eastAsia="方正仿宋简体" w:cs="方正仿宋简体"/>
        </w:rPr>
        <w:t>完善人才培育机制</w:t>
      </w:r>
      <w:bookmarkEnd w:id="272"/>
    </w:p>
    <w:p w14:paraId="17988C9C">
      <w:pPr>
        <w:spacing w:line="580" w:lineRule="exact"/>
        <w:ind w:firstLine="640" w:firstLineChars="200"/>
        <w:rPr>
          <w:rFonts w:ascii="方正仿宋简体" w:hAnsi="宋体" w:eastAsia="方正仿宋简体"/>
          <w:color w:val="000000"/>
          <w:kern w:val="0"/>
          <w:sz w:val="32"/>
          <w:szCs w:val="32"/>
        </w:rPr>
      </w:pPr>
      <w:r>
        <w:rPr>
          <w:rFonts w:hint="eastAsia" w:ascii="方正仿宋简体" w:hAnsi="宋体" w:eastAsia="方正仿宋简体" w:cs="方正仿宋简体"/>
          <w:color w:val="000000"/>
          <w:kern w:val="0"/>
          <w:sz w:val="32"/>
          <w:szCs w:val="32"/>
        </w:rPr>
        <w:t>加快编制实施《贵池区“十三五”创新创业人才发展规划》和《关于加强全区创新创业人才队伍建设的实施意见》，加大国家“千人计划”、“万人计划”高端人才引进力度，力争每年引进</w:t>
      </w:r>
      <w:r>
        <w:rPr>
          <w:rFonts w:ascii="方正仿宋简体" w:hAnsi="宋体" w:eastAsia="方正仿宋简体" w:cs="方正仿宋简体"/>
          <w:color w:val="000000"/>
          <w:kern w:val="0"/>
          <w:sz w:val="32"/>
          <w:szCs w:val="32"/>
        </w:rPr>
        <w:t>1</w:t>
      </w:r>
      <w:r>
        <w:rPr>
          <w:rFonts w:hint="eastAsia" w:ascii="方正仿宋简体" w:hAnsi="宋体" w:eastAsia="方正仿宋简体" w:cs="方正仿宋简体"/>
          <w:color w:val="000000"/>
          <w:kern w:val="0"/>
          <w:sz w:val="32"/>
          <w:szCs w:val="32"/>
        </w:rPr>
        <w:t>名“千人计划”、“万人计划”等高层次创新创业领军人才团队来我区创办企业。依托骨干企业和高校院所，加强能够突破关键技术的高层次创新人才的培育和引进。强化政策配套，认真落实引进人才各项激励政策。在全社会营造尊重、爱护、服务、成就企业家的浓厚氛围。优化人才成长环境，建立健全人才激励机制，加大对优秀人才表彰奖励力度，引导高新技术企业和科技型中小企业实施高层次创新人才股权和期权激励。创新人才评价体系，落实职称制度和职业资格制度改革措施，破除制约人才成长和发挥作用的体制机制。到</w:t>
      </w:r>
      <w:r>
        <w:rPr>
          <w:rFonts w:ascii="方正仿宋简体" w:hAnsi="宋体" w:eastAsia="方正仿宋简体" w:cs="方正仿宋简体"/>
          <w:color w:val="000000"/>
          <w:kern w:val="0"/>
          <w:sz w:val="32"/>
          <w:szCs w:val="32"/>
        </w:rPr>
        <w:t>2020</w:t>
      </w:r>
      <w:r>
        <w:rPr>
          <w:rFonts w:hint="eastAsia" w:ascii="方正仿宋简体" w:hAnsi="宋体" w:eastAsia="方正仿宋简体" w:cs="方正仿宋简体"/>
          <w:color w:val="000000"/>
          <w:kern w:val="0"/>
          <w:sz w:val="32"/>
          <w:szCs w:val="32"/>
        </w:rPr>
        <w:t>年，造就一批优秀企业家、一批创新型领军人才、一批高技能实用技术人才。</w:t>
      </w:r>
    </w:p>
    <w:p w14:paraId="16B4C320">
      <w:pPr>
        <w:spacing w:line="580" w:lineRule="exact"/>
        <w:ind w:firstLine="640" w:firstLineChars="200"/>
        <w:rPr>
          <w:rFonts w:ascii="方正仿宋简体" w:hAnsi="宋体" w:eastAsia="方正仿宋简体"/>
          <w:color w:val="000000"/>
          <w:kern w:val="0"/>
          <w:sz w:val="32"/>
          <w:szCs w:val="32"/>
        </w:rPr>
      </w:pPr>
    </w:p>
    <w:p w14:paraId="6D4664B5">
      <w:pPr>
        <w:pStyle w:val="3"/>
        <w:spacing w:after="120" w:line="480" w:lineRule="auto"/>
        <w:ind w:firstLine="640" w:firstLineChars="200"/>
        <w:jc w:val="left"/>
        <w:rPr>
          <w:rFonts w:ascii="方正黑体简体" w:hAnsi="黑体" w:eastAsia="方正黑体简体" w:cs="Times New Roman"/>
          <w:b w:val="0"/>
          <w:bCs w:val="0"/>
          <w:color w:val="000000"/>
        </w:rPr>
      </w:pPr>
      <w:bookmarkStart w:id="273" w:name="_Toc449037312"/>
      <w:r>
        <w:rPr>
          <w:rFonts w:hint="eastAsia" w:ascii="方正黑体简体" w:hAnsi="黑体" w:eastAsia="方正黑体简体" w:cs="方正黑体简体"/>
          <w:b w:val="0"/>
          <w:bCs w:val="0"/>
          <w:color w:val="000000"/>
        </w:rPr>
        <w:t>第二十四章</w:t>
      </w:r>
      <w:r>
        <w:rPr>
          <w:rFonts w:ascii="方正黑体简体" w:hAnsi="黑体" w:eastAsia="方正黑体简体" w:cs="方正黑体简体"/>
          <w:b w:val="0"/>
          <w:bCs w:val="0"/>
          <w:color w:val="000000"/>
        </w:rPr>
        <w:t xml:space="preserve">  </w:t>
      </w:r>
      <w:r>
        <w:rPr>
          <w:rFonts w:hint="eastAsia" w:ascii="方正黑体简体" w:hAnsi="黑体" w:eastAsia="方正黑体简体" w:cs="方正黑体简体"/>
          <w:b w:val="0"/>
          <w:bCs w:val="0"/>
          <w:color w:val="000000"/>
        </w:rPr>
        <w:t>加强组织协调，全力推进规划实施</w:t>
      </w:r>
      <w:bookmarkEnd w:id="262"/>
      <w:bookmarkEnd w:id="263"/>
      <w:bookmarkEnd w:id="273"/>
    </w:p>
    <w:p w14:paraId="09D2C9D0">
      <w:pPr>
        <w:pStyle w:val="23"/>
        <w:shd w:val="clear" w:color="auto" w:fill="FFFFFF"/>
        <w:spacing w:before="0" w:after="0" w:line="620" w:lineRule="exact"/>
        <w:ind w:firstLine="640" w:firstLineChars="200"/>
        <w:jc w:val="both"/>
        <w:rPr>
          <w:rFonts w:ascii="方正仿宋简体" w:hAnsi="Times New Roman" w:eastAsia="方正仿宋简体" w:cs="Times New Roman"/>
          <w:sz w:val="32"/>
          <w:szCs w:val="32"/>
        </w:rPr>
      </w:pPr>
      <w:r>
        <w:rPr>
          <w:rFonts w:hint="eastAsia" w:ascii="方正仿宋简体" w:hAnsi="Times New Roman" w:eastAsia="方正仿宋简体" w:cs="方正仿宋简体"/>
          <w:sz w:val="32"/>
          <w:szCs w:val="32"/>
        </w:rPr>
        <w:t>本规划是经济新常态下的第一个五年规划，力求体现改革创新精神。为了充分发挥规划的指导作用，必须进一步明确政府职责，创新实施机制，落实政策配套，确保本规划顺利实施。</w:t>
      </w:r>
    </w:p>
    <w:p w14:paraId="28341177">
      <w:pPr>
        <w:pStyle w:val="4"/>
        <w:spacing w:after="60" w:line="480" w:lineRule="auto"/>
        <w:ind w:firstLine="643" w:firstLineChars="200"/>
        <w:jc w:val="left"/>
        <w:rPr>
          <w:rFonts w:ascii="方正仿宋简体" w:hAnsi="黑体" w:eastAsia="方正仿宋简体"/>
          <w:color w:val="000000"/>
        </w:rPr>
      </w:pPr>
      <w:bookmarkStart w:id="274" w:name="_Toc432670984"/>
      <w:bookmarkStart w:id="275" w:name="_Toc449037313"/>
      <w:r>
        <w:rPr>
          <w:rFonts w:hint="eastAsia" w:ascii="方正仿宋简体" w:hAnsi="黑体" w:eastAsia="方正仿宋简体" w:cs="方正仿宋简体"/>
          <w:color w:val="000000"/>
        </w:rPr>
        <w:t>第一节</w:t>
      </w:r>
      <w:r>
        <w:rPr>
          <w:rFonts w:ascii="方正仿宋简体" w:hAnsi="黑体" w:eastAsia="方正仿宋简体" w:cs="方正仿宋简体"/>
          <w:color w:val="000000"/>
        </w:rPr>
        <w:t xml:space="preserve">  </w:t>
      </w:r>
      <w:r>
        <w:rPr>
          <w:rFonts w:hint="eastAsia" w:ascii="方正仿宋简体" w:hAnsi="黑体" w:eastAsia="方正仿宋简体" w:cs="方正仿宋简体"/>
          <w:color w:val="000000"/>
        </w:rPr>
        <w:t>强化组织领导</w:t>
      </w:r>
      <w:bookmarkEnd w:id="274"/>
      <w:bookmarkEnd w:id="275"/>
    </w:p>
    <w:p w14:paraId="0980F6B9">
      <w:pPr>
        <w:pStyle w:val="23"/>
        <w:shd w:val="clear" w:color="auto" w:fill="FFFFFF"/>
        <w:spacing w:before="0" w:after="0" w:line="620" w:lineRule="exact"/>
        <w:ind w:firstLine="643" w:firstLineChars="200"/>
        <w:jc w:val="both"/>
        <w:rPr>
          <w:rFonts w:ascii="方正仿宋简体" w:hAnsi="Times New Roman" w:eastAsia="方正仿宋简体" w:cs="Times New Roman"/>
          <w:sz w:val="32"/>
          <w:szCs w:val="32"/>
        </w:rPr>
      </w:pPr>
      <w:r>
        <w:rPr>
          <w:rFonts w:hint="eastAsia" w:ascii="方正楷体简体" w:eastAsia="方正楷体简体" w:cs="方正楷体简体"/>
          <w:b/>
          <w:bCs/>
          <w:sz w:val="32"/>
          <w:szCs w:val="32"/>
          <w:lang w:val="zh-CN"/>
        </w:rPr>
        <w:t>加强组织领导。</w:t>
      </w:r>
      <w:r>
        <w:rPr>
          <w:rFonts w:hint="eastAsia" w:ascii="方正仿宋简体" w:hAnsi="Times New Roman" w:eastAsia="方正仿宋简体" w:cs="方正仿宋简体"/>
          <w:sz w:val="32"/>
          <w:szCs w:val="32"/>
        </w:rPr>
        <w:t>成立贵池区“十三五”规划实施领导小组及办公室，统筹负责“十三五”规划的组织实施。区直有关部门编制本部门规划或行动方案，细化分解工作目标和任务，确定责任单位和责任人员，提出明确工作要求，推动规划有效实施。</w:t>
      </w:r>
    </w:p>
    <w:p w14:paraId="7577F54A">
      <w:pPr>
        <w:pStyle w:val="23"/>
        <w:shd w:val="clear" w:color="auto" w:fill="FFFFFF"/>
        <w:spacing w:before="0" w:after="0" w:line="620" w:lineRule="exact"/>
        <w:ind w:firstLine="643" w:firstLineChars="200"/>
        <w:jc w:val="both"/>
        <w:rPr>
          <w:rFonts w:ascii="仿宋_GB2312" w:eastAsia="仿宋_GB2312" w:cs="Times New Roman"/>
          <w:sz w:val="30"/>
          <w:szCs w:val="30"/>
          <w:lang w:val="zh-CN"/>
        </w:rPr>
      </w:pPr>
      <w:r>
        <w:rPr>
          <w:rFonts w:hint="eastAsia" w:ascii="方正楷体简体" w:eastAsia="方正楷体简体" w:cs="方正楷体简体"/>
          <w:b/>
          <w:bCs/>
          <w:sz w:val="32"/>
          <w:szCs w:val="32"/>
          <w:lang w:val="zh-CN"/>
        </w:rPr>
        <w:t>强化分类实施。</w:t>
      </w:r>
      <w:r>
        <w:rPr>
          <w:rFonts w:hint="eastAsia" w:ascii="方正仿宋简体" w:hAnsi="Times New Roman" w:eastAsia="方正仿宋简体" w:cs="方正仿宋简体"/>
          <w:sz w:val="32"/>
          <w:szCs w:val="32"/>
        </w:rPr>
        <w:t>按照社会主义市场经济体制的要求，充分发挥市场配置资源的决定性作用、更好发挥政府作用，调动社会各界和广大人民群众的积极性，形成有效的分类实施机制。</w:t>
      </w:r>
    </w:p>
    <w:p w14:paraId="16B58D68">
      <w:pPr>
        <w:spacing w:line="620" w:lineRule="exact"/>
        <w:ind w:firstLine="600" w:firstLineChars="200"/>
        <w:rPr>
          <w:rFonts w:ascii="方正仿宋简体" w:eastAsia="方正仿宋简体"/>
          <w:color w:val="000000"/>
          <w:sz w:val="32"/>
          <w:szCs w:val="32"/>
        </w:rPr>
      </w:pPr>
      <w:r>
        <w:rPr>
          <w:rFonts w:ascii="仿宋_GB2312" w:hAnsi="宋体" w:eastAsia="仿宋_GB2312" w:cs="仿宋_GB2312"/>
          <w:color w:val="000000"/>
          <w:kern w:val="0"/>
          <w:sz w:val="30"/>
          <w:szCs w:val="30"/>
          <w:lang w:val="zh-CN"/>
        </w:rPr>
        <w:t>——</w:t>
      </w:r>
      <w:r>
        <w:rPr>
          <w:rFonts w:hint="eastAsia" w:ascii="方正仿宋简体" w:eastAsia="方正仿宋简体" w:cs="方正仿宋简体"/>
          <w:color w:val="000000"/>
          <w:sz w:val="32"/>
          <w:szCs w:val="32"/>
        </w:rPr>
        <w:t>本规划提出的产业发展的方向和任务，以及对外开放等领域的发展重点，主要依靠市场配置资源，引导市场主体行为，政府工作重点是加强市场监督，维护公平竞争，确保市场机制正常发挥作用。</w:t>
      </w:r>
    </w:p>
    <w:p w14:paraId="19A36192">
      <w:pPr>
        <w:spacing w:line="620" w:lineRule="exact"/>
        <w:ind w:firstLine="600" w:firstLineChars="200"/>
        <w:rPr>
          <w:rFonts w:ascii="方正仿宋简体" w:eastAsia="方正仿宋简体"/>
          <w:color w:val="000000"/>
          <w:sz w:val="32"/>
          <w:szCs w:val="32"/>
        </w:rPr>
      </w:pPr>
      <w:r>
        <w:rPr>
          <w:rFonts w:ascii="仿宋_GB2312" w:hAnsi="宋体" w:eastAsia="仿宋_GB2312" w:cs="仿宋_GB2312"/>
          <w:color w:val="000000"/>
          <w:kern w:val="0"/>
          <w:sz w:val="30"/>
          <w:szCs w:val="30"/>
          <w:lang w:val="zh-CN"/>
        </w:rPr>
        <w:t>——</w:t>
      </w:r>
      <w:r>
        <w:rPr>
          <w:rFonts w:hint="eastAsia" w:ascii="方正仿宋简体" w:eastAsia="方正仿宋简体" w:cs="方正仿宋简体"/>
          <w:color w:val="000000"/>
          <w:sz w:val="32"/>
          <w:szCs w:val="32"/>
        </w:rPr>
        <w:t>本规划提出的构建现代产业体系、科技创新、促进城乡统筹发展等重点任务，主要是通过完善市场调节机制和政策导向机制实现。政府工作重点是营造良好的制度环境和政策环境，激发市场主体的活力和动力。</w:t>
      </w:r>
    </w:p>
    <w:p w14:paraId="4B06665C">
      <w:pPr>
        <w:spacing w:line="620" w:lineRule="exact"/>
        <w:ind w:firstLine="600" w:firstLineChars="200"/>
        <w:rPr>
          <w:rFonts w:ascii="方正仿宋简体" w:eastAsia="方正仿宋简体"/>
          <w:color w:val="000000"/>
          <w:sz w:val="32"/>
          <w:szCs w:val="32"/>
        </w:rPr>
      </w:pPr>
      <w:r>
        <w:rPr>
          <w:rFonts w:ascii="仿宋_GB2312" w:hAnsi="宋体" w:eastAsia="仿宋_GB2312" w:cs="仿宋_GB2312"/>
          <w:color w:val="000000"/>
          <w:kern w:val="0"/>
          <w:sz w:val="30"/>
          <w:szCs w:val="30"/>
          <w:lang w:val="zh-CN"/>
        </w:rPr>
        <w:t>——</w:t>
      </w:r>
      <w:r>
        <w:rPr>
          <w:rFonts w:hint="eastAsia" w:ascii="方正仿宋简体" w:eastAsia="方正仿宋简体" w:cs="方正仿宋简体"/>
          <w:color w:val="000000"/>
          <w:sz w:val="32"/>
          <w:szCs w:val="32"/>
        </w:rPr>
        <w:t>本规划提出的优化空间开发布局、生态环境保护、社会公共管理设等方面的任务，主要依靠建立健全法律法规，明确责任分工，确保规划落实。区政府按照分级管理的原则，进行职责分工，将规划纲要所确定的相关任务分解到各相关单位和部门并纳入相应年度计划，责任单位要及时报告工作进展情况。</w:t>
      </w:r>
    </w:p>
    <w:p w14:paraId="226CF8F8">
      <w:pPr>
        <w:spacing w:line="620" w:lineRule="exact"/>
        <w:ind w:firstLine="600" w:firstLineChars="200"/>
        <w:rPr>
          <w:rFonts w:ascii="方正仿宋简体" w:eastAsia="方正仿宋简体"/>
          <w:color w:val="000000"/>
          <w:sz w:val="32"/>
          <w:szCs w:val="32"/>
        </w:rPr>
      </w:pPr>
      <w:r>
        <w:rPr>
          <w:rFonts w:ascii="仿宋_GB2312" w:hAnsi="宋体" w:eastAsia="仿宋_GB2312" w:cs="仿宋_GB2312"/>
          <w:color w:val="000000"/>
          <w:kern w:val="0"/>
          <w:sz w:val="30"/>
          <w:szCs w:val="30"/>
          <w:lang w:val="zh-CN"/>
        </w:rPr>
        <w:t>——</w:t>
      </w:r>
      <w:r>
        <w:rPr>
          <w:rFonts w:hint="eastAsia" w:ascii="方正仿宋简体" w:eastAsia="方正仿宋简体" w:cs="方正仿宋简体"/>
          <w:color w:val="000000"/>
          <w:sz w:val="32"/>
          <w:szCs w:val="32"/>
        </w:rPr>
        <w:t>本规划提出的约束性指标，区政府分解落实到镇、街道和园区，特别是耕地保有量、单位地区生产总值能耗、污染物减排等指标，要定期检查，强化落实，重要的预期性指标也要分解落实。制定年度重大事项实施方案并组织落实，每年需要重点推进的重大事项，明确责任人和进度要求，切实抓好落实，确保规划目标任务有计划、有步骤地落实。按照科学发展观和正确政绩观的要求，进一步完善考核评价机制。</w:t>
      </w:r>
    </w:p>
    <w:p w14:paraId="1DFBF391">
      <w:pPr>
        <w:spacing w:line="620" w:lineRule="exact"/>
        <w:ind w:firstLine="643" w:firstLineChars="200"/>
        <w:rPr>
          <w:rFonts w:ascii="仿宋_GB2312" w:hAnsi="宋体" w:eastAsia="仿宋_GB2312"/>
          <w:color w:val="000000"/>
          <w:kern w:val="0"/>
          <w:sz w:val="30"/>
          <w:szCs w:val="30"/>
          <w:lang w:val="zh-CN"/>
        </w:rPr>
      </w:pPr>
      <w:r>
        <w:rPr>
          <w:rFonts w:hint="eastAsia" w:ascii="方正楷体简体" w:hAnsi="宋体" w:eastAsia="方正楷体简体" w:cs="方正楷体简体"/>
          <w:b/>
          <w:bCs/>
          <w:color w:val="000000"/>
          <w:kern w:val="0"/>
          <w:sz w:val="32"/>
          <w:szCs w:val="32"/>
          <w:lang w:val="zh-CN"/>
        </w:rPr>
        <w:t>完善中期评估制度。</w:t>
      </w:r>
      <w:r>
        <w:rPr>
          <w:rFonts w:ascii="方正仿宋简体" w:eastAsia="方正仿宋简体" w:cs="方正仿宋简体"/>
          <w:color w:val="000000"/>
          <w:sz w:val="32"/>
          <w:szCs w:val="32"/>
        </w:rPr>
        <w:t>2018</w:t>
      </w:r>
      <w:r>
        <w:rPr>
          <w:rFonts w:hint="eastAsia" w:ascii="方正仿宋简体" w:eastAsia="方正仿宋简体" w:cs="方正仿宋简体"/>
          <w:color w:val="000000"/>
          <w:sz w:val="32"/>
          <w:szCs w:val="32"/>
        </w:rPr>
        <w:t>年，对“十三五”规划的实施情况进行中期评估，全面分析检查规划实施效果，找出规划实施中的问题，提出解决问题的对策建议，形成中期评估报告，提请区人民代表大会常务委员会审议。</w:t>
      </w:r>
    </w:p>
    <w:p w14:paraId="576DC4E2">
      <w:pPr>
        <w:spacing w:line="620" w:lineRule="exact"/>
        <w:ind w:firstLine="643" w:firstLineChars="200"/>
        <w:rPr>
          <w:rFonts w:ascii="方正仿宋简体" w:eastAsia="方正仿宋简体"/>
          <w:color w:val="000000"/>
          <w:sz w:val="32"/>
          <w:szCs w:val="32"/>
        </w:rPr>
      </w:pPr>
      <w:r>
        <w:rPr>
          <w:rFonts w:hint="eastAsia" w:ascii="方正楷体简体" w:hAnsi="宋体" w:eastAsia="方正楷体简体" w:cs="方正楷体简体"/>
          <w:b/>
          <w:bCs/>
          <w:color w:val="000000"/>
          <w:kern w:val="0"/>
          <w:sz w:val="32"/>
          <w:szCs w:val="32"/>
          <w:lang w:val="zh-CN"/>
        </w:rPr>
        <w:t>健全规划监督机制。</w:t>
      </w:r>
      <w:r>
        <w:rPr>
          <w:rFonts w:hint="eastAsia" w:ascii="方正仿宋简体" w:eastAsia="方正仿宋简体" w:cs="方正仿宋简体"/>
          <w:color w:val="000000"/>
          <w:sz w:val="32"/>
          <w:szCs w:val="32"/>
        </w:rPr>
        <w:t>推进规划实施的信息公开，健全政府与企业、公众的沟通机制，加强社会对规划实施的监督。建立舆论监督机制，充分利用各种媒体，及时发布各类信息，让社会公众通过法定程序和渠道更多地参与规划实施的决策和监督。提高市场主体把握市场运行和科学决策的能力，推进公众参与规划实施的规范化、制度化。</w:t>
      </w:r>
    </w:p>
    <w:p w14:paraId="2FE8DBE7">
      <w:pPr>
        <w:pStyle w:val="4"/>
        <w:spacing w:after="60" w:line="480" w:lineRule="auto"/>
        <w:ind w:firstLine="643" w:firstLineChars="200"/>
        <w:jc w:val="left"/>
        <w:rPr>
          <w:rFonts w:ascii="方正仿宋简体" w:hAnsi="黑体" w:eastAsia="方正仿宋简体"/>
          <w:color w:val="000000"/>
        </w:rPr>
      </w:pPr>
      <w:bookmarkStart w:id="276" w:name="_Toc432670987"/>
      <w:bookmarkStart w:id="277" w:name="_Toc449037314"/>
      <w:bookmarkStart w:id="278" w:name="_Toc29419"/>
      <w:bookmarkStart w:id="279" w:name="_Toc432405490"/>
      <w:bookmarkStart w:id="280" w:name="_Toc432670986"/>
      <w:bookmarkStart w:id="281" w:name="_Toc27953"/>
      <w:bookmarkStart w:id="282" w:name="_Toc2326"/>
      <w:r>
        <w:rPr>
          <w:rFonts w:hint="eastAsia" w:ascii="方正仿宋简体" w:hAnsi="黑体" w:eastAsia="方正仿宋简体" w:cs="方正仿宋简体"/>
          <w:color w:val="000000"/>
        </w:rPr>
        <w:t>第二节</w:t>
      </w:r>
      <w:r>
        <w:rPr>
          <w:rFonts w:ascii="方正仿宋简体" w:hAnsi="黑体" w:eastAsia="方正仿宋简体" w:cs="方正仿宋简体"/>
          <w:color w:val="000000"/>
        </w:rPr>
        <w:t xml:space="preserve">  </w:t>
      </w:r>
      <w:r>
        <w:rPr>
          <w:rFonts w:hint="eastAsia" w:ascii="方正仿宋简体" w:hAnsi="黑体" w:eastAsia="方正仿宋简体" w:cs="方正仿宋简体"/>
          <w:color w:val="000000"/>
        </w:rPr>
        <w:t>强化项目支撑</w:t>
      </w:r>
      <w:bookmarkEnd w:id="276"/>
      <w:bookmarkEnd w:id="277"/>
    </w:p>
    <w:p w14:paraId="545BAA9C">
      <w:pPr>
        <w:spacing w:line="62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坚持经济工作项目化、项目工作责任化，抓好转型升级重点工程项目库建设，补强短板、增强后劲，争取更多项目得到国家、省、市专项资金支持。围绕新建、续建、竣工、储备等关键环节，注重统筹、突出重点、创新机制、精准发力，建立“四督四保”（督新建保开工、督续建保竣工、督竣工保达产、督储备保转化）推进机制，着力提高开工率、竣工率、达产率和转化率。健全重点项目区级领导联系和集中调度推进机制，完善工作机制，提高服务效能。</w:t>
      </w:r>
    </w:p>
    <w:p w14:paraId="20C6D9B2">
      <w:pPr>
        <w:pStyle w:val="4"/>
        <w:spacing w:after="60" w:line="480" w:lineRule="auto"/>
        <w:ind w:firstLine="643" w:firstLineChars="200"/>
        <w:jc w:val="left"/>
        <w:rPr>
          <w:rFonts w:ascii="方正仿宋简体" w:hAnsi="黑体" w:eastAsia="方正仿宋简体"/>
          <w:color w:val="000000"/>
        </w:rPr>
      </w:pPr>
      <w:bookmarkStart w:id="283" w:name="_Toc449037315"/>
      <w:r>
        <w:rPr>
          <w:rFonts w:hint="eastAsia" w:ascii="方正仿宋简体" w:hAnsi="黑体" w:eastAsia="方正仿宋简体" w:cs="方正仿宋简体"/>
          <w:color w:val="000000"/>
        </w:rPr>
        <w:t>第三节</w:t>
      </w:r>
      <w:r>
        <w:rPr>
          <w:rFonts w:ascii="方正仿宋简体" w:hAnsi="黑体" w:eastAsia="方正仿宋简体" w:cs="方正仿宋简体"/>
          <w:color w:val="000000"/>
        </w:rPr>
        <w:t xml:space="preserve"> </w:t>
      </w:r>
      <w:bookmarkEnd w:id="278"/>
      <w:bookmarkEnd w:id="279"/>
      <w:bookmarkEnd w:id="280"/>
      <w:bookmarkEnd w:id="281"/>
      <w:bookmarkEnd w:id="282"/>
      <w:r>
        <w:rPr>
          <w:rFonts w:ascii="方正仿宋简体" w:hAnsi="黑体" w:eastAsia="方正仿宋简体" w:cs="方正仿宋简体"/>
          <w:color w:val="000000"/>
        </w:rPr>
        <w:t xml:space="preserve"> </w:t>
      </w:r>
      <w:r>
        <w:rPr>
          <w:rFonts w:hint="eastAsia" w:ascii="方正仿宋简体" w:hAnsi="黑体" w:eastAsia="方正仿宋简体" w:cs="方正仿宋简体"/>
          <w:color w:val="000000"/>
        </w:rPr>
        <w:t>强化政策配套</w:t>
      </w:r>
      <w:bookmarkEnd w:id="283"/>
    </w:p>
    <w:p w14:paraId="18AB4B1A">
      <w:pPr>
        <w:spacing w:line="620" w:lineRule="exact"/>
        <w:ind w:firstLine="643" w:firstLineChars="200"/>
        <w:rPr>
          <w:rFonts w:ascii="方正仿宋简体" w:eastAsia="方正仿宋简体"/>
          <w:color w:val="000000"/>
          <w:sz w:val="32"/>
          <w:szCs w:val="32"/>
        </w:rPr>
      </w:pPr>
      <w:r>
        <w:rPr>
          <w:rFonts w:hint="eastAsia" w:ascii="方正楷体简体" w:hAnsi="宋体" w:eastAsia="方正楷体简体" w:cs="方正楷体简体"/>
          <w:b/>
          <w:bCs/>
          <w:color w:val="000000"/>
          <w:kern w:val="0"/>
          <w:sz w:val="32"/>
          <w:szCs w:val="32"/>
          <w:lang w:val="zh-CN"/>
        </w:rPr>
        <w:t>产业政策。</w:t>
      </w:r>
      <w:r>
        <w:rPr>
          <w:rFonts w:hint="eastAsia" w:ascii="方正仿宋简体" w:eastAsia="方正仿宋简体" w:cs="方正仿宋简体"/>
          <w:color w:val="000000"/>
          <w:sz w:val="32"/>
          <w:szCs w:val="32"/>
        </w:rPr>
        <w:t>依据池州市贵池区“十三五”规划的总目标和要求，制定并完善相关的产业政策。制定《贵池区产业发展指导目录》，明确重点发展、鼓励发展和限制发展的产业类别。强化产业准入制度，强调根据贵池区产业特征，设置产业准入的投资强度、环境效益和产业政策三个门槛。凡是不符合投资强度、环境要求与产业政策的企业均不准在我区落户。制定合理的产业政策，按照进一步扶强扶优的产业发展要求，制定促进产业发展的投资、用地、税收、用电、用水等方面的政策。</w:t>
      </w:r>
    </w:p>
    <w:p w14:paraId="63339BCA">
      <w:pPr>
        <w:spacing w:line="620" w:lineRule="exact"/>
        <w:ind w:firstLine="643" w:firstLineChars="200"/>
        <w:rPr>
          <w:rFonts w:ascii="方正仿宋简体" w:eastAsia="方正仿宋简体"/>
          <w:color w:val="000000"/>
          <w:sz w:val="32"/>
          <w:szCs w:val="32"/>
        </w:rPr>
      </w:pPr>
      <w:r>
        <w:rPr>
          <w:rFonts w:hint="eastAsia" w:ascii="方正楷体简体" w:hAnsi="宋体" w:eastAsia="方正楷体简体" w:cs="方正楷体简体"/>
          <w:b/>
          <w:bCs/>
          <w:color w:val="000000"/>
          <w:kern w:val="0"/>
          <w:sz w:val="32"/>
          <w:szCs w:val="32"/>
          <w:lang w:val="zh-CN"/>
        </w:rPr>
        <w:t>财政政策。</w:t>
      </w:r>
      <w:r>
        <w:rPr>
          <w:rFonts w:hint="eastAsia" w:ascii="方正仿宋简体" w:eastAsia="方正仿宋简体" w:cs="方正仿宋简体"/>
          <w:color w:val="000000"/>
          <w:sz w:val="32"/>
          <w:szCs w:val="32"/>
        </w:rPr>
        <w:t>整合区财政支持产业发展专项资金，按照“政府设立、第三方运作、部门监管”的模式，支持发展新兴产业和改造提升传统产业，支持中小微企业健康成长。认真落实奖补政策，加大企业“新三板”挂牌和上市工作力度，推进企业直接融资。深入推进“</w:t>
      </w:r>
      <w:r>
        <w:rPr>
          <w:rFonts w:ascii="方正仿宋简体" w:eastAsia="方正仿宋简体" w:cs="方正仿宋简体"/>
          <w:color w:val="000000"/>
          <w:sz w:val="32"/>
          <w:szCs w:val="32"/>
        </w:rPr>
        <w:t>4321</w:t>
      </w:r>
      <w:r>
        <w:rPr>
          <w:rFonts w:hint="eastAsia" w:ascii="方正仿宋简体" w:eastAsia="方正仿宋简体" w:cs="方正仿宋简体"/>
          <w:color w:val="000000"/>
          <w:sz w:val="32"/>
          <w:szCs w:val="32"/>
        </w:rPr>
        <w:t>”政银担风险分担机制，强化政策性融资担保公司建设，提高资本金规模，提升融资担保能力，支持企业加速成长。全面开展“税融通”业务，引导银行扩大贷款规模，降低企业融资成本，切实缓解企业融资困难。落实“营改增”等结构性减税和金融普惠政策，促进中小微企业发展。积极争取上级对口部门项目扶持资金，推行</w:t>
      </w:r>
      <w:r>
        <w:rPr>
          <w:rFonts w:ascii="方正仿宋简体" w:eastAsia="方正仿宋简体" w:cs="方正仿宋简体"/>
          <w:color w:val="000000"/>
          <w:sz w:val="32"/>
          <w:szCs w:val="32"/>
        </w:rPr>
        <w:t>PPP</w:t>
      </w:r>
      <w:r>
        <w:rPr>
          <w:rFonts w:hint="eastAsia" w:ascii="方正仿宋简体" w:eastAsia="方正仿宋简体" w:cs="方正仿宋简体"/>
          <w:color w:val="000000"/>
          <w:sz w:val="32"/>
          <w:szCs w:val="32"/>
        </w:rPr>
        <w:t>模式，实现投资主体多元化。</w:t>
      </w:r>
    </w:p>
    <w:p w14:paraId="5F008435">
      <w:pPr>
        <w:spacing w:line="620" w:lineRule="exact"/>
        <w:ind w:firstLine="643" w:firstLineChars="200"/>
        <w:rPr>
          <w:rFonts w:ascii="方正仿宋简体" w:eastAsia="方正仿宋简体"/>
          <w:color w:val="000000"/>
          <w:sz w:val="32"/>
          <w:szCs w:val="32"/>
        </w:rPr>
      </w:pPr>
      <w:r>
        <w:rPr>
          <w:rFonts w:hint="eastAsia" w:ascii="方正楷体简体" w:hAnsi="宋体" w:eastAsia="方正楷体简体" w:cs="方正楷体简体"/>
          <w:b/>
          <w:bCs/>
          <w:color w:val="000000"/>
          <w:kern w:val="0"/>
          <w:sz w:val="32"/>
          <w:szCs w:val="32"/>
          <w:lang w:val="zh-CN"/>
        </w:rPr>
        <w:t>消费政策。</w:t>
      </w:r>
      <w:r>
        <w:rPr>
          <w:rFonts w:hint="eastAsia" w:ascii="方正仿宋简体" w:eastAsia="方正仿宋简体" w:cs="方正仿宋简体"/>
          <w:color w:val="000000"/>
          <w:sz w:val="32"/>
          <w:szCs w:val="32"/>
        </w:rPr>
        <w:t>着力扩大居民消费，引导消费朝着智能、绿色、健康、安全方向转变，以扩大服务消费为重点带动消费结构升级。加强消费市场调查监测，掌握消费需求变化趋势，引导生产企业开发新的适需商品，在供给侧和需求侧两端发力。出台和落实相关政策，引导消费需求向国家鼓励倡导的消费热点或领域转变。支持流通企业加大设施投入，提高商品和服务的质量、档次，满足多样化、多层次的消费需求。</w:t>
      </w:r>
    </w:p>
    <w:p w14:paraId="4C150737">
      <w:pPr>
        <w:spacing w:line="620" w:lineRule="exact"/>
        <w:ind w:firstLine="643" w:firstLineChars="200"/>
        <w:rPr>
          <w:rFonts w:ascii="仿宋_GB2312" w:hAnsi="宋体" w:eastAsia="仿宋_GB2312"/>
          <w:color w:val="000000"/>
          <w:kern w:val="0"/>
          <w:sz w:val="30"/>
          <w:szCs w:val="30"/>
          <w:lang w:val="zh-CN"/>
        </w:rPr>
      </w:pPr>
      <w:r>
        <w:rPr>
          <w:rFonts w:hint="eastAsia" w:ascii="方正楷体简体" w:hAnsi="宋体" w:eastAsia="方正楷体简体" w:cs="方正楷体简体"/>
          <w:b/>
          <w:bCs/>
          <w:color w:val="000000"/>
          <w:kern w:val="0"/>
          <w:sz w:val="32"/>
          <w:szCs w:val="32"/>
          <w:lang w:val="zh-CN"/>
        </w:rPr>
        <w:t>土地政策。</w:t>
      </w:r>
      <w:r>
        <w:rPr>
          <w:rFonts w:hint="eastAsia" w:ascii="方正仿宋简体" w:eastAsia="方正仿宋简体" w:cs="方正仿宋简体"/>
          <w:color w:val="000000"/>
          <w:sz w:val="32"/>
          <w:szCs w:val="32"/>
        </w:rPr>
        <w:t>积极推进土地市场化改革进程，重点鼓励农民通过多种方式流转土地承包经营权，引导土地向规模经营主体集中。优先考虑和安排重大基础设施、经济和社会发展重点行业的土地供应，实行差别化的土地供应政策。严格执行土地利用总体规划，切实保护耕地特别是基本农田，确保本区域内耕地占补平衡。建立城镇建设用地增加规模同吸纳农业转移人口落户数量挂钩机制。</w:t>
      </w:r>
    </w:p>
    <w:p w14:paraId="539469A1">
      <w:pPr>
        <w:spacing w:line="620" w:lineRule="exact"/>
        <w:ind w:firstLine="643" w:firstLineChars="200"/>
        <w:rPr>
          <w:rFonts w:ascii="方正仿宋简体" w:eastAsia="方正仿宋简体"/>
          <w:color w:val="000000"/>
          <w:sz w:val="32"/>
          <w:szCs w:val="32"/>
        </w:rPr>
      </w:pPr>
      <w:r>
        <w:rPr>
          <w:rFonts w:hint="eastAsia" w:ascii="方正楷体简体" w:hAnsi="宋体" w:eastAsia="方正楷体简体" w:cs="方正楷体简体"/>
          <w:b/>
          <w:bCs/>
          <w:color w:val="000000"/>
          <w:kern w:val="0"/>
          <w:sz w:val="32"/>
          <w:szCs w:val="32"/>
          <w:lang w:val="zh-CN"/>
        </w:rPr>
        <w:t>优化环境。</w:t>
      </w:r>
      <w:r>
        <w:rPr>
          <w:rFonts w:hint="eastAsia" w:ascii="方正仿宋简体" w:eastAsia="方正仿宋简体" w:cs="方正仿宋简体"/>
          <w:color w:val="000000"/>
          <w:sz w:val="32"/>
          <w:szCs w:val="32"/>
        </w:rPr>
        <w:t>认真落实政府权力清单、责任清单和涉企收费清单制度，探索建立产业准入负面清单制度，着力营造法治化营商环境、高效透明的政务环境、重商安商的投资环境。改进新技术、新产品、新商业模式的准入管理，实行统一的市场准入制度，清理各行业准入规则中不适当的限制性条件。强化知识产权运用和保护，依法惩处侵权行为，鼓励创新创造。加强社会信用体系建设，推动建立跨部门联动响应、信用惩戒、协同监管机制，探索应用信用手段，加强事中事后监管，加快“信用贵池”建设。</w:t>
      </w:r>
    </w:p>
    <w:p w14:paraId="689F6EA9">
      <w:pPr>
        <w:spacing w:line="620" w:lineRule="exact"/>
        <w:ind w:firstLine="640" w:firstLineChars="200"/>
        <w:rPr>
          <w:rFonts w:ascii="方正仿宋简体" w:eastAsia="方正仿宋简体"/>
          <w:color w:val="000000"/>
          <w:sz w:val="32"/>
          <w:szCs w:val="32"/>
        </w:rPr>
      </w:pPr>
      <w:r>
        <w:rPr>
          <w:rFonts w:hint="eastAsia" w:ascii="方正仿宋简体" w:eastAsia="方正仿宋简体" w:cs="方正仿宋简体"/>
          <w:color w:val="000000"/>
          <w:sz w:val="32"/>
          <w:szCs w:val="32"/>
        </w:rPr>
        <w:t>豪情绘蓝图，号角催征程。全区上下要紧密团结在以习近平同志为总书记的党中央周围，解放思想，开拓创新，求真务实，锐意进取，为完成全区国民经济和社会发展第十三个五年规划任务，实现全面建成小康社会的伟大目标而努力奋斗！</w:t>
      </w:r>
    </w:p>
    <w:sectPr>
      <w:headerReference r:id="rId4" w:type="first"/>
      <w:headerReference r:id="rId3" w:type="default"/>
      <w:footerReference r:id="rId5" w:type="default"/>
      <w:pgSz w:w="11906" w:h="16838"/>
      <w:pgMar w:top="1440" w:right="1474" w:bottom="1440" w:left="1588" w:header="851" w:footer="992" w:gutter="0"/>
      <w:pgNumType w:fmt="numberInDash"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D1BFFF2-75BD-4ADB-B05D-95023DD2517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3263D7D-DF28-43CE-B4B7-63C38FB1B95E}"/>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方正小标宋简体">
    <w:altName w:val="微软雅黑"/>
    <w:panose1 w:val="03000509000000000000"/>
    <w:charset w:val="86"/>
    <w:family w:val="script"/>
    <w:pitch w:val="default"/>
    <w:sig w:usb0="00000000" w:usb1="00000000" w:usb2="00000010" w:usb3="00000000" w:csb0="00040000" w:csb1="00000000"/>
    <w:embedRegular r:id="rId3" w:fontKey="{3DF39365-6BCA-4DA5-AF38-86131F9AC97A}"/>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embedRegular r:id="rId4" w:fontKey="{D22DDB01-CAC3-45BF-B636-79703D6D83D8}"/>
  </w:font>
  <w:font w:name="方正楷体简体">
    <w:panose1 w:val="02000000000000000000"/>
    <w:charset w:val="86"/>
    <w:family w:val="auto"/>
    <w:pitch w:val="default"/>
    <w:sig w:usb0="A00002BF" w:usb1="184F6CFA" w:usb2="00000012" w:usb3="00000000" w:csb0="00040001" w:csb1="00000000"/>
    <w:embedRegular r:id="rId5" w:fontKey="{49E7EFA4-0154-47E7-9162-45232C2B82FD}"/>
  </w:font>
  <w:font w:name="方正黑体简体">
    <w:altName w:val="微软雅黑"/>
    <w:panose1 w:val="02010601030101010101"/>
    <w:charset w:val="86"/>
    <w:family w:val="auto"/>
    <w:pitch w:val="default"/>
    <w:sig w:usb0="00000000" w:usb1="00000000" w:usb2="00000010" w:usb3="00000000" w:csb0="00040000" w:csb1="00000000"/>
    <w:embedRegular r:id="rId6" w:fontKey="{118974C8-A84B-4CD4-96F3-EE7AA0D74BD7}"/>
  </w:font>
  <w:font w:name="方正仿宋简体">
    <w:panose1 w:val="02000000000000000000"/>
    <w:charset w:val="86"/>
    <w:family w:val="auto"/>
    <w:pitch w:val="default"/>
    <w:sig w:usb0="A00002BF" w:usb1="184F6CFA" w:usb2="00000012" w:usb3="00000000" w:csb0="00040001" w:csb1="00000000"/>
    <w:embedRegular r:id="rId7" w:fontKey="{91CD68EB-E449-4379-BE99-6BBD89B96295}"/>
  </w:font>
  <w:font w:name="仿宋">
    <w:panose1 w:val="02010609060101010101"/>
    <w:charset w:val="86"/>
    <w:family w:val="modern"/>
    <w:pitch w:val="default"/>
    <w:sig w:usb0="800002BF" w:usb1="38CF7CFA" w:usb2="00000016" w:usb3="00000000" w:csb0="00040001" w:csb1="00000000"/>
    <w:embedRegular r:id="rId8" w:fontKey="{94E9C623-5144-40E9-A273-71AAF5EF2AC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23AD6">
    <w:pPr>
      <w:pStyle w:val="15"/>
      <w:jc w:val="center"/>
      <w:rPr>
        <w:sz w:val="21"/>
        <w:szCs w:val="21"/>
      </w:rPr>
    </w:pPr>
    <w:r>
      <w:fldChar w:fldCharType="begin"/>
    </w:r>
    <w:r>
      <w:instrText xml:space="preserve">PAGE   \* MERGEFORMAT</w:instrText>
    </w:r>
    <w:r>
      <w:fldChar w:fldCharType="separate"/>
    </w:r>
    <w:r>
      <w:rPr>
        <w:sz w:val="21"/>
        <w:szCs w:val="21"/>
        <w:lang w:val="zh-CN"/>
      </w:rPr>
      <w:t>-</w:t>
    </w:r>
    <w:r>
      <w:rPr>
        <w:sz w:val="21"/>
        <w:szCs w:val="21"/>
      </w:rPr>
      <w:t xml:space="preserve"> 30 -</w:t>
    </w:r>
    <w:r>
      <w:rPr>
        <w:sz w:val="21"/>
        <w:szCs w:val="21"/>
      </w:rPr>
      <w:fldChar w:fldCharType="end"/>
    </w:r>
  </w:p>
  <w:p w14:paraId="1E32976B">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0FB54">
    <w:pPr>
      <w:pStyle w:val="16"/>
    </w:pPr>
    <w:r>
      <w:rPr>
        <w:rFonts w:hint="eastAsia" w:cs="宋体"/>
      </w:rPr>
      <w:t>贵池区国民经济和社会发展第十三个五年规划纲要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20782">
    <w:pPr>
      <w:pStyle w:val="1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TrueTypeFonts/>
  <w:saveSubsetFonts/>
  <w:bordersDoNotSurroundHeader w:val="1"/>
  <w:bordersDoNotSurroundFooter w:val="1"/>
  <w:documentProtection w:enforcement="0"/>
  <w:defaultTabStop w:val="420"/>
  <w:doNotHyphenateCaps/>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useFELayout/>
    <w:useAltKinsokuLineBreakRules/>
    <w:doNotSuppressIndentation/>
    <w:doNotAutofitConstrainedTables/>
    <w:autofitToFirstFixedWidthCell/>
    <w:displayHangulFixedWidth/>
    <w:splitPgBreakAndParaMark/>
    <w:compatSetting w:name="compatibilityMode" w:uri="http://schemas.microsoft.com/office/word" w:val="11"/>
  </w:compat>
  <w:rsids>
    <w:rsidRoot w:val="00172A27"/>
    <w:rsid w:val="0000262D"/>
    <w:rsid w:val="00002C61"/>
    <w:rsid w:val="00003100"/>
    <w:rsid w:val="0000364C"/>
    <w:rsid w:val="00003C7E"/>
    <w:rsid w:val="0000596D"/>
    <w:rsid w:val="00011D74"/>
    <w:rsid w:val="000126AB"/>
    <w:rsid w:val="0001371E"/>
    <w:rsid w:val="00016386"/>
    <w:rsid w:val="00016BF3"/>
    <w:rsid w:val="0001757F"/>
    <w:rsid w:val="00017ABB"/>
    <w:rsid w:val="00020BEC"/>
    <w:rsid w:val="00020E7B"/>
    <w:rsid w:val="00021857"/>
    <w:rsid w:val="000224C1"/>
    <w:rsid w:val="0002329E"/>
    <w:rsid w:val="000244EA"/>
    <w:rsid w:val="0002459A"/>
    <w:rsid w:val="00024DAF"/>
    <w:rsid w:val="00025108"/>
    <w:rsid w:val="00025268"/>
    <w:rsid w:val="00025C8B"/>
    <w:rsid w:val="0002717C"/>
    <w:rsid w:val="00030023"/>
    <w:rsid w:val="00031093"/>
    <w:rsid w:val="00031852"/>
    <w:rsid w:val="00031B3E"/>
    <w:rsid w:val="00031EC7"/>
    <w:rsid w:val="00032EFA"/>
    <w:rsid w:val="00032F80"/>
    <w:rsid w:val="00037734"/>
    <w:rsid w:val="000427B1"/>
    <w:rsid w:val="00042F75"/>
    <w:rsid w:val="00043EE7"/>
    <w:rsid w:val="00046E46"/>
    <w:rsid w:val="0004702D"/>
    <w:rsid w:val="0004794E"/>
    <w:rsid w:val="000519C1"/>
    <w:rsid w:val="00052B12"/>
    <w:rsid w:val="00052C12"/>
    <w:rsid w:val="00053056"/>
    <w:rsid w:val="0005480F"/>
    <w:rsid w:val="00057240"/>
    <w:rsid w:val="00057B20"/>
    <w:rsid w:val="00060DEA"/>
    <w:rsid w:val="00061888"/>
    <w:rsid w:val="000619A4"/>
    <w:rsid w:val="00061B58"/>
    <w:rsid w:val="000623D3"/>
    <w:rsid w:val="00063CAB"/>
    <w:rsid w:val="00065DEE"/>
    <w:rsid w:val="000661E8"/>
    <w:rsid w:val="00066393"/>
    <w:rsid w:val="00066FFE"/>
    <w:rsid w:val="00071B6A"/>
    <w:rsid w:val="00071CF1"/>
    <w:rsid w:val="000731AE"/>
    <w:rsid w:val="000732EC"/>
    <w:rsid w:val="00073F09"/>
    <w:rsid w:val="00073F1D"/>
    <w:rsid w:val="000748D9"/>
    <w:rsid w:val="00074A01"/>
    <w:rsid w:val="0007501E"/>
    <w:rsid w:val="000811E7"/>
    <w:rsid w:val="0008208B"/>
    <w:rsid w:val="00082B6C"/>
    <w:rsid w:val="0008401D"/>
    <w:rsid w:val="00086E37"/>
    <w:rsid w:val="0008776E"/>
    <w:rsid w:val="000929F9"/>
    <w:rsid w:val="00092F86"/>
    <w:rsid w:val="0009422E"/>
    <w:rsid w:val="0009458D"/>
    <w:rsid w:val="00095713"/>
    <w:rsid w:val="00097328"/>
    <w:rsid w:val="000A28F3"/>
    <w:rsid w:val="000A2F58"/>
    <w:rsid w:val="000A3C74"/>
    <w:rsid w:val="000A4625"/>
    <w:rsid w:val="000A59D2"/>
    <w:rsid w:val="000A5B0D"/>
    <w:rsid w:val="000B007E"/>
    <w:rsid w:val="000B08CD"/>
    <w:rsid w:val="000B0BBC"/>
    <w:rsid w:val="000B1016"/>
    <w:rsid w:val="000B2869"/>
    <w:rsid w:val="000B3FEC"/>
    <w:rsid w:val="000B4489"/>
    <w:rsid w:val="000B4C13"/>
    <w:rsid w:val="000B4FF4"/>
    <w:rsid w:val="000B58AE"/>
    <w:rsid w:val="000B60FF"/>
    <w:rsid w:val="000B62D5"/>
    <w:rsid w:val="000C1651"/>
    <w:rsid w:val="000C2135"/>
    <w:rsid w:val="000C222F"/>
    <w:rsid w:val="000C4C68"/>
    <w:rsid w:val="000C4F4C"/>
    <w:rsid w:val="000C53EC"/>
    <w:rsid w:val="000C6BC7"/>
    <w:rsid w:val="000D2897"/>
    <w:rsid w:val="000D375E"/>
    <w:rsid w:val="000D416D"/>
    <w:rsid w:val="000D46C6"/>
    <w:rsid w:val="000D4CD9"/>
    <w:rsid w:val="000E0AA1"/>
    <w:rsid w:val="000E0D38"/>
    <w:rsid w:val="000E21C1"/>
    <w:rsid w:val="000E27C9"/>
    <w:rsid w:val="000E34DB"/>
    <w:rsid w:val="000E510D"/>
    <w:rsid w:val="000E7B56"/>
    <w:rsid w:val="000F090F"/>
    <w:rsid w:val="000F0DBC"/>
    <w:rsid w:val="000F3410"/>
    <w:rsid w:val="000F352D"/>
    <w:rsid w:val="000F3569"/>
    <w:rsid w:val="000F5204"/>
    <w:rsid w:val="000F684F"/>
    <w:rsid w:val="000F71C8"/>
    <w:rsid w:val="000F75E0"/>
    <w:rsid w:val="000F79A4"/>
    <w:rsid w:val="000F7C30"/>
    <w:rsid w:val="000F7E85"/>
    <w:rsid w:val="00101856"/>
    <w:rsid w:val="00102EC4"/>
    <w:rsid w:val="00102F94"/>
    <w:rsid w:val="001047B3"/>
    <w:rsid w:val="001051DD"/>
    <w:rsid w:val="00105C54"/>
    <w:rsid w:val="00107233"/>
    <w:rsid w:val="00110762"/>
    <w:rsid w:val="0011169F"/>
    <w:rsid w:val="00113810"/>
    <w:rsid w:val="00114F11"/>
    <w:rsid w:val="00116B44"/>
    <w:rsid w:val="00120D9A"/>
    <w:rsid w:val="001229AE"/>
    <w:rsid w:val="001233D8"/>
    <w:rsid w:val="00123967"/>
    <w:rsid w:val="00123BDA"/>
    <w:rsid w:val="001243D7"/>
    <w:rsid w:val="00124E99"/>
    <w:rsid w:val="001258D6"/>
    <w:rsid w:val="0012599A"/>
    <w:rsid w:val="00126010"/>
    <w:rsid w:val="00130B23"/>
    <w:rsid w:val="00131284"/>
    <w:rsid w:val="0013275C"/>
    <w:rsid w:val="00133B3B"/>
    <w:rsid w:val="001374DF"/>
    <w:rsid w:val="001376DA"/>
    <w:rsid w:val="001378EA"/>
    <w:rsid w:val="00144388"/>
    <w:rsid w:val="00145F7E"/>
    <w:rsid w:val="001478D7"/>
    <w:rsid w:val="00147975"/>
    <w:rsid w:val="001479F5"/>
    <w:rsid w:val="0015014D"/>
    <w:rsid w:val="001508C5"/>
    <w:rsid w:val="001509F9"/>
    <w:rsid w:val="00150C28"/>
    <w:rsid w:val="00151810"/>
    <w:rsid w:val="00151F82"/>
    <w:rsid w:val="00152BD6"/>
    <w:rsid w:val="00152F92"/>
    <w:rsid w:val="001549F2"/>
    <w:rsid w:val="00154BF3"/>
    <w:rsid w:val="00155A61"/>
    <w:rsid w:val="001577FC"/>
    <w:rsid w:val="00157CCC"/>
    <w:rsid w:val="001606AB"/>
    <w:rsid w:val="00163C75"/>
    <w:rsid w:val="00166F07"/>
    <w:rsid w:val="00171D92"/>
    <w:rsid w:val="00172A27"/>
    <w:rsid w:val="001743F3"/>
    <w:rsid w:val="00174A3D"/>
    <w:rsid w:val="00175461"/>
    <w:rsid w:val="00176865"/>
    <w:rsid w:val="00182D51"/>
    <w:rsid w:val="00185386"/>
    <w:rsid w:val="0018635B"/>
    <w:rsid w:val="001868E7"/>
    <w:rsid w:val="00190DD3"/>
    <w:rsid w:val="0019108D"/>
    <w:rsid w:val="0019152A"/>
    <w:rsid w:val="001948CD"/>
    <w:rsid w:val="00195650"/>
    <w:rsid w:val="00195BCE"/>
    <w:rsid w:val="001961DE"/>
    <w:rsid w:val="00196319"/>
    <w:rsid w:val="00196986"/>
    <w:rsid w:val="00197B62"/>
    <w:rsid w:val="001A0086"/>
    <w:rsid w:val="001A0558"/>
    <w:rsid w:val="001A0FB3"/>
    <w:rsid w:val="001A35CB"/>
    <w:rsid w:val="001A459B"/>
    <w:rsid w:val="001A600D"/>
    <w:rsid w:val="001A631D"/>
    <w:rsid w:val="001A69D9"/>
    <w:rsid w:val="001A6FDB"/>
    <w:rsid w:val="001A76E7"/>
    <w:rsid w:val="001B0543"/>
    <w:rsid w:val="001B0DCA"/>
    <w:rsid w:val="001B239E"/>
    <w:rsid w:val="001B4121"/>
    <w:rsid w:val="001B4146"/>
    <w:rsid w:val="001B4A17"/>
    <w:rsid w:val="001B5168"/>
    <w:rsid w:val="001B5856"/>
    <w:rsid w:val="001B6ECC"/>
    <w:rsid w:val="001B79DB"/>
    <w:rsid w:val="001C072D"/>
    <w:rsid w:val="001C17B5"/>
    <w:rsid w:val="001C2CCF"/>
    <w:rsid w:val="001C4E20"/>
    <w:rsid w:val="001C602F"/>
    <w:rsid w:val="001C79A5"/>
    <w:rsid w:val="001C7BF4"/>
    <w:rsid w:val="001D0010"/>
    <w:rsid w:val="001D22C1"/>
    <w:rsid w:val="001D236F"/>
    <w:rsid w:val="001D2679"/>
    <w:rsid w:val="001D2A8B"/>
    <w:rsid w:val="001D6E67"/>
    <w:rsid w:val="001D7032"/>
    <w:rsid w:val="001D71D9"/>
    <w:rsid w:val="001D7F1E"/>
    <w:rsid w:val="001E1F97"/>
    <w:rsid w:val="001E2376"/>
    <w:rsid w:val="001E2BC5"/>
    <w:rsid w:val="001E2DDB"/>
    <w:rsid w:val="001E2E65"/>
    <w:rsid w:val="001E3517"/>
    <w:rsid w:val="001E37D2"/>
    <w:rsid w:val="001E5AF6"/>
    <w:rsid w:val="001E5BB5"/>
    <w:rsid w:val="001E6362"/>
    <w:rsid w:val="001E652E"/>
    <w:rsid w:val="001E734F"/>
    <w:rsid w:val="001E74CB"/>
    <w:rsid w:val="001E7C6B"/>
    <w:rsid w:val="001F04EB"/>
    <w:rsid w:val="001F10A2"/>
    <w:rsid w:val="001F1892"/>
    <w:rsid w:val="001F38CC"/>
    <w:rsid w:val="001F523A"/>
    <w:rsid w:val="001F53EA"/>
    <w:rsid w:val="001F7776"/>
    <w:rsid w:val="00200A41"/>
    <w:rsid w:val="002017C2"/>
    <w:rsid w:val="0020414A"/>
    <w:rsid w:val="0020459A"/>
    <w:rsid w:val="00205D09"/>
    <w:rsid w:val="00207BA1"/>
    <w:rsid w:val="0021022D"/>
    <w:rsid w:val="00211289"/>
    <w:rsid w:val="00214ED9"/>
    <w:rsid w:val="002151A3"/>
    <w:rsid w:val="00215C1C"/>
    <w:rsid w:val="00216FD8"/>
    <w:rsid w:val="002207A8"/>
    <w:rsid w:val="002211C4"/>
    <w:rsid w:val="00221BFF"/>
    <w:rsid w:val="00222DF1"/>
    <w:rsid w:val="00223210"/>
    <w:rsid w:val="0022516A"/>
    <w:rsid w:val="00225AC7"/>
    <w:rsid w:val="0022669F"/>
    <w:rsid w:val="00226829"/>
    <w:rsid w:val="00227010"/>
    <w:rsid w:val="00227A5E"/>
    <w:rsid w:val="00231B11"/>
    <w:rsid w:val="00234150"/>
    <w:rsid w:val="00234C99"/>
    <w:rsid w:val="00234D20"/>
    <w:rsid w:val="002352A1"/>
    <w:rsid w:val="002370F6"/>
    <w:rsid w:val="0024033B"/>
    <w:rsid w:val="0024290F"/>
    <w:rsid w:val="00242DB8"/>
    <w:rsid w:val="00242ECF"/>
    <w:rsid w:val="0024398C"/>
    <w:rsid w:val="00245E21"/>
    <w:rsid w:val="00250636"/>
    <w:rsid w:val="00252B16"/>
    <w:rsid w:val="00252F12"/>
    <w:rsid w:val="00256C80"/>
    <w:rsid w:val="002602B1"/>
    <w:rsid w:val="002619D3"/>
    <w:rsid w:val="00263E4E"/>
    <w:rsid w:val="002640A2"/>
    <w:rsid w:val="00266C62"/>
    <w:rsid w:val="00267055"/>
    <w:rsid w:val="00267443"/>
    <w:rsid w:val="00274FA1"/>
    <w:rsid w:val="0027581A"/>
    <w:rsid w:val="00280F64"/>
    <w:rsid w:val="00282F07"/>
    <w:rsid w:val="00283185"/>
    <w:rsid w:val="00283551"/>
    <w:rsid w:val="002843E6"/>
    <w:rsid w:val="00285679"/>
    <w:rsid w:val="00286FE6"/>
    <w:rsid w:val="00287369"/>
    <w:rsid w:val="00287919"/>
    <w:rsid w:val="00287B95"/>
    <w:rsid w:val="00295616"/>
    <w:rsid w:val="002A028A"/>
    <w:rsid w:val="002A454A"/>
    <w:rsid w:val="002A71CC"/>
    <w:rsid w:val="002B0666"/>
    <w:rsid w:val="002B1279"/>
    <w:rsid w:val="002B51D4"/>
    <w:rsid w:val="002B53D9"/>
    <w:rsid w:val="002B6F10"/>
    <w:rsid w:val="002C030B"/>
    <w:rsid w:val="002C0768"/>
    <w:rsid w:val="002C0D30"/>
    <w:rsid w:val="002C21FA"/>
    <w:rsid w:val="002C3677"/>
    <w:rsid w:val="002C42F0"/>
    <w:rsid w:val="002C4EFB"/>
    <w:rsid w:val="002C5FE8"/>
    <w:rsid w:val="002C7475"/>
    <w:rsid w:val="002C7AE5"/>
    <w:rsid w:val="002D2419"/>
    <w:rsid w:val="002D51C1"/>
    <w:rsid w:val="002E2187"/>
    <w:rsid w:val="002E3891"/>
    <w:rsid w:val="002E3AB1"/>
    <w:rsid w:val="002E41E1"/>
    <w:rsid w:val="002E47E9"/>
    <w:rsid w:val="002E49C3"/>
    <w:rsid w:val="002F1678"/>
    <w:rsid w:val="002F180D"/>
    <w:rsid w:val="002F35D5"/>
    <w:rsid w:val="002F46FC"/>
    <w:rsid w:val="002F49F0"/>
    <w:rsid w:val="002F4AC5"/>
    <w:rsid w:val="002F5050"/>
    <w:rsid w:val="002F7F26"/>
    <w:rsid w:val="00303CD4"/>
    <w:rsid w:val="00305793"/>
    <w:rsid w:val="00305C8F"/>
    <w:rsid w:val="00306EA2"/>
    <w:rsid w:val="00307CC9"/>
    <w:rsid w:val="003131A6"/>
    <w:rsid w:val="00313202"/>
    <w:rsid w:val="00313608"/>
    <w:rsid w:val="003136B9"/>
    <w:rsid w:val="00313DE5"/>
    <w:rsid w:val="00314D07"/>
    <w:rsid w:val="003159AF"/>
    <w:rsid w:val="003160F9"/>
    <w:rsid w:val="00316A65"/>
    <w:rsid w:val="00316BEA"/>
    <w:rsid w:val="003200A6"/>
    <w:rsid w:val="00321816"/>
    <w:rsid w:val="003230C5"/>
    <w:rsid w:val="00324C70"/>
    <w:rsid w:val="003279EF"/>
    <w:rsid w:val="00330DB2"/>
    <w:rsid w:val="0033186D"/>
    <w:rsid w:val="0033220E"/>
    <w:rsid w:val="0033322D"/>
    <w:rsid w:val="0033408E"/>
    <w:rsid w:val="003341A4"/>
    <w:rsid w:val="00336AD2"/>
    <w:rsid w:val="00336B31"/>
    <w:rsid w:val="00337DC9"/>
    <w:rsid w:val="00337FEA"/>
    <w:rsid w:val="0034183C"/>
    <w:rsid w:val="00341A7B"/>
    <w:rsid w:val="00341DEF"/>
    <w:rsid w:val="00343AE3"/>
    <w:rsid w:val="00346A27"/>
    <w:rsid w:val="003504E2"/>
    <w:rsid w:val="00351785"/>
    <w:rsid w:val="00351BA1"/>
    <w:rsid w:val="003530DF"/>
    <w:rsid w:val="00355037"/>
    <w:rsid w:val="003559C0"/>
    <w:rsid w:val="00355A22"/>
    <w:rsid w:val="00355E69"/>
    <w:rsid w:val="003568E7"/>
    <w:rsid w:val="003609A0"/>
    <w:rsid w:val="0036167D"/>
    <w:rsid w:val="003618A7"/>
    <w:rsid w:val="00362534"/>
    <w:rsid w:val="00362DDC"/>
    <w:rsid w:val="00362FD5"/>
    <w:rsid w:val="003630A3"/>
    <w:rsid w:val="00364815"/>
    <w:rsid w:val="00367DAE"/>
    <w:rsid w:val="0037043C"/>
    <w:rsid w:val="00371298"/>
    <w:rsid w:val="00372B79"/>
    <w:rsid w:val="00373B0E"/>
    <w:rsid w:val="003741FC"/>
    <w:rsid w:val="00376A6C"/>
    <w:rsid w:val="00376EB5"/>
    <w:rsid w:val="0037708F"/>
    <w:rsid w:val="003778E0"/>
    <w:rsid w:val="00380C83"/>
    <w:rsid w:val="00381694"/>
    <w:rsid w:val="00385E9A"/>
    <w:rsid w:val="00385FD3"/>
    <w:rsid w:val="003868D9"/>
    <w:rsid w:val="00387F73"/>
    <w:rsid w:val="003935A0"/>
    <w:rsid w:val="003943C2"/>
    <w:rsid w:val="00395552"/>
    <w:rsid w:val="00395FF9"/>
    <w:rsid w:val="00396922"/>
    <w:rsid w:val="00396948"/>
    <w:rsid w:val="0039739A"/>
    <w:rsid w:val="00397C95"/>
    <w:rsid w:val="003A0800"/>
    <w:rsid w:val="003A0C08"/>
    <w:rsid w:val="003A0F11"/>
    <w:rsid w:val="003A1391"/>
    <w:rsid w:val="003A627D"/>
    <w:rsid w:val="003B02A9"/>
    <w:rsid w:val="003B39DA"/>
    <w:rsid w:val="003B425B"/>
    <w:rsid w:val="003B5816"/>
    <w:rsid w:val="003B6196"/>
    <w:rsid w:val="003B61E7"/>
    <w:rsid w:val="003B70BC"/>
    <w:rsid w:val="003B72C2"/>
    <w:rsid w:val="003C07F3"/>
    <w:rsid w:val="003C345E"/>
    <w:rsid w:val="003C3DA9"/>
    <w:rsid w:val="003C6132"/>
    <w:rsid w:val="003C6E18"/>
    <w:rsid w:val="003D202D"/>
    <w:rsid w:val="003D29BC"/>
    <w:rsid w:val="003D359F"/>
    <w:rsid w:val="003D3E6B"/>
    <w:rsid w:val="003D4D91"/>
    <w:rsid w:val="003D5BC3"/>
    <w:rsid w:val="003D7076"/>
    <w:rsid w:val="003E0DF8"/>
    <w:rsid w:val="003E2372"/>
    <w:rsid w:val="003E2751"/>
    <w:rsid w:val="003E39A3"/>
    <w:rsid w:val="003E4285"/>
    <w:rsid w:val="003E689B"/>
    <w:rsid w:val="003F1079"/>
    <w:rsid w:val="003F12FD"/>
    <w:rsid w:val="003F1B76"/>
    <w:rsid w:val="003F3106"/>
    <w:rsid w:val="003F3D96"/>
    <w:rsid w:val="003F4993"/>
    <w:rsid w:val="003F541C"/>
    <w:rsid w:val="003F6219"/>
    <w:rsid w:val="003F667F"/>
    <w:rsid w:val="003F6F3E"/>
    <w:rsid w:val="003F7973"/>
    <w:rsid w:val="003F7A14"/>
    <w:rsid w:val="0040199E"/>
    <w:rsid w:val="00402033"/>
    <w:rsid w:val="00402757"/>
    <w:rsid w:val="00402DD7"/>
    <w:rsid w:val="004032BC"/>
    <w:rsid w:val="00403FB7"/>
    <w:rsid w:val="004042C0"/>
    <w:rsid w:val="0040435D"/>
    <w:rsid w:val="00405474"/>
    <w:rsid w:val="00405FC8"/>
    <w:rsid w:val="00406D52"/>
    <w:rsid w:val="004108B3"/>
    <w:rsid w:val="00410A1B"/>
    <w:rsid w:val="00410D31"/>
    <w:rsid w:val="00411128"/>
    <w:rsid w:val="00415CE7"/>
    <w:rsid w:val="004161BC"/>
    <w:rsid w:val="00416CF7"/>
    <w:rsid w:val="004179FE"/>
    <w:rsid w:val="00417C32"/>
    <w:rsid w:val="004225F3"/>
    <w:rsid w:val="0042587F"/>
    <w:rsid w:val="0042716B"/>
    <w:rsid w:val="00427AC5"/>
    <w:rsid w:val="0043129C"/>
    <w:rsid w:val="00431B6C"/>
    <w:rsid w:val="00431BA0"/>
    <w:rsid w:val="0043432B"/>
    <w:rsid w:val="0043436E"/>
    <w:rsid w:val="0043463A"/>
    <w:rsid w:val="0043463F"/>
    <w:rsid w:val="00434B36"/>
    <w:rsid w:val="00435E18"/>
    <w:rsid w:val="00437D9A"/>
    <w:rsid w:val="00440298"/>
    <w:rsid w:val="0044177A"/>
    <w:rsid w:val="004429C3"/>
    <w:rsid w:val="004432AE"/>
    <w:rsid w:val="00443EDE"/>
    <w:rsid w:val="00444EE4"/>
    <w:rsid w:val="004474E9"/>
    <w:rsid w:val="0045052D"/>
    <w:rsid w:val="00451F6D"/>
    <w:rsid w:val="00452140"/>
    <w:rsid w:val="00453C40"/>
    <w:rsid w:val="00455757"/>
    <w:rsid w:val="00455BEA"/>
    <w:rsid w:val="00455D1D"/>
    <w:rsid w:val="00456680"/>
    <w:rsid w:val="004570CE"/>
    <w:rsid w:val="00457507"/>
    <w:rsid w:val="004579D9"/>
    <w:rsid w:val="00460F88"/>
    <w:rsid w:val="004614F2"/>
    <w:rsid w:val="004635F9"/>
    <w:rsid w:val="00463A05"/>
    <w:rsid w:val="00465E76"/>
    <w:rsid w:val="00470978"/>
    <w:rsid w:val="00470D71"/>
    <w:rsid w:val="00471879"/>
    <w:rsid w:val="00472155"/>
    <w:rsid w:val="004727B7"/>
    <w:rsid w:val="0047408F"/>
    <w:rsid w:val="00474E46"/>
    <w:rsid w:val="00475567"/>
    <w:rsid w:val="0047583D"/>
    <w:rsid w:val="00476137"/>
    <w:rsid w:val="004802A5"/>
    <w:rsid w:val="00480361"/>
    <w:rsid w:val="00480C65"/>
    <w:rsid w:val="00481F97"/>
    <w:rsid w:val="00482828"/>
    <w:rsid w:val="00482CE5"/>
    <w:rsid w:val="00482E3B"/>
    <w:rsid w:val="00482E6D"/>
    <w:rsid w:val="00483DAC"/>
    <w:rsid w:val="00485185"/>
    <w:rsid w:val="004857C7"/>
    <w:rsid w:val="004859BA"/>
    <w:rsid w:val="00485DD1"/>
    <w:rsid w:val="00486554"/>
    <w:rsid w:val="00486A29"/>
    <w:rsid w:val="004924AC"/>
    <w:rsid w:val="00492A86"/>
    <w:rsid w:val="004937B0"/>
    <w:rsid w:val="00493B28"/>
    <w:rsid w:val="0049673E"/>
    <w:rsid w:val="004A13DA"/>
    <w:rsid w:val="004A3645"/>
    <w:rsid w:val="004A5FAB"/>
    <w:rsid w:val="004A6246"/>
    <w:rsid w:val="004A6FDE"/>
    <w:rsid w:val="004A7682"/>
    <w:rsid w:val="004B2EC3"/>
    <w:rsid w:val="004B2FF4"/>
    <w:rsid w:val="004B3ADF"/>
    <w:rsid w:val="004B4070"/>
    <w:rsid w:val="004B412A"/>
    <w:rsid w:val="004B542E"/>
    <w:rsid w:val="004B5676"/>
    <w:rsid w:val="004B5699"/>
    <w:rsid w:val="004B635B"/>
    <w:rsid w:val="004B743F"/>
    <w:rsid w:val="004B7EF7"/>
    <w:rsid w:val="004C0A32"/>
    <w:rsid w:val="004C440E"/>
    <w:rsid w:val="004C47C2"/>
    <w:rsid w:val="004C58A2"/>
    <w:rsid w:val="004D06CA"/>
    <w:rsid w:val="004D0735"/>
    <w:rsid w:val="004D1E8E"/>
    <w:rsid w:val="004D2BAA"/>
    <w:rsid w:val="004D4F06"/>
    <w:rsid w:val="004E06E2"/>
    <w:rsid w:val="004E153C"/>
    <w:rsid w:val="004E3EFC"/>
    <w:rsid w:val="004E425D"/>
    <w:rsid w:val="004E43C1"/>
    <w:rsid w:val="004E4A5B"/>
    <w:rsid w:val="004E65EB"/>
    <w:rsid w:val="004F198F"/>
    <w:rsid w:val="004F25A4"/>
    <w:rsid w:val="004F2D7F"/>
    <w:rsid w:val="004F3DDB"/>
    <w:rsid w:val="004F4A1F"/>
    <w:rsid w:val="004F5156"/>
    <w:rsid w:val="004F69C2"/>
    <w:rsid w:val="004F720D"/>
    <w:rsid w:val="004F72F9"/>
    <w:rsid w:val="005005F0"/>
    <w:rsid w:val="00500854"/>
    <w:rsid w:val="00502835"/>
    <w:rsid w:val="00502983"/>
    <w:rsid w:val="0050742B"/>
    <w:rsid w:val="00507656"/>
    <w:rsid w:val="0050787A"/>
    <w:rsid w:val="0050790E"/>
    <w:rsid w:val="00507BCC"/>
    <w:rsid w:val="00512205"/>
    <w:rsid w:val="0051239A"/>
    <w:rsid w:val="005126C2"/>
    <w:rsid w:val="00512B5E"/>
    <w:rsid w:val="005135B1"/>
    <w:rsid w:val="00514BF9"/>
    <w:rsid w:val="00515289"/>
    <w:rsid w:val="005166BD"/>
    <w:rsid w:val="005213EA"/>
    <w:rsid w:val="00521A1E"/>
    <w:rsid w:val="00522027"/>
    <w:rsid w:val="00524892"/>
    <w:rsid w:val="005258AC"/>
    <w:rsid w:val="0052685A"/>
    <w:rsid w:val="0052780B"/>
    <w:rsid w:val="00527F3E"/>
    <w:rsid w:val="00530D73"/>
    <w:rsid w:val="00531D2A"/>
    <w:rsid w:val="00532BE2"/>
    <w:rsid w:val="0053432E"/>
    <w:rsid w:val="005343FC"/>
    <w:rsid w:val="0053692A"/>
    <w:rsid w:val="00536982"/>
    <w:rsid w:val="00536FCF"/>
    <w:rsid w:val="0053744E"/>
    <w:rsid w:val="00537C53"/>
    <w:rsid w:val="00537CCF"/>
    <w:rsid w:val="00540917"/>
    <w:rsid w:val="00541EEF"/>
    <w:rsid w:val="0054227C"/>
    <w:rsid w:val="00542CB7"/>
    <w:rsid w:val="00544084"/>
    <w:rsid w:val="0054420A"/>
    <w:rsid w:val="00546390"/>
    <w:rsid w:val="005468A5"/>
    <w:rsid w:val="005500B3"/>
    <w:rsid w:val="00552FFB"/>
    <w:rsid w:val="005573FF"/>
    <w:rsid w:val="00560024"/>
    <w:rsid w:val="0056202F"/>
    <w:rsid w:val="005624D5"/>
    <w:rsid w:val="00563D78"/>
    <w:rsid w:val="005661B3"/>
    <w:rsid w:val="00566FE9"/>
    <w:rsid w:val="00567306"/>
    <w:rsid w:val="0057070E"/>
    <w:rsid w:val="005714FA"/>
    <w:rsid w:val="0057240E"/>
    <w:rsid w:val="0057250B"/>
    <w:rsid w:val="00572AEF"/>
    <w:rsid w:val="0057445C"/>
    <w:rsid w:val="005772AD"/>
    <w:rsid w:val="00580FB7"/>
    <w:rsid w:val="0058158D"/>
    <w:rsid w:val="0058165D"/>
    <w:rsid w:val="00582564"/>
    <w:rsid w:val="00584D2D"/>
    <w:rsid w:val="005874FF"/>
    <w:rsid w:val="00590052"/>
    <w:rsid w:val="00591FEA"/>
    <w:rsid w:val="0059253D"/>
    <w:rsid w:val="005939AD"/>
    <w:rsid w:val="00596CB8"/>
    <w:rsid w:val="00597E58"/>
    <w:rsid w:val="005A1165"/>
    <w:rsid w:val="005A122A"/>
    <w:rsid w:val="005A31AA"/>
    <w:rsid w:val="005A37B5"/>
    <w:rsid w:val="005A4270"/>
    <w:rsid w:val="005A5104"/>
    <w:rsid w:val="005A56DD"/>
    <w:rsid w:val="005A5E69"/>
    <w:rsid w:val="005A619C"/>
    <w:rsid w:val="005A6591"/>
    <w:rsid w:val="005A66CA"/>
    <w:rsid w:val="005A702F"/>
    <w:rsid w:val="005B0546"/>
    <w:rsid w:val="005B094E"/>
    <w:rsid w:val="005B2455"/>
    <w:rsid w:val="005B2EE1"/>
    <w:rsid w:val="005B4C81"/>
    <w:rsid w:val="005B53B1"/>
    <w:rsid w:val="005C0B8D"/>
    <w:rsid w:val="005C65FE"/>
    <w:rsid w:val="005D00BA"/>
    <w:rsid w:val="005D334A"/>
    <w:rsid w:val="005D39C2"/>
    <w:rsid w:val="005D3D8F"/>
    <w:rsid w:val="005D5093"/>
    <w:rsid w:val="005D7861"/>
    <w:rsid w:val="005E136C"/>
    <w:rsid w:val="005E16F2"/>
    <w:rsid w:val="005E2078"/>
    <w:rsid w:val="005E263E"/>
    <w:rsid w:val="005E2687"/>
    <w:rsid w:val="005E364D"/>
    <w:rsid w:val="005E38BA"/>
    <w:rsid w:val="005E3A52"/>
    <w:rsid w:val="005E5741"/>
    <w:rsid w:val="005E5A3C"/>
    <w:rsid w:val="005E70C2"/>
    <w:rsid w:val="005F0B88"/>
    <w:rsid w:val="005F0DD4"/>
    <w:rsid w:val="005F12CB"/>
    <w:rsid w:val="005F225F"/>
    <w:rsid w:val="005F2466"/>
    <w:rsid w:val="005F25BB"/>
    <w:rsid w:val="005F3280"/>
    <w:rsid w:val="005F3614"/>
    <w:rsid w:val="005F4502"/>
    <w:rsid w:val="005F568D"/>
    <w:rsid w:val="00601253"/>
    <w:rsid w:val="00601410"/>
    <w:rsid w:val="00601669"/>
    <w:rsid w:val="00601870"/>
    <w:rsid w:val="00601A41"/>
    <w:rsid w:val="00601FB8"/>
    <w:rsid w:val="006058BE"/>
    <w:rsid w:val="006058F2"/>
    <w:rsid w:val="0060666D"/>
    <w:rsid w:val="00607980"/>
    <w:rsid w:val="00607BFA"/>
    <w:rsid w:val="00607E5A"/>
    <w:rsid w:val="006103A5"/>
    <w:rsid w:val="00610E3E"/>
    <w:rsid w:val="00612219"/>
    <w:rsid w:val="00612295"/>
    <w:rsid w:val="00613967"/>
    <w:rsid w:val="00615B2C"/>
    <w:rsid w:val="00616E30"/>
    <w:rsid w:val="00617561"/>
    <w:rsid w:val="0062065C"/>
    <w:rsid w:val="006217DE"/>
    <w:rsid w:val="00622E3B"/>
    <w:rsid w:val="00623658"/>
    <w:rsid w:val="006237FB"/>
    <w:rsid w:val="00623B63"/>
    <w:rsid w:val="00625445"/>
    <w:rsid w:val="0062556F"/>
    <w:rsid w:val="0063476C"/>
    <w:rsid w:val="00635510"/>
    <w:rsid w:val="0063702C"/>
    <w:rsid w:val="00637BB3"/>
    <w:rsid w:val="00642A41"/>
    <w:rsid w:val="0064358A"/>
    <w:rsid w:val="00643708"/>
    <w:rsid w:val="006449F7"/>
    <w:rsid w:val="00646708"/>
    <w:rsid w:val="00647929"/>
    <w:rsid w:val="00647EDC"/>
    <w:rsid w:val="006502A9"/>
    <w:rsid w:val="00650C4B"/>
    <w:rsid w:val="0065199C"/>
    <w:rsid w:val="0065215F"/>
    <w:rsid w:val="0065240F"/>
    <w:rsid w:val="00652955"/>
    <w:rsid w:val="00652B0F"/>
    <w:rsid w:val="00652D06"/>
    <w:rsid w:val="006541A2"/>
    <w:rsid w:val="0065425B"/>
    <w:rsid w:val="00657886"/>
    <w:rsid w:val="00657A36"/>
    <w:rsid w:val="00657D67"/>
    <w:rsid w:val="00657DF3"/>
    <w:rsid w:val="006605D5"/>
    <w:rsid w:val="00660CE3"/>
    <w:rsid w:val="00662088"/>
    <w:rsid w:val="00663882"/>
    <w:rsid w:val="0066416A"/>
    <w:rsid w:val="00667479"/>
    <w:rsid w:val="00667752"/>
    <w:rsid w:val="00667857"/>
    <w:rsid w:val="0066799E"/>
    <w:rsid w:val="00671819"/>
    <w:rsid w:val="00672C40"/>
    <w:rsid w:val="00675BDE"/>
    <w:rsid w:val="00675DAA"/>
    <w:rsid w:val="00677139"/>
    <w:rsid w:val="0067755D"/>
    <w:rsid w:val="006778FC"/>
    <w:rsid w:val="00677CA1"/>
    <w:rsid w:val="006804EF"/>
    <w:rsid w:val="00680C46"/>
    <w:rsid w:val="006817FC"/>
    <w:rsid w:val="00683972"/>
    <w:rsid w:val="00684A8A"/>
    <w:rsid w:val="00690893"/>
    <w:rsid w:val="00690ADA"/>
    <w:rsid w:val="00691B92"/>
    <w:rsid w:val="00695796"/>
    <w:rsid w:val="0069629C"/>
    <w:rsid w:val="00696A56"/>
    <w:rsid w:val="00697A22"/>
    <w:rsid w:val="006A02E5"/>
    <w:rsid w:val="006A488F"/>
    <w:rsid w:val="006A4FA1"/>
    <w:rsid w:val="006A57C7"/>
    <w:rsid w:val="006A6443"/>
    <w:rsid w:val="006A7F43"/>
    <w:rsid w:val="006B358D"/>
    <w:rsid w:val="006B436F"/>
    <w:rsid w:val="006B4EE0"/>
    <w:rsid w:val="006B5E8C"/>
    <w:rsid w:val="006C08F4"/>
    <w:rsid w:val="006C0AB3"/>
    <w:rsid w:val="006C147D"/>
    <w:rsid w:val="006C2A1F"/>
    <w:rsid w:val="006C2A4D"/>
    <w:rsid w:val="006C3C0B"/>
    <w:rsid w:val="006C3C18"/>
    <w:rsid w:val="006C44A7"/>
    <w:rsid w:val="006D1302"/>
    <w:rsid w:val="006D3C3E"/>
    <w:rsid w:val="006D4042"/>
    <w:rsid w:val="006D4B8F"/>
    <w:rsid w:val="006D696C"/>
    <w:rsid w:val="006E00E2"/>
    <w:rsid w:val="006E0447"/>
    <w:rsid w:val="006E1BBD"/>
    <w:rsid w:val="006E3206"/>
    <w:rsid w:val="006E4E35"/>
    <w:rsid w:val="006E50AD"/>
    <w:rsid w:val="006E5B91"/>
    <w:rsid w:val="006E6A9A"/>
    <w:rsid w:val="006E6B98"/>
    <w:rsid w:val="006E6EC8"/>
    <w:rsid w:val="006E7D6F"/>
    <w:rsid w:val="006E7DB7"/>
    <w:rsid w:val="006F2043"/>
    <w:rsid w:val="006F24D5"/>
    <w:rsid w:val="006F3A95"/>
    <w:rsid w:val="006F4149"/>
    <w:rsid w:val="006F527E"/>
    <w:rsid w:val="00700759"/>
    <w:rsid w:val="007011D4"/>
    <w:rsid w:val="0070344C"/>
    <w:rsid w:val="00703A37"/>
    <w:rsid w:val="00704701"/>
    <w:rsid w:val="00707515"/>
    <w:rsid w:val="00710458"/>
    <w:rsid w:val="007108C2"/>
    <w:rsid w:val="00712970"/>
    <w:rsid w:val="00714329"/>
    <w:rsid w:val="00715A6F"/>
    <w:rsid w:val="00716C44"/>
    <w:rsid w:val="00720C3B"/>
    <w:rsid w:val="007235AB"/>
    <w:rsid w:val="00726204"/>
    <w:rsid w:val="00727005"/>
    <w:rsid w:val="00727298"/>
    <w:rsid w:val="0073023C"/>
    <w:rsid w:val="00730F1F"/>
    <w:rsid w:val="007318CA"/>
    <w:rsid w:val="00731AA2"/>
    <w:rsid w:val="00732C93"/>
    <w:rsid w:val="007338D1"/>
    <w:rsid w:val="00734671"/>
    <w:rsid w:val="00736DE3"/>
    <w:rsid w:val="00736F1E"/>
    <w:rsid w:val="0073790D"/>
    <w:rsid w:val="00740728"/>
    <w:rsid w:val="0074091D"/>
    <w:rsid w:val="007409BD"/>
    <w:rsid w:val="0074295D"/>
    <w:rsid w:val="00743884"/>
    <w:rsid w:val="007450E3"/>
    <w:rsid w:val="0074638C"/>
    <w:rsid w:val="00746BC9"/>
    <w:rsid w:val="0075147F"/>
    <w:rsid w:val="00752C20"/>
    <w:rsid w:val="00753332"/>
    <w:rsid w:val="00753DE6"/>
    <w:rsid w:val="007542D5"/>
    <w:rsid w:val="00754728"/>
    <w:rsid w:val="007552D0"/>
    <w:rsid w:val="007554F1"/>
    <w:rsid w:val="00755AE1"/>
    <w:rsid w:val="0075647F"/>
    <w:rsid w:val="007607DC"/>
    <w:rsid w:val="00764898"/>
    <w:rsid w:val="00765299"/>
    <w:rsid w:val="0076560A"/>
    <w:rsid w:val="00765657"/>
    <w:rsid w:val="00773567"/>
    <w:rsid w:val="00774BFA"/>
    <w:rsid w:val="00774D6E"/>
    <w:rsid w:val="007750B9"/>
    <w:rsid w:val="00776473"/>
    <w:rsid w:val="007772DE"/>
    <w:rsid w:val="00782BA9"/>
    <w:rsid w:val="007855EA"/>
    <w:rsid w:val="00785FA3"/>
    <w:rsid w:val="007938F5"/>
    <w:rsid w:val="00793A3F"/>
    <w:rsid w:val="007966F9"/>
    <w:rsid w:val="0079799A"/>
    <w:rsid w:val="007A0086"/>
    <w:rsid w:val="007A0458"/>
    <w:rsid w:val="007A106C"/>
    <w:rsid w:val="007A2F41"/>
    <w:rsid w:val="007A54EB"/>
    <w:rsid w:val="007A6AD4"/>
    <w:rsid w:val="007B13C4"/>
    <w:rsid w:val="007B2A42"/>
    <w:rsid w:val="007B5920"/>
    <w:rsid w:val="007B5DDA"/>
    <w:rsid w:val="007C265E"/>
    <w:rsid w:val="007C37B9"/>
    <w:rsid w:val="007C5507"/>
    <w:rsid w:val="007C5AB6"/>
    <w:rsid w:val="007C6AA7"/>
    <w:rsid w:val="007C7D7E"/>
    <w:rsid w:val="007D0D14"/>
    <w:rsid w:val="007D1870"/>
    <w:rsid w:val="007D188D"/>
    <w:rsid w:val="007D355A"/>
    <w:rsid w:val="007D3AD0"/>
    <w:rsid w:val="007D43A6"/>
    <w:rsid w:val="007D5BB3"/>
    <w:rsid w:val="007D6B55"/>
    <w:rsid w:val="007E071D"/>
    <w:rsid w:val="007E1F7F"/>
    <w:rsid w:val="007E2408"/>
    <w:rsid w:val="007E3208"/>
    <w:rsid w:val="007E363B"/>
    <w:rsid w:val="007E3B6E"/>
    <w:rsid w:val="007E4590"/>
    <w:rsid w:val="007E60F5"/>
    <w:rsid w:val="007E6694"/>
    <w:rsid w:val="007E7084"/>
    <w:rsid w:val="007E7795"/>
    <w:rsid w:val="007E7CF0"/>
    <w:rsid w:val="007F0EDE"/>
    <w:rsid w:val="007F6AF3"/>
    <w:rsid w:val="00802277"/>
    <w:rsid w:val="008036F0"/>
    <w:rsid w:val="00803EDD"/>
    <w:rsid w:val="0080656D"/>
    <w:rsid w:val="0080759C"/>
    <w:rsid w:val="008132F1"/>
    <w:rsid w:val="0081686B"/>
    <w:rsid w:val="00816961"/>
    <w:rsid w:val="00816C48"/>
    <w:rsid w:val="0082198A"/>
    <w:rsid w:val="00821A4F"/>
    <w:rsid w:val="00822211"/>
    <w:rsid w:val="00825714"/>
    <w:rsid w:val="00825BD4"/>
    <w:rsid w:val="0082662C"/>
    <w:rsid w:val="00827969"/>
    <w:rsid w:val="0083020F"/>
    <w:rsid w:val="00832070"/>
    <w:rsid w:val="00832C35"/>
    <w:rsid w:val="00833371"/>
    <w:rsid w:val="00833503"/>
    <w:rsid w:val="00834600"/>
    <w:rsid w:val="008367F7"/>
    <w:rsid w:val="00836DF3"/>
    <w:rsid w:val="00840160"/>
    <w:rsid w:val="0084161F"/>
    <w:rsid w:val="00841A7D"/>
    <w:rsid w:val="008429CE"/>
    <w:rsid w:val="0084418A"/>
    <w:rsid w:val="00846C6A"/>
    <w:rsid w:val="00847E2F"/>
    <w:rsid w:val="00850B93"/>
    <w:rsid w:val="00853FF2"/>
    <w:rsid w:val="00854868"/>
    <w:rsid w:val="008560D6"/>
    <w:rsid w:val="00860A8B"/>
    <w:rsid w:val="00860C91"/>
    <w:rsid w:val="0086256C"/>
    <w:rsid w:val="0086291D"/>
    <w:rsid w:val="00862B62"/>
    <w:rsid w:val="00862F5F"/>
    <w:rsid w:val="008674A1"/>
    <w:rsid w:val="00867B70"/>
    <w:rsid w:val="008707E1"/>
    <w:rsid w:val="00871D13"/>
    <w:rsid w:val="00874867"/>
    <w:rsid w:val="00875566"/>
    <w:rsid w:val="00875686"/>
    <w:rsid w:val="008812C9"/>
    <w:rsid w:val="0088146E"/>
    <w:rsid w:val="00881AFB"/>
    <w:rsid w:val="00881F4F"/>
    <w:rsid w:val="00882A7D"/>
    <w:rsid w:val="00883922"/>
    <w:rsid w:val="008839D1"/>
    <w:rsid w:val="00884107"/>
    <w:rsid w:val="00886249"/>
    <w:rsid w:val="0088693E"/>
    <w:rsid w:val="00887C84"/>
    <w:rsid w:val="00890CE5"/>
    <w:rsid w:val="00891A04"/>
    <w:rsid w:val="00892077"/>
    <w:rsid w:val="00892B7D"/>
    <w:rsid w:val="00893A98"/>
    <w:rsid w:val="008962A8"/>
    <w:rsid w:val="00896603"/>
    <w:rsid w:val="00896B32"/>
    <w:rsid w:val="00896DFE"/>
    <w:rsid w:val="008970DF"/>
    <w:rsid w:val="00897622"/>
    <w:rsid w:val="00897CCF"/>
    <w:rsid w:val="008A3466"/>
    <w:rsid w:val="008A47AD"/>
    <w:rsid w:val="008A492D"/>
    <w:rsid w:val="008A731D"/>
    <w:rsid w:val="008B2E0C"/>
    <w:rsid w:val="008B352E"/>
    <w:rsid w:val="008B3690"/>
    <w:rsid w:val="008B4E2F"/>
    <w:rsid w:val="008B7A6C"/>
    <w:rsid w:val="008C0434"/>
    <w:rsid w:val="008C18F5"/>
    <w:rsid w:val="008C269D"/>
    <w:rsid w:val="008C3531"/>
    <w:rsid w:val="008C5FE8"/>
    <w:rsid w:val="008C6A12"/>
    <w:rsid w:val="008D1DB6"/>
    <w:rsid w:val="008D1DF1"/>
    <w:rsid w:val="008D5797"/>
    <w:rsid w:val="008E251E"/>
    <w:rsid w:val="008E37AB"/>
    <w:rsid w:val="008E527A"/>
    <w:rsid w:val="008E5446"/>
    <w:rsid w:val="008E63D3"/>
    <w:rsid w:val="008E665A"/>
    <w:rsid w:val="008E70CA"/>
    <w:rsid w:val="008F0113"/>
    <w:rsid w:val="008F03F6"/>
    <w:rsid w:val="008F0CF3"/>
    <w:rsid w:val="008F1FF6"/>
    <w:rsid w:val="008F3CBD"/>
    <w:rsid w:val="008F4D3D"/>
    <w:rsid w:val="008F77B9"/>
    <w:rsid w:val="00900614"/>
    <w:rsid w:val="009035D1"/>
    <w:rsid w:val="009037EB"/>
    <w:rsid w:val="009064A3"/>
    <w:rsid w:val="0091007C"/>
    <w:rsid w:val="009102C7"/>
    <w:rsid w:val="00910702"/>
    <w:rsid w:val="00911652"/>
    <w:rsid w:val="00914E34"/>
    <w:rsid w:val="00914FA4"/>
    <w:rsid w:val="00917550"/>
    <w:rsid w:val="00917588"/>
    <w:rsid w:val="00917B83"/>
    <w:rsid w:val="00917E6D"/>
    <w:rsid w:val="00921DF8"/>
    <w:rsid w:val="00921E72"/>
    <w:rsid w:val="00921F16"/>
    <w:rsid w:val="00922DA3"/>
    <w:rsid w:val="00924A13"/>
    <w:rsid w:val="00925B85"/>
    <w:rsid w:val="0092633D"/>
    <w:rsid w:val="009265D2"/>
    <w:rsid w:val="00927001"/>
    <w:rsid w:val="009305C3"/>
    <w:rsid w:val="00931030"/>
    <w:rsid w:val="009328C9"/>
    <w:rsid w:val="00932D04"/>
    <w:rsid w:val="00932DEA"/>
    <w:rsid w:val="0093341E"/>
    <w:rsid w:val="00935CBB"/>
    <w:rsid w:val="009369D3"/>
    <w:rsid w:val="009379D2"/>
    <w:rsid w:val="00937BE9"/>
    <w:rsid w:val="009408EA"/>
    <w:rsid w:val="009411D2"/>
    <w:rsid w:val="009416D8"/>
    <w:rsid w:val="00941A82"/>
    <w:rsid w:val="00942C41"/>
    <w:rsid w:val="00943D83"/>
    <w:rsid w:val="00944861"/>
    <w:rsid w:val="00944C2C"/>
    <w:rsid w:val="00945269"/>
    <w:rsid w:val="00945998"/>
    <w:rsid w:val="00946538"/>
    <w:rsid w:val="00947EDD"/>
    <w:rsid w:val="00950F51"/>
    <w:rsid w:val="0095412A"/>
    <w:rsid w:val="009604DE"/>
    <w:rsid w:val="00960626"/>
    <w:rsid w:val="00961284"/>
    <w:rsid w:val="00961CEC"/>
    <w:rsid w:val="00964482"/>
    <w:rsid w:val="00965593"/>
    <w:rsid w:val="00966F79"/>
    <w:rsid w:val="00970C9C"/>
    <w:rsid w:val="00971299"/>
    <w:rsid w:val="009729F6"/>
    <w:rsid w:val="00972BCB"/>
    <w:rsid w:val="00972E15"/>
    <w:rsid w:val="00973126"/>
    <w:rsid w:val="00974027"/>
    <w:rsid w:val="00975265"/>
    <w:rsid w:val="00975C85"/>
    <w:rsid w:val="00976D78"/>
    <w:rsid w:val="0098253A"/>
    <w:rsid w:val="00983514"/>
    <w:rsid w:val="009863CE"/>
    <w:rsid w:val="00986B8F"/>
    <w:rsid w:val="00990AE0"/>
    <w:rsid w:val="00992A41"/>
    <w:rsid w:val="00994ADC"/>
    <w:rsid w:val="00995DBB"/>
    <w:rsid w:val="009A0F25"/>
    <w:rsid w:val="009A2074"/>
    <w:rsid w:val="009A2AB4"/>
    <w:rsid w:val="009A5D10"/>
    <w:rsid w:val="009A658C"/>
    <w:rsid w:val="009B03F0"/>
    <w:rsid w:val="009B1063"/>
    <w:rsid w:val="009B11DC"/>
    <w:rsid w:val="009B1902"/>
    <w:rsid w:val="009B43EE"/>
    <w:rsid w:val="009B52C4"/>
    <w:rsid w:val="009B7581"/>
    <w:rsid w:val="009B7B24"/>
    <w:rsid w:val="009C1044"/>
    <w:rsid w:val="009C226E"/>
    <w:rsid w:val="009C27D3"/>
    <w:rsid w:val="009D0E87"/>
    <w:rsid w:val="009D1077"/>
    <w:rsid w:val="009D37C4"/>
    <w:rsid w:val="009D5D4B"/>
    <w:rsid w:val="009D634F"/>
    <w:rsid w:val="009E10A7"/>
    <w:rsid w:val="009E2E79"/>
    <w:rsid w:val="009E3376"/>
    <w:rsid w:val="009E3414"/>
    <w:rsid w:val="009E3798"/>
    <w:rsid w:val="009E3F9E"/>
    <w:rsid w:val="009E4C36"/>
    <w:rsid w:val="009E5157"/>
    <w:rsid w:val="009E5A60"/>
    <w:rsid w:val="009E7657"/>
    <w:rsid w:val="009E766F"/>
    <w:rsid w:val="009F0B02"/>
    <w:rsid w:val="009F2201"/>
    <w:rsid w:val="009F24ED"/>
    <w:rsid w:val="009F45AF"/>
    <w:rsid w:val="009F5178"/>
    <w:rsid w:val="009F55D9"/>
    <w:rsid w:val="009F6C85"/>
    <w:rsid w:val="009F78F5"/>
    <w:rsid w:val="00A00A81"/>
    <w:rsid w:val="00A01007"/>
    <w:rsid w:val="00A01099"/>
    <w:rsid w:val="00A0251A"/>
    <w:rsid w:val="00A03FE1"/>
    <w:rsid w:val="00A053FF"/>
    <w:rsid w:val="00A054B5"/>
    <w:rsid w:val="00A06B73"/>
    <w:rsid w:val="00A11B72"/>
    <w:rsid w:val="00A128D3"/>
    <w:rsid w:val="00A147CF"/>
    <w:rsid w:val="00A16158"/>
    <w:rsid w:val="00A210C1"/>
    <w:rsid w:val="00A21431"/>
    <w:rsid w:val="00A21609"/>
    <w:rsid w:val="00A23D03"/>
    <w:rsid w:val="00A23EC2"/>
    <w:rsid w:val="00A252D9"/>
    <w:rsid w:val="00A26C15"/>
    <w:rsid w:val="00A30187"/>
    <w:rsid w:val="00A30430"/>
    <w:rsid w:val="00A3154E"/>
    <w:rsid w:val="00A321A5"/>
    <w:rsid w:val="00A33089"/>
    <w:rsid w:val="00A33687"/>
    <w:rsid w:val="00A33691"/>
    <w:rsid w:val="00A3533D"/>
    <w:rsid w:val="00A36292"/>
    <w:rsid w:val="00A36C15"/>
    <w:rsid w:val="00A36CCC"/>
    <w:rsid w:val="00A36F2A"/>
    <w:rsid w:val="00A41DAB"/>
    <w:rsid w:val="00A41ECF"/>
    <w:rsid w:val="00A42404"/>
    <w:rsid w:val="00A42975"/>
    <w:rsid w:val="00A435EC"/>
    <w:rsid w:val="00A43653"/>
    <w:rsid w:val="00A43EC7"/>
    <w:rsid w:val="00A44F4E"/>
    <w:rsid w:val="00A459B3"/>
    <w:rsid w:val="00A46316"/>
    <w:rsid w:val="00A47CEF"/>
    <w:rsid w:val="00A51FCA"/>
    <w:rsid w:val="00A52AB6"/>
    <w:rsid w:val="00A53B3F"/>
    <w:rsid w:val="00A560BA"/>
    <w:rsid w:val="00A56873"/>
    <w:rsid w:val="00A60045"/>
    <w:rsid w:val="00A60815"/>
    <w:rsid w:val="00A62B4A"/>
    <w:rsid w:val="00A62E82"/>
    <w:rsid w:val="00A63141"/>
    <w:rsid w:val="00A632BC"/>
    <w:rsid w:val="00A6358A"/>
    <w:rsid w:val="00A63B2C"/>
    <w:rsid w:val="00A643BE"/>
    <w:rsid w:val="00A653E5"/>
    <w:rsid w:val="00A677D5"/>
    <w:rsid w:val="00A70A73"/>
    <w:rsid w:val="00A71A70"/>
    <w:rsid w:val="00A72E65"/>
    <w:rsid w:val="00A73CD4"/>
    <w:rsid w:val="00A76123"/>
    <w:rsid w:val="00A76B8A"/>
    <w:rsid w:val="00A77299"/>
    <w:rsid w:val="00A77A3A"/>
    <w:rsid w:val="00A8075C"/>
    <w:rsid w:val="00A83D78"/>
    <w:rsid w:val="00A9108F"/>
    <w:rsid w:val="00A91C40"/>
    <w:rsid w:val="00A928A3"/>
    <w:rsid w:val="00A96879"/>
    <w:rsid w:val="00A96E7D"/>
    <w:rsid w:val="00A96FA3"/>
    <w:rsid w:val="00A971CD"/>
    <w:rsid w:val="00AA1D4F"/>
    <w:rsid w:val="00AA366B"/>
    <w:rsid w:val="00AA3A88"/>
    <w:rsid w:val="00AA3E5F"/>
    <w:rsid w:val="00AA471D"/>
    <w:rsid w:val="00AA6D78"/>
    <w:rsid w:val="00AA746D"/>
    <w:rsid w:val="00AB1643"/>
    <w:rsid w:val="00AB18B5"/>
    <w:rsid w:val="00AB1C45"/>
    <w:rsid w:val="00AB29D2"/>
    <w:rsid w:val="00AB485A"/>
    <w:rsid w:val="00AC0E85"/>
    <w:rsid w:val="00AC28E7"/>
    <w:rsid w:val="00AC5004"/>
    <w:rsid w:val="00AD109A"/>
    <w:rsid w:val="00AD2CB4"/>
    <w:rsid w:val="00AD3D73"/>
    <w:rsid w:val="00AD415D"/>
    <w:rsid w:val="00AD5386"/>
    <w:rsid w:val="00AD680F"/>
    <w:rsid w:val="00AD7004"/>
    <w:rsid w:val="00AE0FFB"/>
    <w:rsid w:val="00AE1083"/>
    <w:rsid w:val="00AE1B34"/>
    <w:rsid w:val="00AE2F6D"/>
    <w:rsid w:val="00AE468C"/>
    <w:rsid w:val="00AE492B"/>
    <w:rsid w:val="00AE4F10"/>
    <w:rsid w:val="00AE6849"/>
    <w:rsid w:val="00AE7118"/>
    <w:rsid w:val="00AE7C34"/>
    <w:rsid w:val="00AF0215"/>
    <w:rsid w:val="00AF07EC"/>
    <w:rsid w:val="00AF07F5"/>
    <w:rsid w:val="00AF2C9B"/>
    <w:rsid w:val="00AF30F6"/>
    <w:rsid w:val="00AF373C"/>
    <w:rsid w:val="00AF3A39"/>
    <w:rsid w:val="00AF43CB"/>
    <w:rsid w:val="00AF4E62"/>
    <w:rsid w:val="00AF7629"/>
    <w:rsid w:val="00B0100C"/>
    <w:rsid w:val="00B011BD"/>
    <w:rsid w:val="00B01AA4"/>
    <w:rsid w:val="00B02D13"/>
    <w:rsid w:val="00B037F9"/>
    <w:rsid w:val="00B038B4"/>
    <w:rsid w:val="00B039EF"/>
    <w:rsid w:val="00B0765D"/>
    <w:rsid w:val="00B07AB7"/>
    <w:rsid w:val="00B11402"/>
    <w:rsid w:val="00B11F94"/>
    <w:rsid w:val="00B13496"/>
    <w:rsid w:val="00B1397C"/>
    <w:rsid w:val="00B13C7D"/>
    <w:rsid w:val="00B1587B"/>
    <w:rsid w:val="00B1745D"/>
    <w:rsid w:val="00B176BF"/>
    <w:rsid w:val="00B17E49"/>
    <w:rsid w:val="00B21A2A"/>
    <w:rsid w:val="00B24809"/>
    <w:rsid w:val="00B262DE"/>
    <w:rsid w:val="00B271A6"/>
    <w:rsid w:val="00B30BC3"/>
    <w:rsid w:val="00B315BB"/>
    <w:rsid w:val="00B3350D"/>
    <w:rsid w:val="00B34110"/>
    <w:rsid w:val="00B36C65"/>
    <w:rsid w:val="00B377A6"/>
    <w:rsid w:val="00B406E7"/>
    <w:rsid w:val="00B40B52"/>
    <w:rsid w:val="00B41139"/>
    <w:rsid w:val="00B422A4"/>
    <w:rsid w:val="00B42DB5"/>
    <w:rsid w:val="00B44D6D"/>
    <w:rsid w:val="00B46153"/>
    <w:rsid w:val="00B467BF"/>
    <w:rsid w:val="00B467D2"/>
    <w:rsid w:val="00B47E22"/>
    <w:rsid w:val="00B53544"/>
    <w:rsid w:val="00B57A68"/>
    <w:rsid w:val="00B57D4F"/>
    <w:rsid w:val="00B70A12"/>
    <w:rsid w:val="00B72BF5"/>
    <w:rsid w:val="00B73B19"/>
    <w:rsid w:val="00B7522D"/>
    <w:rsid w:val="00B753F0"/>
    <w:rsid w:val="00B75BC5"/>
    <w:rsid w:val="00B76DEB"/>
    <w:rsid w:val="00B80AB8"/>
    <w:rsid w:val="00B81875"/>
    <w:rsid w:val="00B85AE1"/>
    <w:rsid w:val="00B8657A"/>
    <w:rsid w:val="00B87509"/>
    <w:rsid w:val="00B905F8"/>
    <w:rsid w:val="00B91A32"/>
    <w:rsid w:val="00B91F66"/>
    <w:rsid w:val="00B94B62"/>
    <w:rsid w:val="00B970B9"/>
    <w:rsid w:val="00B97E3A"/>
    <w:rsid w:val="00BA0015"/>
    <w:rsid w:val="00BA365C"/>
    <w:rsid w:val="00BA3EAE"/>
    <w:rsid w:val="00BA405C"/>
    <w:rsid w:val="00BA44A4"/>
    <w:rsid w:val="00BA552D"/>
    <w:rsid w:val="00BA5C0E"/>
    <w:rsid w:val="00BA6489"/>
    <w:rsid w:val="00BA6F40"/>
    <w:rsid w:val="00BB56A9"/>
    <w:rsid w:val="00BB7BFC"/>
    <w:rsid w:val="00BC0A0E"/>
    <w:rsid w:val="00BC1C7C"/>
    <w:rsid w:val="00BC2CD0"/>
    <w:rsid w:val="00BC357E"/>
    <w:rsid w:val="00BC6E00"/>
    <w:rsid w:val="00BC6E2B"/>
    <w:rsid w:val="00BC7CC3"/>
    <w:rsid w:val="00BD1670"/>
    <w:rsid w:val="00BD2FE5"/>
    <w:rsid w:val="00BD6734"/>
    <w:rsid w:val="00BD7F38"/>
    <w:rsid w:val="00BE0161"/>
    <w:rsid w:val="00BE35C7"/>
    <w:rsid w:val="00BE3BC2"/>
    <w:rsid w:val="00BE42E5"/>
    <w:rsid w:val="00BE6908"/>
    <w:rsid w:val="00BF050A"/>
    <w:rsid w:val="00BF0E4D"/>
    <w:rsid w:val="00BF1060"/>
    <w:rsid w:val="00BF1DF0"/>
    <w:rsid w:val="00BF2F43"/>
    <w:rsid w:val="00BF4BE8"/>
    <w:rsid w:val="00BF5C64"/>
    <w:rsid w:val="00C0093A"/>
    <w:rsid w:val="00C013B4"/>
    <w:rsid w:val="00C0154C"/>
    <w:rsid w:val="00C01628"/>
    <w:rsid w:val="00C01DB5"/>
    <w:rsid w:val="00C04EEC"/>
    <w:rsid w:val="00C05256"/>
    <w:rsid w:val="00C075AF"/>
    <w:rsid w:val="00C075DB"/>
    <w:rsid w:val="00C07632"/>
    <w:rsid w:val="00C12C62"/>
    <w:rsid w:val="00C1675C"/>
    <w:rsid w:val="00C20250"/>
    <w:rsid w:val="00C212B2"/>
    <w:rsid w:val="00C216A2"/>
    <w:rsid w:val="00C21F13"/>
    <w:rsid w:val="00C22A48"/>
    <w:rsid w:val="00C22D61"/>
    <w:rsid w:val="00C2392E"/>
    <w:rsid w:val="00C23CAB"/>
    <w:rsid w:val="00C25664"/>
    <w:rsid w:val="00C2632A"/>
    <w:rsid w:val="00C26CE8"/>
    <w:rsid w:val="00C273F5"/>
    <w:rsid w:val="00C311CC"/>
    <w:rsid w:val="00C31AF6"/>
    <w:rsid w:val="00C32CD0"/>
    <w:rsid w:val="00C33817"/>
    <w:rsid w:val="00C33A2F"/>
    <w:rsid w:val="00C34A37"/>
    <w:rsid w:val="00C34C1B"/>
    <w:rsid w:val="00C35316"/>
    <w:rsid w:val="00C3601E"/>
    <w:rsid w:val="00C37864"/>
    <w:rsid w:val="00C41ADD"/>
    <w:rsid w:val="00C4520C"/>
    <w:rsid w:val="00C45476"/>
    <w:rsid w:val="00C45731"/>
    <w:rsid w:val="00C45AB6"/>
    <w:rsid w:val="00C4660E"/>
    <w:rsid w:val="00C46B5E"/>
    <w:rsid w:val="00C46CD5"/>
    <w:rsid w:val="00C47819"/>
    <w:rsid w:val="00C500BF"/>
    <w:rsid w:val="00C5091F"/>
    <w:rsid w:val="00C533C9"/>
    <w:rsid w:val="00C5519A"/>
    <w:rsid w:val="00C560A6"/>
    <w:rsid w:val="00C569B3"/>
    <w:rsid w:val="00C575BC"/>
    <w:rsid w:val="00C57B44"/>
    <w:rsid w:val="00C57FDE"/>
    <w:rsid w:val="00C60B15"/>
    <w:rsid w:val="00C62402"/>
    <w:rsid w:val="00C636EC"/>
    <w:rsid w:val="00C63E54"/>
    <w:rsid w:val="00C6404C"/>
    <w:rsid w:val="00C64654"/>
    <w:rsid w:val="00C70057"/>
    <w:rsid w:val="00C73BF0"/>
    <w:rsid w:val="00C7573C"/>
    <w:rsid w:val="00C762AF"/>
    <w:rsid w:val="00C76E4D"/>
    <w:rsid w:val="00C804D1"/>
    <w:rsid w:val="00C80B7E"/>
    <w:rsid w:val="00C8280C"/>
    <w:rsid w:val="00C851B1"/>
    <w:rsid w:val="00C85ECD"/>
    <w:rsid w:val="00C865E3"/>
    <w:rsid w:val="00C86C91"/>
    <w:rsid w:val="00C87A1C"/>
    <w:rsid w:val="00C90022"/>
    <w:rsid w:val="00C928B9"/>
    <w:rsid w:val="00C9505D"/>
    <w:rsid w:val="00C95EA2"/>
    <w:rsid w:val="00CA4660"/>
    <w:rsid w:val="00CA4D19"/>
    <w:rsid w:val="00CA5CA2"/>
    <w:rsid w:val="00CA7272"/>
    <w:rsid w:val="00CA72F6"/>
    <w:rsid w:val="00CB2096"/>
    <w:rsid w:val="00CB23E9"/>
    <w:rsid w:val="00CB3DAB"/>
    <w:rsid w:val="00CB44B8"/>
    <w:rsid w:val="00CB5B24"/>
    <w:rsid w:val="00CB720F"/>
    <w:rsid w:val="00CB7D4A"/>
    <w:rsid w:val="00CC0C05"/>
    <w:rsid w:val="00CC2677"/>
    <w:rsid w:val="00CC3E44"/>
    <w:rsid w:val="00CC633C"/>
    <w:rsid w:val="00CC6E88"/>
    <w:rsid w:val="00CD13B4"/>
    <w:rsid w:val="00CD2477"/>
    <w:rsid w:val="00CD24AE"/>
    <w:rsid w:val="00CD4033"/>
    <w:rsid w:val="00CD5F28"/>
    <w:rsid w:val="00CE17D9"/>
    <w:rsid w:val="00CE1D55"/>
    <w:rsid w:val="00CE201F"/>
    <w:rsid w:val="00CE29A5"/>
    <w:rsid w:val="00CE3914"/>
    <w:rsid w:val="00CE3D67"/>
    <w:rsid w:val="00CE438A"/>
    <w:rsid w:val="00CE55C1"/>
    <w:rsid w:val="00CE5ABD"/>
    <w:rsid w:val="00CE640A"/>
    <w:rsid w:val="00CE738C"/>
    <w:rsid w:val="00CF3C19"/>
    <w:rsid w:val="00CF4243"/>
    <w:rsid w:val="00CF55A9"/>
    <w:rsid w:val="00CF6698"/>
    <w:rsid w:val="00D01548"/>
    <w:rsid w:val="00D035E7"/>
    <w:rsid w:val="00D06503"/>
    <w:rsid w:val="00D06B6F"/>
    <w:rsid w:val="00D10A81"/>
    <w:rsid w:val="00D12F87"/>
    <w:rsid w:val="00D13C88"/>
    <w:rsid w:val="00D1514D"/>
    <w:rsid w:val="00D154DC"/>
    <w:rsid w:val="00D15765"/>
    <w:rsid w:val="00D1647A"/>
    <w:rsid w:val="00D1677C"/>
    <w:rsid w:val="00D16F22"/>
    <w:rsid w:val="00D17284"/>
    <w:rsid w:val="00D17892"/>
    <w:rsid w:val="00D2255B"/>
    <w:rsid w:val="00D22B4B"/>
    <w:rsid w:val="00D22F91"/>
    <w:rsid w:val="00D24889"/>
    <w:rsid w:val="00D25510"/>
    <w:rsid w:val="00D25FE3"/>
    <w:rsid w:val="00D31078"/>
    <w:rsid w:val="00D31569"/>
    <w:rsid w:val="00D324B6"/>
    <w:rsid w:val="00D3492C"/>
    <w:rsid w:val="00D354B4"/>
    <w:rsid w:val="00D36E36"/>
    <w:rsid w:val="00D40A68"/>
    <w:rsid w:val="00D41A4C"/>
    <w:rsid w:val="00D42B32"/>
    <w:rsid w:val="00D4724E"/>
    <w:rsid w:val="00D478F6"/>
    <w:rsid w:val="00D53DC2"/>
    <w:rsid w:val="00D57C88"/>
    <w:rsid w:val="00D60197"/>
    <w:rsid w:val="00D617CD"/>
    <w:rsid w:val="00D63602"/>
    <w:rsid w:val="00D65739"/>
    <w:rsid w:val="00D658C2"/>
    <w:rsid w:val="00D6590F"/>
    <w:rsid w:val="00D66508"/>
    <w:rsid w:val="00D666CC"/>
    <w:rsid w:val="00D71882"/>
    <w:rsid w:val="00D7429E"/>
    <w:rsid w:val="00D76377"/>
    <w:rsid w:val="00D776F5"/>
    <w:rsid w:val="00D80CB2"/>
    <w:rsid w:val="00D80D60"/>
    <w:rsid w:val="00D81124"/>
    <w:rsid w:val="00D8147D"/>
    <w:rsid w:val="00D81595"/>
    <w:rsid w:val="00D81D2B"/>
    <w:rsid w:val="00D81F31"/>
    <w:rsid w:val="00D84788"/>
    <w:rsid w:val="00D85114"/>
    <w:rsid w:val="00D87EA7"/>
    <w:rsid w:val="00D87FCC"/>
    <w:rsid w:val="00D9078F"/>
    <w:rsid w:val="00D917BD"/>
    <w:rsid w:val="00D9180E"/>
    <w:rsid w:val="00D97878"/>
    <w:rsid w:val="00D97C5D"/>
    <w:rsid w:val="00DA08AF"/>
    <w:rsid w:val="00DA0BC8"/>
    <w:rsid w:val="00DA0F4F"/>
    <w:rsid w:val="00DA1E35"/>
    <w:rsid w:val="00DA2F22"/>
    <w:rsid w:val="00DA362D"/>
    <w:rsid w:val="00DA501B"/>
    <w:rsid w:val="00DA59FB"/>
    <w:rsid w:val="00DA6168"/>
    <w:rsid w:val="00DA6F27"/>
    <w:rsid w:val="00DB0E10"/>
    <w:rsid w:val="00DB160E"/>
    <w:rsid w:val="00DB5406"/>
    <w:rsid w:val="00DB71A5"/>
    <w:rsid w:val="00DB71FC"/>
    <w:rsid w:val="00DB7695"/>
    <w:rsid w:val="00DC1D81"/>
    <w:rsid w:val="00DC48CB"/>
    <w:rsid w:val="00DC55EE"/>
    <w:rsid w:val="00DC5654"/>
    <w:rsid w:val="00DC5B1B"/>
    <w:rsid w:val="00DD200C"/>
    <w:rsid w:val="00DD24B0"/>
    <w:rsid w:val="00DD322C"/>
    <w:rsid w:val="00DD3636"/>
    <w:rsid w:val="00DD40CB"/>
    <w:rsid w:val="00DD438C"/>
    <w:rsid w:val="00DD46B2"/>
    <w:rsid w:val="00DD4897"/>
    <w:rsid w:val="00DD4EFD"/>
    <w:rsid w:val="00DD5499"/>
    <w:rsid w:val="00DD5E5C"/>
    <w:rsid w:val="00DD673B"/>
    <w:rsid w:val="00DD7128"/>
    <w:rsid w:val="00DD789B"/>
    <w:rsid w:val="00DE041F"/>
    <w:rsid w:val="00DE092B"/>
    <w:rsid w:val="00DE1C9F"/>
    <w:rsid w:val="00DE1CEC"/>
    <w:rsid w:val="00DE2A98"/>
    <w:rsid w:val="00DE3368"/>
    <w:rsid w:val="00DE418E"/>
    <w:rsid w:val="00DE4257"/>
    <w:rsid w:val="00DE5EF5"/>
    <w:rsid w:val="00DE6DA5"/>
    <w:rsid w:val="00DE797F"/>
    <w:rsid w:val="00DE7B6D"/>
    <w:rsid w:val="00DF055E"/>
    <w:rsid w:val="00DF0E6A"/>
    <w:rsid w:val="00DF507E"/>
    <w:rsid w:val="00DF5BE5"/>
    <w:rsid w:val="00DF5ED1"/>
    <w:rsid w:val="00DF7157"/>
    <w:rsid w:val="00DF7A8C"/>
    <w:rsid w:val="00E02268"/>
    <w:rsid w:val="00E027AC"/>
    <w:rsid w:val="00E03836"/>
    <w:rsid w:val="00E05460"/>
    <w:rsid w:val="00E05568"/>
    <w:rsid w:val="00E05578"/>
    <w:rsid w:val="00E06784"/>
    <w:rsid w:val="00E1074A"/>
    <w:rsid w:val="00E13862"/>
    <w:rsid w:val="00E13AD7"/>
    <w:rsid w:val="00E13C8E"/>
    <w:rsid w:val="00E1400D"/>
    <w:rsid w:val="00E158FC"/>
    <w:rsid w:val="00E160E1"/>
    <w:rsid w:val="00E168F1"/>
    <w:rsid w:val="00E20873"/>
    <w:rsid w:val="00E20DF5"/>
    <w:rsid w:val="00E218EF"/>
    <w:rsid w:val="00E21A33"/>
    <w:rsid w:val="00E23DE5"/>
    <w:rsid w:val="00E243B8"/>
    <w:rsid w:val="00E247EC"/>
    <w:rsid w:val="00E263B0"/>
    <w:rsid w:val="00E30ACC"/>
    <w:rsid w:val="00E339DA"/>
    <w:rsid w:val="00E3417B"/>
    <w:rsid w:val="00E35DE7"/>
    <w:rsid w:val="00E40456"/>
    <w:rsid w:val="00E40BEE"/>
    <w:rsid w:val="00E42D47"/>
    <w:rsid w:val="00E43287"/>
    <w:rsid w:val="00E45EE0"/>
    <w:rsid w:val="00E52719"/>
    <w:rsid w:val="00E5364F"/>
    <w:rsid w:val="00E536CB"/>
    <w:rsid w:val="00E557BF"/>
    <w:rsid w:val="00E57089"/>
    <w:rsid w:val="00E5784C"/>
    <w:rsid w:val="00E57A59"/>
    <w:rsid w:val="00E638A9"/>
    <w:rsid w:val="00E65055"/>
    <w:rsid w:val="00E65283"/>
    <w:rsid w:val="00E66403"/>
    <w:rsid w:val="00E66D29"/>
    <w:rsid w:val="00E673C6"/>
    <w:rsid w:val="00E70369"/>
    <w:rsid w:val="00E70D80"/>
    <w:rsid w:val="00E71527"/>
    <w:rsid w:val="00E717A7"/>
    <w:rsid w:val="00E72539"/>
    <w:rsid w:val="00E74403"/>
    <w:rsid w:val="00E75906"/>
    <w:rsid w:val="00E80E5A"/>
    <w:rsid w:val="00E81014"/>
    <w:rsid w:val="00E811F4"/>
    <w:rsid w:val="00E8169B"/>
    <w:rsid w:val="00E83195"/>
    <w:rsid w:val="00E865CD"/>
    <w:rsid w:val="00E9059E"/>
    <w:rsid w:val="00E915D4"/>
    <w:rsid w:val="00E92098"/>
    <w:rsid w:val="00E9441C"/>
    <w:rsid w:val="00E9452B"/>
    <w:rsid w:val="00E950E3"/>
    <w:rsid w:val="00E953AB"/>
    <w:rsid w:val="00E96A94"/>
    <w:rsid w:val="00E96B13"/>
    <w:rsid w:val="00EA1425"/>
    <w:rsid w:val="00EA3B29"/>
    <w:rsid w:val="00EA3D18"/>
    <w:rsid w:val="00EA462A"/>
    <w:rsid w:val="00EA635F"/>
    <w:rsid w:val="00EA6A0C"/>
    <w:rsid w:val="00EA6E35"/>
    <w:rsid w:val="00EB13B7"/>
    <w:rsid w:val="00EB3893"/>
    <w:rsid w:val="00EB3C97"/>
    <w:rsid w:val="00EB3EC3"/>
    <w:rsid w:val="00EB43C0"/>
    <w:rsid w:val="00EB494B"/>
    <w:rsid w:val="00EB49A6"/>
    <w:rsid w:val="00EB5303"/>
    <w:rsid w:val="00EB6B7D"/>
    <w:rsid w:val="00EC0301"/>
    <w:rsid w:val="00EC0DF6"/>
    <w:rsid w:val="00EC1BC1"/>
    <w:rsid w:val="00EC1CAE"/>
    <w:rsid w:val="00EC2263"/>
    <w:rsid w:val="00EC235D"/>
    <w:rsid w:val="00EC4186"/>
    <w:rsid w:val="00EC49D6"/>
    <w:rsid w:val="00EC4CE4"/>
    <w:rsid w:val="00EC6864"/>
    <w:rsid w:val="00EC6C3F"/>
    <w:rsid w:val="00ED05E5"/>
    <w:rsid w:val="00ED118C"/>
    <w:rsid w:val="00ED16A0"/>
    <w:rsid w:val="00ED56F1"/>
    <w:rsid w:val="00ED6125"/>
    <w:rsid w:val="00EE0AD4"/>
    <w:rsid w:val="00EE0F20"/>
    <w:rsid w:val="00EE19D3"/>
    <w:rsid w:val="00EE276F"/>
    <w:rsid w:val="00EE57FC"/>
    <w:rsid w:val="00EE791F"/>
    <w:rsid w:val="00EF161D"/>
    <w:rsid w:val="00EF1693"/>
    <w:rsid w:val="00EF1B55"/>
    <w:rsid w:val="00EF1E55"/>
    <w:rsid w:val="00EF3486"/>
    <w:rsid w:val="00EF3E15"/>
    <w:rsid w:val="00EF52E0"/>
    <w:rsid w:val="00EF56CE"/>
    <w:rsid w:val="00F015B1"/>
    <w:rsid w:val="00F01795"/>
    <w:rsid w:val="00F02474"/>
    <w:rsid w:val="00F033C7"/>
    <w:rsid w:val="00F0343C"/>
    <w:rsid w:val="00F04534"/>
    <w:rsid w:val="00F05E19"/>
    <w:rsid w:val="00F07619"/>
    <w:rsid w:val="00F10D07"/>
    <w:rsid w:val="00F13817"/>
    <w:rsid w:val="00F13A90"/>
    <w:rsid w:val="00F1421F"/>
    <w:rsid w:val="00F14955"/>
    <w:rsid w:val="00F150DD"/>
    <w:rsid w:val="00F17709"/>
    <w:rsid w:val="00F21366"/>
    <w:rsid w:val="00F21CC9"/>
    <w:rsid w:val="00F21EDE"/>
    <w:rsid w:val="00F2435C"/>
    <w:rsid w:val="00F2508B"/>
    <w:rsid w:val="00F2733B"/>
    <w:rsid w:val="00F27429"/>
    <w:rsid w:val="00F27468"/>
    <w:rsid w:val="00F27A02"/>
    <w:rsid w:val="00F32470"/>
    <w:rsid w:val="00F327D1"/>
    <w:rsid w:val="00F32CF5"/>
    <w:rsid w:val="00F3342C"/>
    <w:rsid w:val="00F336DA"/>
    <w:rsid w:val="00F33901"/>
    <w:rsid w:val="00F33F89"/>
    <w:rsid w:val="00F3403E"/>
    <w:rsid w:val="00F35B29"/>
    <w:rsid w:val="00F35FF6"/>
    <w:rsid w:val="00F369A7"/>
    <w:rsid w:val="00F36DB0"/>
    <w:rsid w:val="00F40181"/>
    <w:rsid w:val="00F41C19"/>
    <w:rsid w:val="00F428AB"/>
    <w:rsid w:val="00F43381"/>
    <w:rsid w:val="00F4392E"/>
    <w:rsid w:val="00F45A3A"/>
    <w:rsid w:val="00F47F39"/>
    <w:rsid w:val="00F5029F"/>
    <w:rsid w:val="00F507B9"/>
    <w:rsid w:val="00F50E4A"/>
    <w:rsid w:val="00F52C12"/>
    <w:rsid w:val="00F53953"/>
    <w:rsid w:val="00F54726"/>
    <w:rsid w:val="00F5503D"/>
    <w:rsid w:val="00F5624C"/>
    <w:rsid w:val="00F57F03"/>
    <w:rsid w:val="00F60CC8"/>
    <w:rsid w:val="00F6156F"/>
    <w:rsid w:val="00F62620"/>
    <w:rsid w:val="00F64A5E"/>
    <w:rsid w:val="00F665F4"/>
    <w:rsid w:val="00F67E5E"/>
    <w:rsid w:val="00F70BA8"/>
    <w:rsid w:val="00F722CE"/>
    <w:rsid w:val="00F7312F"/>
    <w:rsid w:val="00F752AE"/>
    <w:rsid w:val="00F7535E"/>
    <w:rsid w:val="00F76E35"/>
    <w:rsid w:val="00F801EA"/>
    <w:rsid w:val="00F80C13"/>
    <w:rsid w:val="00F810A8"/>
    <w:rsid w:val="00F837E0"/>
    <w:rsid w:val="00F83D1D"/>
    <w:rsid w:val="00F8452F"/>
    <w:rsid w:val="00F8527E"/>
    <w:rsid w:val="00F85FD5"/>
    <w:rsid w:val="00F865EE"/>
    <w:rsid w:val="00F87921"/>
    <w:rsid w:val="00F9078B"/>
    <w:rsid w:val="00F91C86"/>
    <w:rsid w:val="00F92254"/>
    <w:rsid w:val="00F92595"/>
    <w:rsid w:val="00F93126"/>
    <w:rsid w:val="00F93316"/>
    <w:rsid w:val="00F93A4C"/>
    <w:rsid w:val="00F93F92"/>
    <w:rsid w:val="00F95990"/>
    <w:rsid w:val="00F95AE7"/>
    <w:rsid w:val="00F96CC7"/>
    <w:rsid w:val="00F96CD1"/>
    <w:rsid w:val="00FA08FE"/>
    <w:rsid w:val="00FA2140"/>
    <w:rsid w:val="00FA2C23"/>
    <w:rsid w:val="00FA304C"/>
    <w:rsid w:val="00FA37A7"/>
    <w:rsid w:val="00FA3A60"/>
    <w:rsid w:val="00FA5826"/>
    <w:rsid w:val="00FA5896"/>
    <w:rsid w:val="00FA755B"/>
    <w:rsid w:val="00FA7630"/>
    <w:rsid w:val="00FB0410"/>
    <w:rsid w:val="00FB04B5"/>
    <w:rsid w:val="00FB0547"/>
    <w:rsid w:val="00FB0768"/>
    <w:rsid w:val="00FB16D0"/>
    <w:rsid w:val="00FB1ED8"/>
    <w:rsid w:val="00FB22D2"/>
    <w:rsid w:val="00FB2573"/>
    <w:rsid w:val="00FB2A1C"/>
    <w:rsid w:val="00FB4618"/>
    <w:rsid w:val="00FC1E11"/>
    <w:rsid w:val="00FC3098"/>
    <w:rsid w:val="00FC3E42"/>
    <w:rsid w:val="00FC4D2A"/>
    <w:rsid w:val="00FC55E2"/>
    <w:rsid w:val="00FC56D0"/>
    <w:rsid w:val="00FC62CB"/>
    <w:rsid w:val="00FC681E"/>
    <w:rsid w:val="00FC6ACE"/>
    <w:rsid w:val="00FC7475"/>
    <w:rsid w:val="00FC7A67"/>
    <w:rsid w:val="00FD0CA2"/>
    <w:rsid w:val="00FD2351"/>
    <w:rsid w:val="00FE22EC"/>
    <w:rsid w:val="00FE303C"/>
    <w:rsid w:val="00FE44DC"/>
    <w:rsid w:val="00FE47C7"/>
    <w:rsid w:val="00FE5C2B"/>
    <w:rsid w:val="00FE7881"/>
    <w:rsid w:val="00FF1463"/>
    <w:rsid w:val="00FF2510"/>
    <w:rsid w:val="00FF393A"/>
    <w:rsid w:val="032B053F"/>
    <w:rsid w:val="037B3E4C"/>
    <w:rsid w:val="08B84D5E"/>
    <w:rsid w:val="0FE30C1D"/>
    <w:rsid w:val="16550F32"/>
    <w:rsid w:val="23395957"/>
    <w:rsid w:val="27E22DFD"/>
    <w:rsid w:val="285A17C2"/>
    <w:rsid w:val="34CD7074"/>
    <w:rsid w:val="37355CB9"/>
    <w:rsid w:val="37EF1672"/>
    <w:rsid w:val="3E0456CC"/>
    <w:rsid w:val="476B2F51"/>
    <w:rsid w:val="50B01794"/>
    <w:rsid w:val="54055868"/>
    <w:rsid w:val="61775374"/>
    <w:rsid w:val="6A1D1DA5"/>
    <w:rsid w:val="6BB239D0"/>
    <w:rsid w:val="6D2B3C26"/>
    <w:rsid w:val="6DDB4A19"/>
    <w:rsid w:val="74E267D1"/>
    <w:rsid w:val="7EB443DF"/>
    <w:rsid w:val="7FFD0387"/>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99" w:name="toc 1"/>
    <w:lsdException w:unhideWhenUsed="0" w:uiPriority="99" w:name="toc 2"/>
    <w:lsdException w:unhideWhenUsed="0" w:uiPriority="99" w:name="toc 3"/>
    <w:lsdException w:qFormat="1" w:unhideWhenUsed="0" w:uiPriority="99" w:name="toc 4"/>
    <w:lsdException w:qFormat="1" w:unhideWhenUsed="0" w:uiPriority="99" w:name="toc 5"/>
    <w:lsdException w:unhideWhenUsed="0" w:uiPriority="99" w:name="toc 6"/>
    <w:lsdException w:unhideWhenUsed="0" w:uiPriority="99" w:name="toc 7"/>
    <w:lsdException w:unhideWhenUsed="0" w:uiPriority="99" w:name="toc 8"/>
    <w:lsdException w:unhideWhenUsed="0" w:uiPriority="99" w:name="toc 9"/>
    <w:lsdException w:uiPriority="99" w:name="Normal Indent" w:locked="1"/>
    <w:lsdException w:uiPriority="99" w:name="footnote text" w:locked="1"/>
    <w:lsdException w:qFormat="1" w:unhideWhenUsed="0" w:uiPriority="99" w:name="annotation text"/>
    <w:lsdException w:unhideWhenUsed="0" w:uiPriority="99" w:semiHidden="0" w:name="header"/>
    <w:lsdException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unhideWhenUsed="0" w:uiPriority="99" w:name="Default Paragraph Font"/>
    <w:lsdException w:uiPriority="99" w:name="Body Text" w:locked="1"/>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qFormat="1" w:unhideWhenUsed="0" w:uiPriority="99" w:semiHidden="0" w:name="Body Text 2"/>
    <w:lsdException w:uiPriority="99" w:name="Body Text 3" w:locked="1"/>
    <w:lsdException w:unhideWhenUsed="0" w:uiPriority="99" w:semiHidden="0" w:name="Body Text Indent 2"/>
    <w:lsdException w:uiPriority="99" w:name="Body Text Indent 3" w:locked="1"/>
    <w:lsdException w:uiPriority="99" w:name="Block Text" w:locked="1"/>
    <w:lsdException w:unhideWhenUsed="0" w:uiPriority="99" w:semiHidden="0" w:name="Hyperlink"/>
    <w:lsdException w:uiPriority="99" w:name="FollowedHyperlink" w:locked="1"/>
    <w:lsdException w:qFormat="1" w:unhideWhenUsed="0" w:uiPriority="99" w:semiHidden="0" w:name="Strong"/>
    <w:lsdException w:qFormat="1" w:unhideWhenUsed="0" w:uiPriority="0" w:semiHidden="0" w:name="Emphasis"/>
    <w:lsdException w:uiPriority="99" w:name="Document Map" w:locked="1"/>
    <w:lsdException w:unhideWhenUsed="0" w:uiPriority="99" w:semiHidden="0" w:name="Plain Text"/>
    <w:lsdException w:uiPriority="99" w:name="E-mail Signature" w:locked="1"/>
    <w:lsdException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nhideWhenUsed="0" w:uiPriority="99" w:name="Balloon Text"/>
    <w:lsdException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32"/>
    <w:qFormat/>
    <w:uiPriority w:val="99"/>
    <w:pPr>
      <w:keepNext/>
      <w:keepLines/>
      <w:spacing w:before="340" w:after="330" w:line="576" w:lineRule="auto"/>
      <w:outlineLvl w:val="0"/>
    </w:pPr>
    <w:rPr>
      <w:b/>
      <w:bCs/>
      <w:kern w:val="44"/>
      <w:sz w:val="44"/>
      <w:szCs w:val="44"/>
    </w:rPr>
  </w:style>
  <w:style w:type="paragraph" w:styleId="3">
    <w:name w:val="heading 2"/>
    <w:basedOn w:val="1"/>
    <w:next w:val="1"/>
    <w:link w:val="33"/>
    <w:qFormat/>
    <w:uiPriority w:val="99"/>
    <w:pPr>
      <w:keepNext/>
      <w:keepLines/>
      <w:spacing w:before="260" w:after="260" w:line="416" w:lineRule="auto"/>
      <w:outlineLvl w:val="1"/>
    </w:pPr>
    <w:rPr>
      <w:rFonts w:ascii="Arial" w:hAnsi="Arial" w:eastAsia="黑体" w:cs="Arial"/>
      <w:b/>
      <w:bCs/>
      <w:sz w:val="32"/>
      <w:szCs w:val="32"/>
    </w:rPr>
  </w:style>
  <w:style w:type="paragraph" w:styleId="4">
    <w:name w:val="heading 3"/>
    <w:basedOn w:val="1"/>
    <w:next w:val="1"/>
    <w:link w:val="34"/>
    <w:qFormat/>
    <w:uiPriority w:val="99"/>
    <w:pPr>
      <w:keepNext/>
      <w:keepLines/>
      <w:spacing w:before="260" w:after="260" w:line="416" w:lineRule="auto"/>
      <w:outlineLvl w:val="2"/>
    </w:pPr>
    <w:rPr>
      <w:b/>
      <w:bCs/>
      <w:sz w:val="32"/>
      <w:szCs w:val="32"/>
    </w:rPr>
  </w:style>
  <w:style w:type="paragraph" w:styleId="5">
    <w:name w:val="heading 4"/>
    <w:basedOn w:val="1"/>
    <w:next w:val="1"/>
    <w:link w:val="35"/>
    <w:qFormat/>
    <w:uiPriority w:val="99"/>
    <w:pPr>
      <w:keepNext/>
      <w:keepLines/>
      <w:spacing w:line="360" w:lineRule="auto"/>
      <w:jc w:val="left"/>
      <w:outlineLvl w:val="3"/>
    </w:pPr>
    <w:rPr>
      <w:sz w:val="24"/>
      <w:szCs w:val="24"/>
    </w:rPr>
  </w:style>
  <w:style w:type="character" w:default="1" w:styleId="27">
    <w:name w:val="Default Paragraph Font"/>
    <w:semiHidden/>
    <w:uiPriority w:val="99"/>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semiHidden/>
    <w:uiPriority w:val="99"/>
    <w:pPr>
      <w:ind w:left="1260"/>
      <w:jc w:val="left"/>
    </w:pPr>
    <w:rPr>
      <w:rFonts w:ascii="Calibri" w:hAnsi="Calibri" w:cs="Calibri"/>
      <w:sz w:val="18"/>
      <w:szCs w:val="18"/>
    </w:rPr>
  </w:style>
  <w:style w:type="paragraph" w:styleId="7">
    <w:name w:val="annotation text"/>
    <w:basedOn w:val="1"/>
    <w:link w:val="61"/>
    <w:semiHidden/>
    <w:qFormat/>
    <w:uiPriority w:val="99"/>
    <w:pPr>
      <w:jc w:val="left"/>
    </w:pPr>
  </w:style>
  <w:style w:type="paragraph" w:styleId="8">
    <w:name w:val="Body Text Indent"/>
    <w:basedOn w:val="1"/>
    <w:link w:val="45"/>
    <w:qFormat/>
    <w:uiPriority w:val="99"/>
    <w:pPr>
      <w:widowControl/>
      <w:spacing w:after="120"/>
      <w:ind w:left="420" w:leftChars="200"/>
      <w:jc w:val="left"/>
    </w:pPr>
  </w:style>
  <w:style w:type="paragraph" w:styleId="9">
    <w:name w:val="toc 5"/>
    <w:basedOn w:val="1"/>
    <w:next w:val="1"/>
    <w:autoRedefine/>
    <w:semiHidden/>
    <w:qFormat/>
    <w:uiPriority w:val="99"/>
    <w:pPr>
      <w:ind w:left="840"/>
      <w:jc w:val="left"/>
    </w:pPr>
    <w:rPr>
      <w:rFonts w:ascii="Calibri" w:hAnsi="Calibri" w:cs="Calibri"/>
      <w:sz w:val="18"/>
      <w:szCs w:val="18"/>
    </w:rPr>
  </w:style>
  <w:style w:type="paragraph" w:styleId="10">
    <w:name w:val="toc 3"/>
    <w:basedOn w:val="1"/>
    <w:next w:val="1"/>
    <w:autoRedefine/>
    <w:semiHidden/>
    <w:uiPriority w:val="99"/>
    <w:pPr>
      <w:ind w:firstLine="400" w:firstLineChars="400"/>
      <w:jc w:val="left"/>
    </w:pPr>
    <w:rPr>
      <w:rFonts w:ascii="Calibri" w:hAnsi="Calibri" w:cs="Calibri"/>
    </w:rPr>
  </w:style>
  <w:style w:type="paragraph" w:styleId="11">
    <w:name w:val="Plain Text"/>
    <w:basedOn w:val="1"/>
    <w:link w:val="46"/>
    <w:uiPriority w:val="99"/>
    <w:rPr>
      <w:rFonts w:ascii="宋体" w:hAnsi="Courier New" w:cs="宋体"/>
    </w:rPr>
  </w:style>
  <w:style w:type="paragraph" w:styleId="12">
    <w:name w:val="toc 8"/>
    <w:basedOn w:val="1"/>
    <w:next w:val="1"/>
    <w:autoRedefine/>
    <w:semiHidden/>
    <w:uiPriority w:val="99"/>
    <w:pPr>
      <w:ind w:left="1470"/>
      <w:jc w:val="left"/>
    </w:pPr>
    <w:rPr>
      <w:rFonts w:ascii="Calibri" w:hAnsi="Calibri" w:cs="Calibri"/>
      <w:sz w:val="18"/>
      <w:szCs w:val="18"/>
    </w:rPr>
  </w:style>
  <w:style w:type="paragraph" w:styleId="13">
    <w:name w:val="Body Text Indent 2"/>
    <w:basedOn w:val="1"/>
    <w:link w:val="47"/>
    <w:uiPriority w:val="99"/>
    <w:pPr>
      <w:spacing w:after="120" w:line="480" w:lineRule="auto"/>
      <w:ind w:left="420" w:leftChars="200"/>
    </w:pPr>
  </w:style>
  <w:style w:type="paragraph" w:styleId="14">
    <w:name w:val="Balloon Text"/>
    <w:basedOn w:val="1"/>
    <w:link w:val="48"/>
    <w:semiHidden/>
    <w:uiPriority w:val="99"/>
    <w:rPr>
      <w:sz w:val="18"/>
      <w:szCs w:val="18"/>
    </w:rPr>
  </w:style>
  <w:style w:type="paragraph" w:styleId="15">
    <w:name w:val="footer"/>
    <w:basedOn w:val="1"/>
    <w:link w:val="49"/>
    <w:uiPriority w:val="99"/>
    <w:pPr>
      <w:tabs>
        <w:tab w:val="center" w:pos="4153"/>
        <w:tab w:val="right" w:pos="8306"/>
      </w:tabs>
      <w:snapToGrid w:val="0"/>
      <w:jc w:val="left"/>
    </w:pPr>
    <w:rPr>
      <w:sz w:val="18"/>
      <w:szCs w:val="18"/>
    </w:rPr>
  </w:style>
  <w:style w:type="paragraph" w:styleId="16">
    <w:name w:val="header"/>
    <w:basedOn w:val="1"/>
    <w:link w:val="51"/>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semiHidden/>
    <w:uiPriority w:val="99"/>
    <w:pPr>
      <w:spacing w:before="120" w:after="120"/>
      <w:jc w:val="left"/>
    </w:pPr>
    <w:rPr>
      <w:rFonts w:ascii="Calibri" w:hAnsi="Calibri" w:eastAsia="方正小标宋简体" w:cs="Calibri"/>
      <w:caps/>
      <w:sz w:val="20"/>
      <w:szCs w:val="20"/>
    </w:rPr>
  </w:style>
  <w:style w:type="paragraph" w:styleId="18">
    <w:name w:val="toc 4"/>
    <w:basedOn w:val="1"/>
    <w:next w:val="1"/>
    <w:autoRedefine/>
    <w:semiHidden/>
    <w:qFormat/>
    <w:uiPriority w:val="99"/>
    <w:pPr>
      <w:ind w:left="630"/>
      <w:jc w:val="left"/>
    </w:pPr>
    <w:rPr>
      <w:rFonts w:ascii="Calibri" w:hAnsi="Calibri" w:cs="Calibri"/>
      <w:sz w:val="18"/>
      <w:szCs w:val="18"/>
    </w:rPr>
  </w:style>
  <w:style w:type="paragraph" w:styleId="19">
    <w:name w:val="toc 6"/>
    <w:basedOn w:val="1"/>
    <w:next w:val="1"/>
    <w:autoRedefine/>
    <w:semiHidden/>
    <w:uiPriority w:val="99"/>
    <w:pPr>
      <w:ind w:left="1050"/>
      <w:jc w:val="left"/>
    </w:pPr>
    <w:rPr>
      <w:rFonts w:ascii="Calibri" w:hAnsi="Calibri" w:cs="Calibri"/>
      <w:sz w:val="18"/>
      <w:szCs w:val="18"/>
    </w:rPr>
  </w:style>
  <w:style w:type="paragraph" w:styleId="20">
    <w:name w:val="toc 2"/>
    <w:basedOn w:val="1"/>
    <w:next w:val="1"/>
    <w:autoRedefine/>
    <w:semiHidden/>
    <w:uiPriority w:val="99"/>
    <w:pPr>
      <w:ind w:firstLine="200" w:firstLineChars="200"/>
      <w:jc w:val="left"/>
    </w:pPr>
    <w:rPr>
      <w:rFonts w:ascii="Calibri" w:hAnsi="Calibri" w:cs="Calibri"/>
      <w:smallCaps/>
    </w:rPr>
  </w:style>
  <w:style w:type="paragraph" w:styleId="21">
    <w:name w:val="toc 9"/>
    <w:basedOn w:val="1"/>
    <w:next w:val="1"/>
    <w:autoRedefine/>
    <w:semiHidden/>
    <w:uiPriority w:val="99"/>
    <w:pPr>
      <w:ind w:left="1680"/>
      <w:jc w:val="left"/>
    </w:pPr>
    <w:rPr>
      <w:rFonts w:ascii="Calibri" w:hAnsi="Calibri" w:cs="Calibri"/>
      <w:sz w:val="18"/>
      <w:szCs w:val="18"/>
    </w:rPr>
  </w:style>
  <w:style w:type="paragraph" w:styleId="22">
    <w:name w:val="Body Text 2"/>
    <w:basedOn w:val="1"/>
    <w:link w:val="53"/>
    <w:qFormat/>
    <w:uiPriority w:val="99"/>
    <w:pPr>
      <w:spacing w:line="360" w:lineRule="auto"/>
      <w:ind w:firstLine="200" w:firstLineChars="200"/>
    </w:pPr>
    <w:rPr>
      <w:sz w:val="24"/>
      <w:szCs w:val="24"/>
    </w:rPr>
  </w:style>
  <w:style w:type="paragraph" w:styleId="23">
    <w:name w:val="Normal (Web)"/>
    <w:basedOn w:val="1"/>
    <w:uiPriority w:val="99"/>
    <w:pPr>
      <w:widowControl/>
      <w:spacing w:before="51" w:after="129" w:line="480" w:lineRule="auto"/>
      <w:ind w:firstLine="360"/>
      <w:jc w:val="left"/>
    </w:pPr>
    <w:rPr>
      <w:rFonts w:ascii="宋体" w:hAnsi="宋体" w:cs="宋体"/>
      <w:color w:val="000000"/>
      <w:sz w:val="18"/>
      <w:szCs w:val="18"/>
    </w:rPr>
  </w:style>
  <w:style w:type="paragraph" w:styleId="24">
    <w:name w:val="Title"/>
    <w:basedOn w:val="1"/>
    <w:next w:val="1"/>
    <w:link w:val="50"/>
    <w:qFormat/>
    <w:uiPriority w:val="99"/>
    <w:pPr>
      <w:spacing w:before="240" w:after="60"/>
      <w:jc w:val="center"/>
      <w:outlineLvl w:val="0"/>
    </w:pPr>
    <w:rPr>
      <w:rFonts w:ascii="Cambria" w:hAnsi="Cambria" w:cs="Cambria"/>
      <w:b/>
      <w:bCs/>
      <w:sz w:val="32"/>
      <w:szCs w:val="32"/>
    </w:rPr>
  </w:style>
  <w:style w:type="table" w:styleId="26">
    <w:name w:val="Table Grid"/>
    <w:basedOn w:val="25"/>
    <w:uiPriority w:val="99"/>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99"/>
    <w:rPr>
      <w:b/>
      <w:bCs/>
    </w:rPr>
  </w:style>
  <w:style w:type="character" w:styleId="29">
    <w:name w:val="page number"/>
    <w:basedOn w:val="27"/>
    <w:uiPriority w:val="99"/>
  </w:style>
  <w:style w:type="character" w:styleId="30">
    <w:name w:val="Hyperlink"/>
    <w:basedOn w:val="27"/>
    <w:uiPriority w:val="99"/>
    <w:rPr>
      <w:color w:val="0000FF"/>
      <w:u w:val="single"/>
    </w:rPr>
  </w:style>
  <w:style w:type="character" w:styleId="31">
    <w:name w:val="annotation reference"/>
    <w:basedOn w:val="27"/>
    <w:semiHidden/>
    <w:qFormat/>
    <w:uiPriority w:val="99"/>
    <w:rPr>
      <w:sz w:val="21"/>
      <w:szCs w:val="21"/>
    </w:rPr>
  </w:style>
  <w:style w:type="character" w:customStyle="1" w:styleId="32">
    <w:name w:val="Heading 1 Char"/>
    <w:basedOn w:val="27"/>
    <w:link w:val="2"/>
    <w:locked/>
    <w:uiPriority w:val="99"/>
    <w:rPr>
      <w:b/>
      <w:bCs/>
      <w:kern w:val="44"/>
      <w:sz w:val="44"/>
      <w:szCs w:val="44"/>
    </w:rPr>
  </w:style>
  <w:style w:type="character" w:customStyle="1" w:styleId="33">
    <w:name w:val="Heading 2 Char"/>
    <w:basedOn w:val="27"/>
    <w:link w:val="3"/>
    <w:semiHidden/>
    <w:locked/>
    <w:uiPriority w:val="99"/>
    <w:rPr>
      <w:rFonts w:ascii="Cambria" w:hAnsi="Cambria" w:eastAsia="宋体" w:cs="Cambria"/>
      <w:b/>
      <w:bCs/>
      <w:sz w:val="32"/>
      <w:szCs w:val="32"/>
    </w:rPr>
  </w:style>
  <w:style w:type="character" w:customStyle="1" w:styleId="34">
    <w:name w:val="Heading 3 Char"/>
    <w:basedOn w:val="27"/>
    <w:link w:val="4"/>
    <w:semiHidden/>
    <w:locked/>
    <w:uiPriority w:val="99"/>
    <w:rPr>
      <w:b/>
      <w:bCs/>
      <w:sz w:val="32"/>
      <w:szCs w:val="32"/>
    </w:rPr>
  </w:style>
  <w:style w:type="character" w:customStyle="1" w:styleId="35">
    <w:name w:val="Heading 4 Char"/>
    <w:basedOn w:val="27"/>
    <w:link w:val="5"/>
    <w:semiHidden/>
    <w:locked/>
    <w:uiPriority w:val="99"/>
    <w:rPr>
      <w:rFonts w:ascii="Cambria" w:hAnsi="Cambria" w:eastAsia="宋体" w:cs="Cambria"/>
      <w:b/>
      <w:bCs/>
      <w:sz w:val="28"/>
      <w:szCs w:val="28"/>
    </w:rPr>
  </w:style>
  <w:style w:type="character" w:customStyle="1" w:styleId="36">
    <w:name w:val="Title Char"/>
    <w:link w:val="24"/>
    <w:locked/>
    <w:uiPriority w:val="99"/>
    <w:rPr>
      <w:rFonts w:ascii="Cambria" w:hAnsi="Cambria" w:cs="Cambria"/>
      <w:b/>
      <w:bCs/>
      <w:kern w:val="2"/>
      <w:sz w:val="32"/>
      <w:szCs w:val="32"/>
    </w:rPr>
  </w:style>
  <w:style w:type="character" w:customStyle="1" w:styleId="37">
    <w:name w:val="样式 标题 2 + Times New Roman 非加粗 Char"/>
    <w:basedOn w:val="38"/>
    <w:link w:val="39"/>
    <w:locked/>
    <w:uiPriority w:val="99"/>
    <w:rPr>
      <w:rFonts w:ascii="Arial" w:hAnsi="Arial" w:eastAsia="黑体" w:cs="Arial"/>
      <w:b/>
      <w:bCs/>
      <w:sz w:val="32"/>
      <w:szCs w:val="32"/>
      <w:lang w:val="en-US" w:eastAsia="zh-CN"/>
    </w:rPr>
  </w:style>
  <w:style w:type="character" w:customStyle="1" w:styleId="38">
    <w:name w:val="Footer Char"/>
    <w:link w:val="15"/>
    <w:qFormat/>
    <w:locked/>
    <w:uiPriority w:val="99"/>
    <w:rPr>
      <w:kern w:val="2"/>
      <w:sz w:val="18"/>
      <w:szCs w:val="18"/>
    </w:rPr>
  </w:style>
  <w:style w:type="paragraph" w:customStyle="1" w:styleId="39">
    <w:name w:val="样式 标题 2 + Times New Roman 非加粗"/>
    <w:basedOn w:val="3"/>
    <w:link w:val="37"/>
    <w:uiPriority w:val="99"/>
    <w:pPr>
      <w:spacing w:before="0" w:after="0" w:line="580" w:lineRule="exact"/>
      <w:ind w:firstLine="200" w:firstLineChars="200"/>
    </w:pPr>
  </w:style>
  <w:style w:type="character" w:customStyle="1" w:styleId="40">
    <w:name w:val="Header Char"/>
    <w:link w:val="16"/>
    <w:locked/>
    <w:uiPriority w:val="99"/>
    <w:rPr>
      <w:kern w:val="2"/>
      <w:sz w:val="18"/>
      <w:szCs w:val="18"/>
    </w:rPr>
  </w:style>
  <w:style w:type="character" w:customStyle="1" w:styleId="41">
    <w:name w:val="Balloon Text Char"/>
    <w:link w:val="14"/>
    <w:qFormat/>
    <w:locked/>
    <w:uiPriority w:val="99"/>
    <w:rPr>
      <w:kern w:val="2"/>
      <w:sz w:val="18"/>
      <w:szCs w:val="18"/>
    </w:rPr>
  </w:style>
  <w:style w:type="paragraph" w:customStyle="1" w:styleId="42">
    <w:name w:val="Char"/>
    <w:basedOn w:val="1"/>
    <w:uiPriority w:val="99"/>
    <w:pPr>
      <w:spacing w:line="360" w:lineRule="auto"/>
    </w:pPr>
    <w:rPr>
      <w:rFonts w:ascii="宋体" w:hAnsi="宋体" w:cs="宋体"/>
      <w:b/>
      <w:bCs/>
      <w:sz w:val="28"/>
      <w:szCs w:val="28"/>
    </w:rPr>
  </w:style>
  <w:style w:type="paragraph" w:customStyle="1" w:styleId="43">
    <w:name w:val="正文-第几条"/>
    <w:basedOn w:val="1"/>
    <w:uiPriority w:val="99"/>
    <w:pPr>
      <w:spacing w:line="360" w:lineRule="auto"/>
    </w:pPr>
    <w:rPr>
      <w:b/>
      <w:bCs/>
      <w:sz w:val="24"/>
      <w:szCs w:val="24"/>
    </w:rPr>
  </w:style>
  <w:style w:type="paragraph" w:customStyle="1" w:styleId="44">
    <w:name w:val="样式 样式 标题 3 + 首行缩进:  2 字符 + 首行缩进:  2 字符"/>
    <w:uiPriority w:val="99"/>
    <w:pPr>
      <w:spacing w:line="580" w:lineRule="exact"/>
    </w:pPr>
    <w:rPr>
      <w:rFonts w:ascii="Times New Roman" w:hAnsi="Times New Roman" w:eastAsia="宋体" w:cs="Times New Roman"/>
      <w:kern w:val="2"/>
      <w:sz w:val="20"/>
      <w:szCs w:val="20"/>
      <w:lang w:val="en-US" w:eastAsia="zh-CN" w:bidi="ar-SA"/>
    </w:rPr>
  </w:style>
  <w:style w:type="character" w:customStyle="1" w:styleId="45">
    <w:name w:val="Body Text Indent Char"/>
    <w:basedOn w:val="27"/>
    <w:link w:val="8"/>
    <w:semiHidden/>
    <w:locked/>
    <w:uiPriority w:val="99"/>
    <w:rPr>
      <w:sz w:val="21"/>
      <w:szCs w:val="21"/>
    </w:rPr>
  </w:style>
  <w:style w:type="character" w:customStyle="1" w:styleId="46">
    <w:name w:val="Plain Text Char"/>
    <w:basedOn w:val="27"/>
    <w:link w:val="11"/>
    <w:semiHidden/>
    <w:locked/>
    <w:uiPriority w:val="99"/>
    <w:rPr>
      <w:rFonts w:ascii="宋体" w:hAnsi="Courier New" w:cs="宋体"/>
      <w:sz w:val="21"/>
      <w:szCs w:val="21"/>
    </w:rPr>
  </w:style>
  <w:style w:type="character" w:customStyle="1" w:styleId="47">
    <w:name w:val="Body Text Indent 2 Char"/>
    <w:basedOn w:val="27"/>
    <w:link w:val="13"/>
    <w:semiHidden/>
    <w:locked/>
    <w:uiPriority w:val="99"/>
    <w:rPr>
      <w:sz w:val="21"/>
      <w:szCs w:val="21"/>
    </w:rPr>
  </w:style>
  <w:style w:type="character" w:customStyle="1" w:styleId="48">
    <w:name w:val="Balloon Text Char1"/>
    <w:basedOn w:val="27"/>
    <w:link w:val="14"/>
    <w:semiHidden/>
    <w:locked/>
    <w:uiPriority w:val="99"/>
    <w:rPr>
      <w:sz w:val="2"/>
      <w:szCs w:val="2"/>
    </w:rPr>
  </w:style>
  <w:style w:type="character" w:customStyle="1" w:styleId="49">
    <w:name w:val="Footer Char1"/>
    <w:basedOn w:val="27"/>
    <w:link w:val="15"/>
    <w:semiHidden/>
    <w:qFormat/>
    <w:locked/>
    <w:uiPriority w:val="99"/>
    <w:rPr>
      <w:sz w:val="18"/>
      <w:szCs w:val="18"/>
    </w:rPr>
  </w:style>
  <w:style w:type="character" w:customStyle="1" w:styleId="50">
    <w:name w:val="Title Char1"/>
    <w:basedOn w:val="27"/>
    <w:link w:val="24"/>
    <w:locked/>
    <w:uiPriority w:val="99"/>
    <w:rPr>
      <w:rFonts w:ascii="Cambria" w:hAnsi="Cambria" w:cs="Cambria"/>
      <w:b/>
      <w:bCs/>
      <w:sz w:val="32"/>
      <w:szCs w:val="32"/>
    </w:rPr>
  </w:style>
  <w:style w:type="character" w:customStyle="1" w:styleId="51">
    <w:name w:val="Header Char1"/>
    <w:basedOn w:val="27"/>
    <w:link w:val="16"/>
    <w:semiHidden/>
    <w:qFormat/>
    <w:locked/>
    <w:uiPriority w:val="99"/>
    <w:rPr>
      <w:sz w:val="18"/>
      <w:szCs w:val="18"/>
    </w:rPr>
  </w:style>
  <w:style w:type="paragraph" w:customStyle="1" w:styleId="52">
    <w:name w:val="表格"/>
    <w:basedOn w:val="1"/>
    <w:uiPriority w:val="99"/>
    <w:pPr>
      <w:jc w:val="center"/>
    </w:pPr>
  </w:style>
  <w:style w:type="character" w:customStyle="1" w:styleId="53">
    <w:name w:val="Body Text 2 Char"/>
    <w:basedOn w:val="27"/>
    <w:link w:val="22"/>
    <w:semiHidden/>
    <w:locked/>
    <w:uiPriority w:val="99"/>
    <w:rPr>
      <w:sz w:val="21"/>
      <w:szCs w:val="21"/>
    </w:rPr>
  </w:style>
  <w:style w:type="paragraph" w:customStyle="1" w:styleId="54">
    <w:name w:val="样式 样式 样式 标题 3 + 段前: 0.5 行 段后: 0.5 行 + 段前: 0.3 行 段后: 0.3 行 + 段前: ..."/>
    <w:basedOn w:val="1"/>
    <w:uiPriority w:val="99"/>
    <w:pPr>
      <w:keepNext/>
      <w:keepLines/>
      <w:spacing w:beforeLines="50" w:afterLines="50" w:line="360" w:lineRule="auto"/>
      <w:outlineLvl w:val="2"/>
    </w:pPr>
    <w:rPr>
      <w:rFonts w:ascii="宋体" w:hAnsi="宋体" w:cs="宋体"/>
      <w:sz w:val="24"/>
      <w:szCs w:val="24"/>
    </w:rPr>
  </w:style>
  <w:style w:type="paragraph" w:styleId="55">
    <w:name w:val="List Paragraph"/>
    <w:basedOn w:val="1"/>
    <w:qFormat/>
    <w:uiPriority w:val="99"/>
    <w:pPr>
      <w:widowControl/>
      <w:ind w:firstLine="420" w:firstLineChars="200"/>
      <w:jc w:val="left"/>
    </w:pPr>
    <w:rPr>
      <w:rFonts w:ascii="Calibri" w:hAnsi="Calibri" w:cs="Calibri"/>
      <w:sz w:val="20"/>
      <w:szCs w:val="20"/>
    </w:rPr>
  </w:style>
  <w:style w:type="paragraph" w:customStyle="1" w:styleId="56">
    <w:name w:val="p0"/>
    <w:uiPriority w:val="99"/>
    <w:rPr>
      <w:rFonts w:ascii="Times New Roman" w:hAnsi="Times New Roman" w:eastAsia="宋体" w:cs="Times New Roman"/>
      <w:kern w:val="2"/>
      <w:sz w:val="20"/>
      <w:szCs w:val="20"/>
      <w:lang w:val="en-US" w:eastAsia="zh-CN" w:bidi="ar-SA"/>
    </w:rPr>
  </w:style>
  <w:style w:type="paragraph" w:customStyle="1" w:styleId="57">
    <w:name w:val="Char1"/>
    <w:basedOn w:val="1"/>
    <w:uiPriority w:val="99"/>
    <w:pPr>
      <w:widowControl/>
      <w:spacing w:after="160" w:line="240" w:lineRule="exact"/>
      <w:jc w:val="left"/>
    </w:pPr>
  </w:style>
  <w:style w:type="paragraph" w:customStyle="1" w:styleId="58">
    <w:name w:val="2013"/>
    <w:basedOn w:val="1"/>
    <w:qFormat/>
    <w:uiPriority w:val="99"/>
    <w:pPr>
      <w:spacing w:line="360" w:lineRule="auto"/>
      <w:ind w:firstLine="200" w:firstLineChars="200"/>
    </w:pPr>
    <w:rPr>
      <w:sz w:val="24"/>
      <w:szCs w:val="24"/>
    </w:rPr>
  </w:style>
  <w:style w:type="paragraph" w:customStyle="1" w:styleId="59">
    <w:name w:val="池州文本 一般样式 非强制"/>
    <w:basedOn w:val="1"/>
    <w:uiPriority w:val="99"/>
    <w:pPr>
      <w:spacing w:line="360" w:lineRule="auto"/>
      <w:ind w:firstLine="480"/>
    </w:pPr>
    <w:rPr>
      <w:sz w:val="24"/>
      <w:szCs w:val="24"/>
    </w:rPr>
  </w:style>
  <w:style w:type="paragraph" w:customStyle="1" w:styleId="60">
    <w:name w:val="Char Char Char"/>
    <w:basedOn w:val="1"/>
    <w:uiPriority w:val="99"/>
  </w:style>
  <w:style w:type="character" w:customStyle="1" w:styleId="61">
    <w:name w:val="Comment Text Char"/>
    <w:basedOn w:val="27"/>
    <w:link w:val="7"/>
    <w:semiHidden/>
    <w:locked/>
    <w:uiPriority w:val="99"/>
    <w:rPr>
      <w:kern w:val="2"/>
      <w:sz w:val="21"/>
      <w:szCs w:val="21"/>
    </w:rPr>
  </w:style>
  <w:style w:type="paragraph" w:customStyle="1" w:styleId="62">
    <w:name w:val="样式 样式 样式 标题 3 + 首行缩进:  2 字符 + 首行缩进:  2 字符 + 首行缩进:  2 字符"/>
    <w:basedOn w:val="44"/>
    <w:uiPriority w:val="99"/>
    <w:pPr>
      <w:keepNext/>
      <w:keepLines/>
      <w:widowControl w:val="0"/>
      <w:ind w:firstLine="602" w:firstLineChars="200"/>
      <w:jc w:val="both"/>
      <w:outlineLvl w:val="2"/>
    </w:pPr>
    <w:rPr>
      <w:rFonts w:eastAsia="仿宋_GB2312"/>
      <w:b/>
      <w:bCs/>
      <w:sz w:val="32"/>
      <w:szCs w:val="32"/>
    </w:rPr>
  </w:style>
  <w:style w:type="character" w:customStyle="1" w:styleId="63">
    <w:name w:val="apple-converted-space"/>
    <w:basedOn w:val="27"/>
    <w:qFormat/>
    <w:uiPriority w:val="99"/>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1.png"/><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image" Target="media/image6.jpeg"/><Relationship Id="rId15" Type="http://schemas.openxmlformats.org/officeDocument/2006/relationships/image" Target="media/image5.jpeg"/><Relationship Id="rId14" Type="http://schemas.openxmlformats.org/officeDocument/2006/relationships/image" Target="media/image4.png"/><Relationship Id="rId13" Type="http://schemas.openxmlformats.org/officeDocument/2006/relationships/oleObject" Target="embeddings/oleObject4.bin"/><Relationship Id="rId12" Type="http://schemas.openxmlformats.org/officeDocument/2006/relationships/image" Target="media/image3.png"/><Relationship Id="rId11" Type="http://schemas.openxmlformats.org/officeDocument/2006/relationships/oleObject" Target="embeddings/oleObject3.bin"/><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微软中国</Company>
  <Pages>134</Pages>
  <Words>7766</Words>
  <Characters>8199</Characters>
  <Lines>0</Lines>
  <Paragraphs>0</Paragraphs>
  <TotalTime>143</TotalTime>
  <ScaleCrop>false</ScaleCrop>
  <LinksUpToDate>false</LinksUpToDate>
  <CharactersWithSpaces>8806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2016-04-21T12:09:00Z</dcterms:created>
  <dc:creator>Administrator</dc:creator>
  <cp:lastModifiedBy>KevinWang</cp:lastModifiedBy>
  <cp:lastPrinted>2016-11-02T03:36:00Z</cp:lastPrinted>
  <dcterms:modified xsi:type="dcterms:W3CDTF">2025-07-29T08:32:49Z</dcterms:modified>
  <dc:title>池州市贵池区国民经济和社会发展第十三个五年规划纲要</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eyJoZGlkIjoiODA3NjI2MGJiYjM3OGNiMGY2ZDA3ZGZlMDZkNmIzODkiLCJ1c2VySWQiOiIxMDYzNTUxMjk3In0=</vt:lpwstr>
  </property>
  <property fmtid="{D5CDD505-2E9C-101B-9397-08002B2CF9AE}" pid="4" name="ICV">
    <vt:lpwstr>4E7B69F7EF1C407C9D5B0897F7D35312_12</vt:lpwstr>
  </property>
</Properties>
</file>