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D2B361">
      <w:pPr>
        <w:pStyle w:val="3"/>
        <w:keepNext w:val="0"/>
        <w:keepLines w:val="0"/>
        <w:pageBreakBefore w:val="0"/>
        <w:widowControl w:val="0"/>
        <w:kinsoku/>
        <w:wordWrap/>
        <w:overflowPunct/>
        <w:topLinePunct w:val="0"/>
        <w:bidi w:val="0"/>
        <w:adjustRightInd/>
        <w:snapToGrid/>
        <w:spacing w:line="600" w:lineRule="exact"/>
        <w:textAlignment w:val="auto"/>
        <w:rPr>
          <w:color w:val="auto"/>
          <w:spacing w:val="0"/>
          <w:w w:val="100"/>
          <w:sz w:val="40"/>
          <w:szCs w:val="40"/>
          <w:highlight w:val="none"/>
          <w:u w:val="none"/>
        </w:rPr>
      </w:pPr>
      <w:r>
        <w:rPr>
          <w:rFonts w:hint="eastAsia"/>
          <w:color w:val="auto"/>
          <w:spacing w:val="0"/>
          <w:w w:val="100"/>
          <w:sz w:val="40"/>
          <w:szCs w:val="40"/>
          <w:highlight w:val="none"/>
          <w:u w:val="none"/>
          <w:lang w:val="en-US" w:eastAsia="zh-CN"/>
        </w:rPr>
        <w:t>·</w:t>
      </w:r>
      <w:bookmarkStart w:id="0" w:name="_GoBack"/>
      <w:r>
        <w:rPr>
          <w:rFonts w:hint="eastAsia"/>
          <w:color w:val="auto"/>
          <w:spacing w:val="0"/>
          <w:w w:val="100"/>
          <w:sz w:val="40"/>
          <w:szCs w:val="40"/>
          <w:highlight w:val="none"/>
          <w:u w:val="none"/>
          <w:lang w:val="en-US" w:eastAsia="zh-CN"/>
        </w:rPr>
        <w:t>池州市贵池区</w:t>
      </w:r>
      <w:r>
        <w:rPr>
          <w:color w:val="auto"/>
          <w:spacing w:val="0"/>
          <w:w w:val="100"/>
          <w:sz w:val="40"/>
          <w:szCs w:val="40"/>
          <w:highlight w:val="none"/>
          <w:u w:val="none"/>
        </w:rPr>
        <w:t>本级政府投资管理办法</w:t>
      </w:r>
    </w:p>
    <w:bookmarkEnd w:id="0"/>
    <w:p w14:paraId="40C18065">
      <w:pPr>
        <w:keepNext w:val="0"/>
        <w:keepLines w:val="0"/>
        <w:pageBreakBefore w:val="0"/>
        <w:widowControl w:val="0"/>
        <w:kinsoku/>
        <w:wordWrap/>
        <w:overflowPunct/>
        <w:topLinePunct w:val="0"/>
        <w:bidi w:val="0"/>
        <w:adjustRightInd/>
        <w:snapToGrid/>
        <w:spacing w:line="600" w:lineRule="exact"/>
        <w:jc w:val="center"/>
        <w:textAlignment w:val="auto"/>
        <w:rPr>
          <w:rFonts w:hint="eastAsia" w:ascii="楷体_GB2312" w:hAnsi="楷体_GB2312" w:eastAsia="楷体_GB2312" w:cs="楷体_GB2312"/>
          <w:b/>
          <w:bCs/>
          <w:color w:val="auto"/>
          <w:spacing w:val="0"/>
          <w:w w:val="100"/>
          <w:sz w:val="32"/>
          <w:szCs w:val="32"/>
          <w:highlight w:val="none"/>
          <w:u w:val="none"/>
          <w:lang w:eastAsia="zh-CN"/>
        </w:rPr>
      </w:pPr>
      <w:r>
        <w:rPr>
          <w:rFonts w:hint="eastAsia" w:ascii="楷体_GB2312" w:hAnsi="楷体_GB2312" w:eastAsia="楷体_GB2312" w:cs="楷体_GB2312"/>
          <w:b/>
          <w:bCs/>
          <w:color w:val="auto"/>
          <w:spacing w:val="0"/>
          <w:w w:val="100"/>
          <w:sz w:val="32"/>
          <w:szCs w:val="32"/>
          <w:highlight w:val="none"/>
          <w:u w:val="none"/>
          <w:lang w:eastAsia="zh-CN"/>
        </w:rPr>
        <w:t>（</w:t>
      </w:r>
      <w:r>
        <w:rPr>
          <w:rFonts w:hint="eastAsia" w:ascii="楷体_GB2312" w:hAnsi="楷体_GB2312" w:eastAsia="楷体_GB2312" w:cs="楷体_GB2312"/>
          <w:b/>
          <w:bCs/>
          <w:color w:val="auto"/>
          <w:spacing w:val="0"/>
          <w:w w:val="100"/>
          <w:sz w:val="32"/>
          <w:szCs w:val="32"/>
          <w:highlight w:val="none"/>
          <w:u w:val="none"/>
          <w:lang w:val="en-US" w:eastAsia="zh-CN"/>
        </w:rPr>
        <w:t>征求意见</w:t>
      </w:r>
      <w:r>
        <w:rPr>
          <w:rFonts w:hint="eastAsia" w:ascii="楷体_GB2312" w:hAnsi="楷体_GB2312" w:eastAsia="楷体_GB2312" w:cs="楷体_GB2312"/>
          <w:b/>
          <w:bCs/>
          <w:color w:val="auto"/>
          <w:spacing w:val="0"/>
          <w:w w:val="100"/>
          <w:sz w:val="32"/>
          <w:szCs w:val="32"/>
          <w:highlight w:val="none"/>
          <w:u w:val="none"/>
          <w:lang w:eastAsia="zh-CN"/>
        </w:rPr>
        <w:t>稿）</w:t>
      </w:r>
    </w:p>
    <w:p w14:paraId="6D47DC08">
      <w:pPr>
        <w:pStyle w:val="2"/>
        <w:keepNext w:val="0"/>
        <w:keepLines w:val="0"/>
        <w:pageBreakBefore w:val="0"/>
        <w:widowControl w:val="0"/>
        <w:tabs>
          <w:tab w:val="left" w:pos="1439"/>
          <w:tab w:val="left" w:pos="2159"/>
        </w:tabs>
        <w:kinsoku/>
        <w:wordWrap/>
        <w:overflowPunct/>
        <w:topLinePunct w:val="0"/>
        <w:autoSpaceDE w:val="0"/>
        <w:autoSpaceDN w:val="0"/>
        <w:bidi w:val="0"/>
        <w:adjustRightInd/>
        <w:snapToGrid/>
        <w:spacing w:before="0" w:after="0" w:line="600" w:lineRule="exact"/>
        <w:ind w:left="0" w:right="0" w:firstLine="0"/>
        <w:textAlignment w:val="auto"/>
        <w:rPr>
          <w:color w:val="auto"/>
          <w:spacing w:val="0"/>
          <w:w w:val="100"/>
          <w:highlight w:val="none"/>
          <w:u w:val="none"/>
        </w:rPr>
      </w:pPr>
    </w:p>
    <w:p w14:paraId="54CA4B98">
      <w:pPr>
        <w:pStyle w:val="2"/>
        <w:keepNext w:val="0"/>
        <w:keepLines w:val="0"/>
        <w:pageBreakBefore w:val="0"/>
        <w:widowControl w:val="0"/>
        <w:tabs>
          <w:tab w:val="left" w:pos="1439"/>
          <w:tab w:val="left" w:pos="2159"/>
        </w:tabs>
        <w:kinsoku/>
        <w:wordWrap/>
        <w:overflowPunct/>
        <w:topLinePunct w:val="0"/>
        <w:autoSpaceDE w:val="0"/>
        <w:autoSpaceDN w:val="0"/>
        <w:bidi w:val="0"/>
        <w:adjustRightInd/>
        <w:snapToGrid/>
        <w:spacing w:before="0" w:after="0" w:line="580" w:lineRule="exact"/>
        <w:ind w:right="0"/>
        <w:jc w:val="center"/>
        <w:textAlignment w:val="auto"/>
        <w:rPr>
          <w:rFonts w:hint="eastAsia" w:ascii="楷体_GB2312" w:hAnsi="楷体_GB2312" w:eastAsia="楷体_GB2312" w:cs="楷体_GB2312"/>
          <w:color w:val="auto"/>
          <w:spacing w:val="0"/>
          <w:w w:val="100"/>
          <w:highlight w:val="none"/>
          <w:u w:val="none"/>
        </w:rPr>
      </w:pPr>
      <w:r>
        <w:rPr>
          <w:rFonts w:hint="eastAsia" w:ascii="楷体_GB2312" w:hAnsi="楷体_GB2312" w:eastAsia="楷体_GB2312" w:cs="楷体_GB2312"/>
          <w:color w:val="auto"/>
          <w:spacing w:val="0"/>
          <w:w w:val="100"/>
          <w:highlight w:val="none"/>
          <w:u w:val="none"/>
        </w:rPr>
        <w:t>第一章</w:t>
      </w:r>
      <w:r>
        <w:rPr>
          <w:rFonts w:hint="eastAsia" w:ascii="楷体_GB2312" w:hAnsi="楷体_GB2312" w:eastAsia="楷体_GB2312" w:cs="楷体_GB2312"/>
          <w:color w:val="auto"/>
          <w:spacing w:val="0"/>
          <w:w w:val="100"/>
          <w:highlight w:val="none"/>
          <w:u w:val="none"/>
          <w:lang w:val="en-US" w:eastAsia="zh-CN"/>
        </w:rPr>
        <w:t xml:space="preserve">  </w:t>
      </w:r>
      <w:r>
        <w:rPr>
          <w:rFonts w:hint="eastAsia" w:ascii="楷体_GB2312" w:hAnsi="楷体_GB2312" w:eastAsia="楷体_GB2312" w:cs="楷体_GB2312"/>
          <w:color w:val="auto"/>
          <w:spacing w:val="0"/>
          <w:w w:val="100"/>
          <w:highlight w:val="none"/>
          <w:u w:val="none"/>
        </w:rPr>
        <w:t>总</w:t>
      </w:r>
      <w:r>
        <w:rPr>
          <w:rFonts w:hint="eastAsia" w:ascii="楷体_GB2312" w:hAnsi="楷体_GB2312" w:eastAsia="楷体_GB2312" w:cs="楷体_GB2312"/>
          <w:color w:val="auto"/>
          <w:spacing w:val="0"/>
          <w:w w:val="100"/>
          <w:highlight w:val="none"/>
          <w:u w:val="none"/>
        </w:rPr>
        <w:tab/>
      </w:r>
      <w:r>
        <w:rPr>
          <w:rFonts w:hint="eastAsia" w:ascii="楷体_GB2312" w:hAnsi="楷体_GB2312" w:eastAsia="楷体_GB2312" w:cs="楷体_GB2312"/>
          <w:color w:val="auto"/>
          <w:spacing w:val="0"/>
          <w:w w:val="100"/>
          <w:highlight w:val="none"/>
          <w:u w:val="none"/>
        </w:rPr>
        <w:t>则</w:t>
      </w:r>
    </w:p>
    <w:p w14:paraId="5251A74D">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rPr>
        <w:t>第一条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为充分发挥政府投资作用，提高政府投资效益，规范政府投资行为，依据《政府投资条例》（国务院令第</w:t>
      </w:r>
      <w:r>
        <w:rPr>
          <w:rFonts w:hint="default" w:ascii="Times New Roman" w:hAnsi="Times New Roman" w:eastAsia="仿宋_GB2312" w:cs="Times New Roman"/>
          <w:color w:val="auto"/>
          <w:spacing w:val="0"/>
          <w:w w:val="100"/>
          <w:sz w:val="32"/>
          <w:szCs w:val="32"/>
          <w:highlight w:val="none"/>
          <w:u w:val="none"/>
        </w:rPr>
        <w:t>712</w:t>
      </w:r>
      <w:r>
        <w:rPr>
          <w:rFonts w:hint="eastAsia" w:ascii="仿宋_GB2312" w:hAnsi="仿宋_GB2312" w:eastAsia="仿宋_GB2312" w:cs="仿宋_GB2312"/>
          <w:color w:val="auto"/>
          <w:spacing w:val="0"/>
          <w:w w:val="100"/>
          <w:sz w:val="32"/>
          <w:szCs w:val="32"/>
          <w:highlight w:val="none"/>
          <w:u w:val="none"/>
        </w:rPr>
        <w:t>号）、《中央预算内直接投资项目管理办法》（国家发展和改革委员会第</w:t>
      </w:r>
      <w:r>
        <w:rPr>
          <w:rFonts w:hint="eastAsia" w:ascii="Times New Roman" w:hAnsi="Times New Roman" w:eastAsia="仿宋_GB2312" w:cs="Times New Roman"/>
          <w:color w:val="auto"/>
          <w:spacing w:val="0"/>
          <w:w w:val="100"/>
          <w:sz w:val="32"/>
          <w:szCs w:val="32"/>
          <w:highlight w:val="none"/>
          <w:u w:val="none"/>
        </w:rPr>
        <w:t>7</w:t>
      </w:r>
      <w:r>
        <w:rPr>
          <w:rFonts w:hint="eastAsia" w:ascii="仿宋_GB2312" w:hAnsi="仿宋_GB2312" w:eastAsia="仿宋_GB2312" w:cs="仿宋_GB2312"/>
          <w:color w:val="auto"/>
          <w:spacing w:val="0"/>
          <w:w w:val="100"/>
          <w:sz w:val="32"/>
          <w:szCs w:val="32"/>
          <w:highlight w:val="none"/>
          <w:u w:val="none"/>
        </w:rPr>
        <w:t>号令）</w:t>
      </w:r>
      <w:r>
        <w:rPr>
          <w:rFonts w:hint="eastAsia" w:cs="仿宋_GB2312"/>
          <w:color w:val="auto"/>
          <w:spacing w:val="0"/>
          <w:w w:val="100"/>
          <w:sz w:val="32"/>
          <w:szCs w:val="32"/>
          <w:highlight w:val="none"/>
          <w:u w:val="none"/>
          <w:lang w:eastAsia="zh-CN"/>
        </w:rPr>
        <w:t>、《安徽省政府投资管理办法》（皖政秘</w:t>
      </w:r>
      <w:r>
        <w:rPr>
          <w:rFonts w:hint="eastAsia" w:ascii="仿宋_GB2312" w:hAnsi="仿宋_GB2312" w:eastAsia="仿宋_GB2312" w:cs="仿宋_GB2312"/>
          <w:color w:val="auto"/>
          <w:spacing w:val="0"/>
          <w:w w:val="100"/>
          <w:sz w:val="32"/>
          <w:szCs w:val="32"/>
          <w:highlight w:val="none"/>
          <w:u w:val="none"/>
          <w:lang w:eastAsia="zh-CN"/>
        </w:rPr>
        <w:t>〔</w:t>
      </w:r>
      <w:r>
        <w:rPr>
          <w:rFonts w:hint="eastAsia" w:cs="仿宋_GB2312"/>
          <w:color w:val="auto"/>
          <w:spacing w:val="0"/>
          <w:w w:val="100"/>
          <w:sz w:val="32"/>
          <w:szCs w:val="32"/>
          <w:highlight w:val="none"/>
          <w:u w:val="none"/>
          <w:lang w:val="en-US" w:eastAsia="zh-CN"/>
        </w:rPr>
        <w:t>2022</w:t>
      </w:r>
      <w:r>
        <w:rPr>
          <w:rFonts w:hint="eastAsia" w:ascii="仿宋_GB2312" w:hAnsi="仿宋_GB2312" w:eastAsia="仿宋_GB2312" w:cs="仿宋_GB2312"/>
          <w:color w:val="auto"/>
          <w:spacing w:val="0"/>
          <w:w w:val="100"/>
          <w:sz w:val="32"/>
          <w:szCs w:val="32"/>
          <w:highlight w:val="none"/>
          <w:u w:val="none"/>
          <w:lang w:eastAsia="zh-CN"/>
        </w:rPr>
        <w:t>〕</w:t>
      </w:r>
      <w:r>
        <w:rPr>
          <w:rFonts w:hint="eastAsia" w:cs="仿宋_GB2312"/>
          <w:color w:val="auto"/>
          <w:spacing w:val="0"/>
          <w:w w:val="100"/>
          <w:sz w:val="32"/>
          <w:szCs w:val="32"/>
          <w:highlight w:val="none"/>
          <w:u w:val="none"/>
          <w:lang w:val="en-US" w:eastAsia="zh-CN"/>
        </w:rPr>
        <w:t>194号</w:t>
      </w:r>
      <w:r>
        <w:rPr>
          <w:rFonts w:hint="eastAsia" w:cs="仿宋_GB2312"/>
          <w:color w:val="auto"/>
          <w:spacing w:val="0"/>
          <w:w w:val="100"/>
          <w:sz w:val="32"/>
          <w:szCs w:val="32"/>
          <w:highlight w:val="none"/>
          <w:u w:val="none"/>
          <w:lang w:eastAsia="zh-CN"/>
        </w:rPr>
        <w:t>）</w:t>
      </w:r>
      <w:r>
        <w:rPr>
          <w:rFonts w:hint="eastAsia" w:ascii="仿宋_GB2312" w:hAnsi="仿宋_GB2312" w:eastAsia="仿宋_GB2312" w:cs="仿宋_GB2312"/>
          <w:color w:val="auto"/>
          <w:spacing w:val="0"/>
          <w:w w:val="100"/>
          <w:sz w:val="32"/>
          <w:szCs w:val="32"/>
          <w:highlight w:val="none"/>
          <w:u w:val="none"/>
        </w:rPr>
        <w:t>等有关法律法规和政策规定，</w:t>
      </w:r>
      <w:r>
        <w:rPr>
          <w:rFonts w:hint="eastAsia" w:ascii="仿宋_GB2312" w:hAnsi="仿宋_GB2312" w:eastAsia="仿宋_GB2312" w:cs="仿宋_GB2312"/>
          <w:color w:val="auto"/>
          <w:spacing w:val="0"/>
          <w:w w:val="100"/>
          <w:sz w:val="32"/>
          <w:szCs w:val="32"/>
          <w:highlight w:val="none"/>
          <w:u w:val="none"/>
          <w:lang w:eastAsia="zh-CN"/>
        </w:rPr>
        <w:t>结合我</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lang w:eastAsia="zh-CN"/>
        </w:rPr>
        <w:t>实际，</w:t>
      </w:r>
      <w:r>
        <w:rPr>
          <w:rFonts w:hint="eastAsia" w:ascii="仿宋_GB2312" w:hAnsi="仿宋_GB2312" w:eastAsia="仿宋_GB2312" w:cs="仿宋_GB2312"/>
          <w:color w:val="auto"/>
          <w:spacing w:val="0"/>
          <w:w w:val="100"/>
          <w:sz w:val="32"/>
          <w:szCs w:val="32"/>
          <w:highlight w:val="none"/>
          <w:u w:val="none"/>
        </w:rPr>
        <w:t>制定本办法</w:t>
      </w:r>
      <w:r>
        <w:rPr>
          <w:rFonts w:hint="eastAsia" w:ascii="仿宋_GB2312" w:hAnsi="仿宋_GB2312" w:eastAsia="仿宋_GB2312" w:cs="仿宋_GB2312"/>
          <w:color w:val="auto"/>
          <w:spacing w:val="0"/>
          <w:w w:val="100"/>
          <w:sz w:val="32"/>
          <w:szCs w:val="32"/>
          <w:highlight w:val="none"/>
          <w:u w:val="none"/>
          <w:lang w:eastAsia="zh-CN"/>
        </w:rPr>
        <w:t>。</w:t>
      </w:r>
    </w:p>
    <w:p w14:paraId="59A3152F">
      <w:pPr>
        <w:pStyle w:val="4"/>
        <w:keepNext w:val="0"/>
        <w:keepLines w:val="0"/>
        <w:pageBreakBefore w:val="0"/>
        <w:widowControl w:val="0"/>
        <w:tabs>
          <w:tab w:val="left" w:pos="2022"/>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rPr>
        <w:t>第二条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本办法所称</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本级政府投资（以下简称政府投资</w:t>
      </w:r>
      <w:r>
        <w:rPr>
          <w:rFonts w:hint="eastAsia" w:cs="仿宋_GB2312"/>
          <w:color w:val="auto"/>
          <w:spacing w:val="0"/>
          <w:w w:val="100"/>
          <w:sz w:val="32"/>
          <w:szCs w:val="32"/>
          <w:highlight w:val="none"/>
          <w:u w:val="none"/>
          <w:lang w:eastAsia="zh-CN"/>
        </w:rPr>
        <w:t>），</w:t>
      </w:r>
      <w:r>
        <w:rPr>
          <w:rFonts w:hint="eastAsia" w:ascii="仿宋_GB2312" w:hAnsi="仿宋_GB2312" w:eastAsia="仿宋_GB2312" w:cs="仿宋_GB2312"/>
          <w:color w:val="auto"/>
          <w:spacing w:val="0"/>
          <w:w w:val="100"/>
          <w:sz w:val="32"/>
          <w:szCs w:val="32"/>
          <w:highlight w:val="none"/>
          <w:u w:val="none"/>
        </w:rPr>
        <w:t>是指</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本级预算资金进行的固定资产投资建设活动</w:t>
      </w:r>
      <w:r>
        <w:rPr>
          <w:rFonts w:hint="eastAsia" w:ascii="仿宋_GB2312" w:hAnsi="仿宋_GB2312" w:eastAsia="仿宋_GB2312" w:cs="仿宋_GB2312"/>
          <w:color w:val="auto"/>
          <w:spacing w:val="0"/>
          <w:w w:val="100"/>
          <w:sz w:val="32"/>
          <w:szCs w:val="32"/>
          <w:highlight w:val="none"/>
          <w:u w:val="none"/>
          <w:lang w:eastAsia="zh-CN"/>
        </w:rPr>
        <w:t>，包括新建、扩建、改建、技术改造等。</w:t>
      </w:r>
    </w:p>
    <w:p w14:paraId="64A33461">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en-US" w:eastAsia="zh-CN"/>
        </w:rPr>
        <w:t>第三条</w:t>
      </w:r>
      <w:r>
        <w:rPr>
          <w:rFonts w:hint="eastAsia" w:cs="仿宋_GB2312"/>
          <w:color w:val="auto"/>
          <w:spacing w:val="0"/>
          <w:w w:val="100"/>
          <w:sz w:val="32"/>
          <w:szCs w:val="32"/>
          <w:highlight w:val="none"/>
          <w:u w:val="none"/>
          <w:lang w:val="en-US" w:eastAsia="zh-CN"/>
        </w:rPr>
        <w:t xml:space="preserve">  </w:t>
      </w:r>
      <w:r>
        <w:rPr>
          <w:rFonts w:hint="eastAsia" w:cs="仿宋_GB2312"/>
          <w:color w:val="auto"/>
          <w:spacing w:val="0"/>
          <w:w w:val="100"/>
          <w:sz w:val="32"/>
          <w:szCs w:val="32"/>
          <w:highlight w:val="none"/>
          <w:u w:val="none"/>
          <w:lang w:eastAsia="zh-CN"/>
        </w:rPr>
        <w:t>区</w:t>
      </w:r>
      <w:r>
        <w:rPr>
          <w:rFonts w:hint="eastAsia" w:ascii="仿宋_GB2312" w:hAnsi="仿宋_GB2312" w:eastAsia="仿宋_GB2312" w:cs="仿宋_GB2312"/>
          <w:color w:val="auto"/>
          <w:spacing w:val="0"/>
          <w:w w:val="100"/>
          <w:sz w:val="32"/>
          <w:szCs w:val="32"/>
          <w:highlight w:val="none"/>
          <w:u w:val="none"/>
        </w:rPr>
        <w:t>本级政府资金主要投向市场不能有效配置资源的</w:t>
      </w:r>
      <w:r>
        <w:rPr>
          <w:rFonts w:hint="eastAsia" w:cs="仿宋_GB2312"/>
          <w:color w:val="auto"/>
          <w:spacing w:val="0"/>
          <w:w w:val="100"/>
          <w:sz w:val="32"/>
          <w:szCs w:val="32"/>
          <w:highlight w:val="none"/>
          <w:u w:val="none"/>
          <w:lang w:eastAsia="zh-CN"/>
        </w:rPr>
        <w:t>社会公益服务、公共基础设施、农业农村、生态环境保护、重大科技进步、社会管理、国家安全等公共领域的项目，以非经营性项目为主。</w:t>
      </w:r>
    </w:p>
    <w:p w14:paraId="4DBE2644">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rPr>
      </w:pPr>
      <w:r>
        <w:rPr>
          <w:rFonts w:hint="eastAsia" w:ascii="仿宋_GB2312" w:hAnsi="仿宋_GB2312" w:eastAsia="仿宋_GB2312" w:cs="仿宋_GB2312"/>
          <w:color w:val="auto"/>
          <w:spacing w:val="0"/>
          <w:w w:val="100"/>
          <w:sz w:val="32"/>
          <w:szCs w:val="32"/>
          <w:highlight w:val="none"/>
          <w:u w:val="none"/>
        </w:rPr>
        <w:t>发挥政府投资资金引导和带动作用，鼓励社会资金投向前款规定的领域。</w:t>
      </w:r>
    </w:p>
    <w:p w14:paraId="6308198B">
      <w:pPr>
        <w:pStyle w:val="4"/>
        <w:keepNext w:val="0"/>
        <w:keepLines w:val="0"/>
        <w:pageBreakBefore w:val="0"/>
        <w:widowControl w:val="0"/>
        <w:tabs>
          <w:tab w:val="left" w:pos="2022"/>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rPr>
        <w:t>第</w:t>
      </w:r>
      <w:r>
        <w:rPr>
          <w:rFonts w:hint="eastAsia" w:ascii="黑体" w:hAnsi="黑体" w:eastAsia="黑体" w:cs="黑体"/>
          <w:color w:val="auto"/>
          <w:spacing w:val="0"/>
          <w:w w:val="100"/>
          <w:sz w:val="32"/>
          <w:szCs w:val="32"/>
          <w:highlight w:val="none"/>
          <w:u w:val="none"/>
          <w:lang w:val="en-US" w:eastAsia="zh-CN"/>
        </w:rPr>
        <w:t>四</w:t>
      </w:r>
      <w:r>
        <w:rPr>
          <w:rFonts w:hint="eastAsia" w:ascii="黑体" w:hAnsi="黑体" w:eastAsia="黑体" w:cs="黑体"/>
          <w:color w:val="auto"/>
          <w:spacing w:val="0"/>
          <w:w w:val="100"/>
          <w:sz w:val="32"/>
          <w:szCs w:val="32"/>
          <w:highlight w:val="none"/>
          <w:u w:val="none"/>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政府投资应当遵循科学决策、规范管理、注重绩效、公开透明的原则</w:t>
      </w:r>
      <w:r>
        <w:rPr>
          <w:rFonts w:hint="eastAsia" w:ascii="仿宋_GB2312" w:hAnsi="仿宋_GB2312" w:eastAsia="仿宋_GB2312" w:cs="仿宋_GB2312"/>
          <w:color w:val="auto"/>
          <w:spacing w:val="0"/>
          <w:w w:val="100"/>
          <w:sz w:val="32"/>
          <w:szCs w:val="32"/>
          <w:highlight w:val="none"/>
          <w:u w:val="none"/>
          <w:lang w:eastAsia="zh-CN"/>
        </w:rPr>
        <w:t>。</w:t>
      </w:r>
    </w:p>
    <w:p w14:paraId="498F7125">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en-US" w:eastAsia="zh-CN"/>
        </w:rPr>
      </w:pPr>
      <w:r>
        <w:rPr>
          <w:rFonts w:hint="eastAsia" w:ascii="黑体" w:hAnsi="黑体" w:eastAsia="黑体" w:cs="黑体"/>
          <w:color w:val="auto"/>
          <w:spacing w:val="0"/>
          <w:w w:val="100"/>
          <w:sz w:val="32"/>
          <w:szCs w:val="32"/>
          <w:highlight w:val="none"/>
          <w:u w:val="none"/>
          <w:lang w:val="en-US" w:eastAsia="zh-CN"/>
        </w:rPr>
        <w:t>第五条</w:t>
      </w:r>
      <w:r>
        <w:rPr>
          <w:rFonts w:hint="eastAsia"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政府投资应当与经济社会发展水平和财政收支状况相适应。加强项目投资论证，按要求组织开展财政承受能力和债务风险评估。政府及其有关部门不得违法违规举借债务筹措政府投资资金。</w:t>
      </w:r>
    </w:p>
    <w:p w14:paraId="74FD1EC9">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rPr>
        <w:t>第</w:t>
      </w:r>
      <w:r>
        <w:rPr>
          <w:rFonts w:hint="eastAsia" w:ascii="黑体" w:hAnsi="黑体" w:eastAsia="黑体" w:cs="黑体"/>
          <w:color w:val="auto"/>
          <w:spacing w:val="0"/>
          <w:w w:val="100"/>
          <w:sz w:val="32"/>
          <w:szCs w:val="32"/>
          <w:highlight w:val="none"/>
          <w:u w:val="none"/>
          <w:lang w:val="en-US" w:eastAsia="zh-CN"/>
        </w:rPr>
        <w:t>六</w:t>
      </w:r>
      <w:r>
        <w:rPr>
          <w:rFonts w:hint="eastAsia" w:ascii="黑体" w:hAnsi="黑体" w:eastAsia="黑体" w:cs="黑体"/>
          <w:color w:val="auto"/>
          <w:spacing w:val="0"/>
          <w:w w:val="100"/>
          <w:sz w:val="32"/>
          <w:szCs w:val="32"/>
          <w:highlight w:val="none"/>
          <w:u w:val="none"/>
        </w:rPr>
        <w:t>条</w:t>
      </w:r>
      <w:r>
        <w:rPr>
          <w:rFonts w:hint="eastAsia" w:ascii="黑体" w:hAnsi="黑体" w:eastAsia="黑体" w:cs="黑体"/>
          <w:color w:val="auto"/>
          <w:spacing w:val="0"/>
          <w:w w:val="100"/>
          <w:sz w:val="32"/>
          <w:szCs w:val="32"/>
          <w:highlight w:val="none"/>
          <w:u w:val="none"/>
          <w:lang w:val="en-US" w:eastAsia="zh-CN"/>
        </w:rPr>
        <w:t xml:space="preserve">  </w:t>
      </w:r>
      <w:r>
        <w:rPr>
          <w:rFonts w:hint="eastAsia" w:cs="仿宋_GB2312"/>
          <w:color w:val="auto"/>
          <w:spacing w:val="0"/>
          <w:w w:val="100"/>
          <w:sz w:val="32"/>
          <w:szCs w:val="32"/>
          <w:highlight w:val="none"/>
          <w:u w:val="none"/>
          <w:lang w:eastAsia="zh-CN"/>
        </w:rPr>
        <w:t>政府投资资金按项目安排，以直接投资方式为主；对确需支持的经营性项目，主要采取资本金注入方式，也可以适当采取投资补助、贷款贴息等方式。</w:t>
      </w:r>
    </w:p>
    <w:p w14:paraId="0C520CE8">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cs="仿宋_GB2312"/>
          <w:color w:val="auto"/>
          <w:spacing w:val="0"/>
          <w:w w:val="100"/>
          <w:sz w:val="32"/>
          <w:szCs w:val="32"/>
          <w:highlight w:val="none"/>
          <w:u w:val="none"/>
          <w:lang w:eastAsia="zh-CN"/>
        </w:rPr>
        <w:t>安排政府投资资金，应当平等对待各类投资主体，不得设置歧视性条件。</w:t>
      </w:r>
      <w:r>
        <w:rPr>
          <w:rFonts w:hint="eastAsia" w:ascii="仿宋_GB2312" w:hAnsi="仿宋_GB2312" w:eastAsia="仿宋_GB2312" w:cs="仿宋_GB2312"/>
          <w:color w:val="auto"/>
          <w:spacing w:val="0"/>
          <w:w w:val="100"/>
          <w:sz w:val="32"/>
          <w:szCs w:val="32"/>
          <w:highlight w:val="none"/>
          <w:u w:val="none"/>
          <w:lang w:val="en-US" w:eastAsia="zh-CN"/>
        </w:rPr>
        <w:t xml:space="preserve"> </w:t>
      </w:r>
    </w:p>
    <w:p w14:paraId="694DE89F">
      <w:pPr>
        <w:pStyle w:val="4"/>
        <w:keepNext w:val="0"/>
        <w:keepLines w:val="0"/>
        <w:pageBreakBefore w:val="0"/>
        <w:widowControl w:val="0"/>
        <w:tabs>
          <w:tab w:val="left" w:pos="2031"/>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ascii="黑体" w:hAnsi="黑体" w:eastAsia="黑体" w:cs="黑体"/>
          <w:color w:val="auto"/>
          <w:spacing w:val="0"/>
          <w:w w:val="100"/>
          <w:sz w:val="32"/>
          <w:szCs w:val="32"/>
          <w:highlight w:val="none"/>
          <w:u w:val="none"/>
          <w:lang w:val="en-US" w:eastAsia="zh-CN"/>
        </w:rPr>
        <w:t xml:space="preserve">第七条  </w:t>
      </w:r>
      <w:r>
        <w:rPr>
          <w:rFonts w:hint="eastAsia" w:cs="仿宋_GB2312"/>
          <w:color w:val="auto"/>
          <w:spacing w:val="0"/>
          <w:w w:val="100"/>
          <w:sz w:val="32"/>
          <w:szCs w:val="32"/>
          <w:highlight w:val="none"/>
          <w:u w:val="none"/>
          <w:lang w:val="en-US" w:eastAsia="zh-CN"/>
        </w:rPr>
        <w:t>政府投资主管部门每年将各行业主管部门谋划申报的项目纳入区级政府投资项目储备库。国家、省、市、区批准实施的发展规划、专项规划、区域规划及产业政策等明确的项目，是纳入储备库的重要依据，储备库实行动态管理，对于建设依据、建设条件发生重大变化或前期工作长时间未取得实质性进展的项目，可以将其移出储备库。</w:t>
      </w:r>
    </w:p>
    <w:p w14:paraId="1337A792">
      <w:pPr>
        <w:pStyle w:val="4"/>
        <w:keepNext w:val="0"/>
        <w:keepLines w:val="0"/>
        <w:pageBreakBefore w:val="0"/>
        <w:widowControl w:val="0"/>
        <w:tabs>
          <w:tab w:val="left" w:pos="2031"/>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ascii="黑体" w:hAnsi="黑体" w:eastAsia="黑体" w:cs="黑体"/>
          <w:color w:val="auto"/>
          <w:spacing w:val="0"/>
          <w:w w:val="100"/>
          <w:sz w:val="32"/>
          <w:szCs w:val="32"/>
          <w:highlight w:val="none"/>
          <w:u w:val="none"/>
          <w:lang w:val="en-US" w:eastAsia="zh-CN"/>
        </w:rPr>
        <w:t>第八条</w:t>
      </w:r>
      <w:r>
        <w:rPr>
          <w:rFonts w:hint="eastAsia" w:cs="仿宋_GB2312"/>
          <w:color w:val="auto"/>
          <w:spacing w:val="0"/>
          <w:w w:val="100"/>
          <w:sz w:val="32"/>
          <w:szCs w:val="32"/>
          <w:highlight w:val="none"/>
          <w:u w:val="none"/>
          <w:lang w:val="en-US" w:eastAsia="zh-CN"/>
        </w:rPr>
        <w:t xml:space="preserve">  区</w:t>
      </w:r>
      <w:r>
        <w:rPr>
          <w:rFonts w:hint="eastAsia" w:ascii="仿宋_GB2312" w:hAnsi="仿宋_GB2312" w:eastAsia="仿宋_GB2312" w:cs="仿宋_GB2312"/>
          <w:color w:val="auto"/>
          <w:spacing w:val="0"/>
          <w:w w:val="100"/>
          <w:sz w:val="32"/>
          <w:szCs w:val="32"/>
          <w:highlight w:val="none"/>
          <w:u w:val="none"/>
        </w:rPr>
        <w:t>发展改革、财政、审计、自然资源规划、生态环境、住房城乡建设等部门在</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政府统一领导下，依据本办法和</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政府规定的职责分工，履行相应的政府投资管理和监督职责。</w:t>
      </w:r>
    </w:p>
    <w:p w14:paraId="64083979">
      <w:pPr>
        <w:pStyle w:val="4"/>
        <w:keepNext w:val="0"/>
        <w:keepLines w:val="0"/>
        <w:pageBreakBefore w:val="0"/>
        <w:widowControl w:val="0"/>
        <w:tabs>
          <w:tab w:val="left" w:pos="2031"/>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cs="仿宋_GB2312"/>
          <w:color w:val="auto"/>
          <w:spacing w:val="0"/>
          <w:w w:val="100"/>
          <w:sz w:val="32"/>
          <w:szCs w:val="32"/>
          <w:highlight w:val="none"/>
          <w:u w:val="none"/>
          <w:lang w:val="en-US" w:eastAsia="zh-CN"/>
        </w:rPr>
        <w:t>区数据资源管理局依据《安徽省政务信息化项目建设管理办法》，履行政务信息化项目投资管理和监督职责。</w:t>
      </w:r>
    </w:p>
    <w:p w14:paraId="63980D60">
      <w:pPr>
        <w:pStyle w:val="4"/>
        <w:keepNext w:val="0"/>
        <w:keepLines w:val="0"/>
        <w:pageBreakBefore w:val="0"/>
        <w:widowControl w:val="0"/>
        <w:tabs>
          <w:tab w:val="left" w:pos="2031"/>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default" w:cs="仿宋_GB2312"/>
          <w:color w:val="auto"/>
          <w:spacing w:val="0"/>
          <w:w w:val="100"/>
          <w:sz w:val="32"/>
          <w:szCs w:val="32"/>
          <w:highlight w:val="none"/>
          <w:u w:val="none"/>
          <w:lang w:val="en-US" w:eastAsia="zh-CN"/>
        </w:rPr>
      </w:pPr>
    </w:p>
    <w:p w14:paraId="6BA1A16A">
      <w:pPr>
        <w:pStyle w:val="2"/>
        <w:keepNext w:val="0"/>
        <w:keepLines w:val="0"/>
        <w:pageBreakBefore w:val="0"/>
        <w:widowControl w:val="0"/>
        <w:tabs>
          <w:tab w:val="left" w:pos="1439"/>
        </w:tabs>
        <w:kinsoku/>
        <w:wordWrap/>
        <w:overflowPunct/>
        <w:topLinePunct w:val="0"/>
        <w:autoSpaceDE w:val="0"/>
        <w:autoSpaceDN w:val="0"/>
        <w:bidi w:val="0"/>
        <w:adjustRightInd/>
        <w:snapToGrid/>
        <w:spacing w:before="0" w:after="0" w:line="580" w:lineRule="exact"/>
        <w:ind w:right="0"/>
        <w:jc w:val="both"/>
        <w:textAlignment w:val="auto"/>
        <w:rPr>
          <w:rFonts w:hint="eastAsia" w:ascii="仿宋_GB2312" w:hAnsi="仿宋_GB2312" w:eastAsia="仿宋_GB2312" w:cs="仿宋_GB2312"/>
          <w:color w:val="auto"/>
          <w:spacing w:val="0"/>
          <w:w w:val="100"/>
          <w:sz w:val="32"/>
          <w:szCs w:val="32"/>
          <w:highlight w:val="none"/>
          <w:u w:val="none"/>
        </w:rPr>
      </w:pPr>
    </w:p>
    <w:p w14:paraId="67AF60FA">
      <w:pPr>
        <w:pStyle w:val="2"/>
        <w:keepNext w:val="0"/>
        <w:keepLines w:val="0"/>
        <w:pageBreakBefore w:val="0"/>
        <w:widowControl w:val="0"/>
        <w:tabs>
          <w:tab w:val="left" w:pos="1439"/>
          <w:tab w:val="left" w:pos="2159"/>
        </w:tabs>
        <w:kinsoku/>
        <w:wordWrap/>
        <w:overflowPunct/>
        <w:topLinePunct w:val="0"/>
        <w:autoSpaceDE w:val="0"/>
        <w:autoSpaceDN w:val="0"/>
        <w:bidi w:val="0"/>
        <w:adjustRightInd/>
        <w:snapToGrid/>
        <w:spacing w:before="0" w:after="0" w:line="580" w:lineRule="exact"/>
        <w:ind w:right="0"/>
        <w:jc w:val="center"/>
        <w:textAlignment w:val="auto"/>
        <w:rPr>
          <w:rFonts w:hint="eastAsia" w:ascii="楷体_GB2312" w:hAnsi="楷体_GB2312" w:eastAsia="楷体_GB2312" w:cs="楷体_GB2312"/>
          <w:color w:val="auto"/>
          <w:spacing w:val="0"/>
          <w:w w:val="100"/>
          <w:highlight w:val="none"/>
          <w:u w:val="none"/>
          <w:lang w:eastAsia="zh-CN"/>
        </w:rPr>
      </w:pPr>
      <w:r>
        <w:rPr>
          <w:rFonts w:hint="eastAsia" w:ascii="楷体_GB2312" w:hAnsi="楷体_GB2312" w:eastAsia="楷体_GB2312" w:cs="楷体_GB2312"/>
          <w:color w:val="auto"/>
          <w:spacing w:val="0"/>
          <w:w w:val="100"/>
          <w:highlight w:val="none"/>
          <w:u w:val="none"/>
        </w:rPr>
        <w:t>第</w:t>
      </w:r>
      <w:r>
        <w:rPr>
          <w:rFonts w:hint="eastAsia" w:ascii="楷体_GB2312" w:hAnsi="楷体_GB2312" w:eastAsia="楷体_GB2312" w:cs="楷体_GB2312"/>
          <w:color w:val="auto"/>
          <w:spacing w:val="0"/>
          <w:w w:val="100"/>
          <w:highlight w:val="none"/>
          <w:u w:val="none"/>
          <w:lang w:val="en-US" w:eastAsia="zh-CN"/>
        </w:rPr>
        <w:t>二</w:t>
      </w:r>
      <w:r>
        <w:rPr>
          <w:rFonts w:hint="eastAsia" w:ascii="楷体_GB2312" w:hAnsi="楷体_GB2312" w:eastAsia="楷体_GB2312" w:cs="楷体_GB2312"/>
          <w:color w:val="auto"/>
          <w:spacing w:val="0"/>
          <w:w w:val="100"/>
          <w:highlight w:val="none"/>
          <w:u w:val="none"/>
        </w:rPr>
        <w:t>章</w:t>
      </w:r>
      <w:r>
        <w:rPr>
          <w:rFonts w:hint="eastAsia" w:ascii="楷体_GB2312" w:hAnsi="楷体_GB2312" w:eastAsia="楷体_GB2312" w:cs="楷体_GB2312"/>
          <w:color w:val="auto"/>
          <w:spacing w:val="0"/>
          <w:w w:val="100"/>
          <w:highlight w:val="none"/>
          <w:u w:val="none"/>
          <w:lang w:val="en-US" w:eastAsia="zh-CN"/>
        </w:rPr>
        <w:t xml:space="preserve">  </w:t>
      </w:r>
      <w:r>
        <w:rPr>
          <w:rFonts w:hint="eastAsia" w:ascii="楷体_GB2312" w:hAnsi="楷体_GB2312" w:eastAsia="楷体_GB2312" w:cs="楷体_GB2312"/>
          <w:color w:val="auto"/>
          <w:spacing w:val="0"/>
          <w:w w:val="100"/>
          <w:highlight w:val="none"/>
          <w:u w:val="none"/>
        </w:rPr>
        <w:t>政府投资</w:t>
      </w:r>
      <w:r>
        <w:rPr>
          <w:rFonts w:hint="eastAsia" w:ascii="楷体_GB2312" w:hAnsi="楷体_GB2312" w:eastAsia="楷体_GB2312" w:cs="楷体_GB2312"/>
          <w:color w:val="auto"/>
          <w:spacing w:val="0"/>
          <w:w w:val="100"/>
          <w:highlight w:val="none"/>
          <w:u w:val="none"/>
          <w:lang w:eastAsia="zh-CN"/>
        </w:rPr>
        <w:t>决策</w:t>
      </w:r>
    </w:p>
    <w:p w14:paraId="6DE728BA">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zh-CN" w:eastAsia="zh-CN" w:bidi="zh-CN"/>
        </w:rPr>
      </w:pPr>
      <w:r>
        <w:rPr>
          <w:rFonts w:hint="eastAsia" w:ascii="黑体" w:hAnsi="黑体" w:eastAsia="黑体" w:cs="黑体"/>
          <w:color w:val="auto"/>
          <w:spacing w:val="0"/>
          <w:w w:val="100"/>
          <w:sz w:val="32"/>
          <w:szCs w:val="32"/>
          <w:highlight w:val="none"/>
          <w:u w:val="none"/>
          <w:lang w:val="zh-CN" w:eastAsia="zh-CN" w:bidi="zh-CN"/>
        </w:rPr>
        <w:t>第九条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zh-CN" w:eastAsia="zh-CN" w:bidi="zh-CN"/>
        </w:rPr>
        <w:t>应当根据国民经济和社会发展规划、中期财政规划和国家宏观调控政策，结合财政收支状况，规范使用各类政府投资资金，统筹安排使用政府投资资金项目。</w:t>
      </w:r>
    </w:p>
    <w:p w14:paraId="55B2CDB2">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rPr>
      </w:pPr>
      <w:r>
        <w:rPr>
          <w:rFonts w:hint="eastAsia" w:ascii="黑体" w:hAnsi="黑体" w:eastAsia="黑体" w:cs="黑体"/>
          <w:color w:val="auto"/>
          <w:spacing w:val="0"/>
          <w:w w:val="100"/>
          <w:sz w:val="32"/>
          <w:szCs w:val="32"/>
          <w:highlight w:val="none"/>
          <w:u w:val="none"/>
          <w:lang w:val="zh-CN" w:eastAsia="zh-CN" w:bidi="zh-CN"/>
        </w:rPr>
        <w:t>第十条</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rPr>
        <w:t>政府采取直接投资方式、资本金注入方式投资的项目（以下统称“政府投资项目”），项目单位应当编制项目建议书、可行性研究报告、初步设计，按照政府投资管理权限和规定的程序，报政府投资主管部门或者政府赋予项目审批权的其他部门（以下统称“项目审批部门”）审批。</w:t>
      </w:r>
    </w:p>
    <w:p w14:paraId="632AD5FE">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rPr>
      </w:pPr>
      <w:r>
        <w:rPr>
          <w:rFonts w:hint="eastAsia" w:ascii="仿宋_GB2312" w:hAnsi="仿宋_GB2312" w:eastAsia="仿宋_GB2312" w:cs="仿宋_GB2312"/>
          <w:color w:val="auto"/>
          <w:spacing w:val="0"/>
          <w:w w:val="100"/>
          <w:sz w:val="32"/>
          <w:szCs w:val="32"/>
          <w:highlight w:val="none"/>
          <w:u w:val="none"/>
        </w:rPr>
        <w:t>项目单位应当严格落实厉行节约要求，加强政府投资项目的前期工作，保证前期工作的深度达到规定要求，并对项目建议书、可行性研究报告、初步设计以及依法应当附具的其他文件的真实性负责，不得弄虚作假。</w:t>
      </w:r>
    </w:p>
    <w:p w14:paraId="409FB996">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en-US" w:eastAsia="zh-CN" w:bidi="zh-CN"/>
        </w:rPr>
        <w:t>第十一条</w:t>
      </w:r>
      <w:r>
        <w:rPr>
          <w:rFonts w:hint="eastAsia" w:ascii="方正黑体_GBK" w:eastAsia="方正黑体_GBK"/>
          <w:color w:val="auto"/>
          <w:sz w:val="32"/>
          <w:szCs w:val="32"/>
          <w:highlight w:val="none"/>
          <w:u w:val="none"/>
          <w:lang w:val="en-US" w:eastAsia="zh-CN"/>
        </w:rPr>
        <w:t xml:space="preserve"> </w:t>
      </w:r>
      <w:r>
        <w:rPr>
          <w:rFonts w:hint="eastAsia" w:cs="仿宋_GB2312"/>
          <w:color w:val="auto"/>
          <w:spacing w:val="0"/>
          <w:w w:val="100"/>
          <w:sz w:val="32"/>
          <w:szCs w:val="32"/>
          <w:highlight w:val="none"/>
          <w:u w:val="none"/>
          <w:lang w:val="en-US" w:eastAsia="zh-CN"/>
        </w:rPr>
        <w:t xml:space="preserve"> </w:t>
      </w:r>
      <w:r>
        <w:rPr>
          <w:rFonts w:hint="eastAsia" w:cs="仿宋_GB2312"/>
          <w:color w:val="auto"/>
          <w:spacing w:val="0"/>
          <w:w w:val="100"/>
          <w:sz w:val="32"/>
          <w:szCs w:val="32"/>
          <w:highlight w:val="none"/>
          <w:u w:val="none"/>
          <w:lang w:eastAsia="zh-CN"/>
        </w:rPr>
        <w:t>投资主管部门</w:t>
      </w:r>
      <w:r>
        <w:rPr>
          <w:rFonts w:hint="eastAsia" w:ascii="仿宋_GB2312" w:hAnsi="仿宋_GB2312" w:eastAsia="仿宋_GB2312" w:cs="仿宋_GB2312"/>
          <w:color w:val="auto"/>
          <w:spacing w:val="0"/>
          <w:w w:val="100"/>
          <w:sz w:val="32"/>
          <w:szCs w:val="32"/>
          <w:highlight w:val="none"/>
          <w:u w:val="none"/>
        </w:rPr>
        <w:t>负责审查批准政府投资项目建议书和可行性研究报告</w:t>
      </w:r>
      <w:r>
        <w:rPr>
          <w:rFonts w:hint="eastAsia" w:ascii="仿宋_GB2312" w:hAnsi="仿宋_GB2312" w:eastAsia="仿宋_GB2312" w:cs="仿宋_GB2312"/>
          <w:color w:val="auto"/>
          <w:spacing w:val="0"/>
          <w:w w:val="100"/>
          <w:sz w:val="32"/>
          <w:szCs w:val="32"/>
          <w:highlight w:val="none"/>
          <w:u w:val="none"/>
          <w:lang w:eastAsia="zh-CN"/>
        </w:rPr>
        <w:t>。</w:t>
      </w:r>
    </w:p>
    <w:p w14:paraId="129F70B7">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住房城乡建设局、</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交通运输局、</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水利局、</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农业农村局、</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林业局分别负责审查批准市政房建（含房屋装饰装修及维修改造）、公路港航、水利设施、农村农业、林业设施等项目的初步设计及概算</w:t>
      </w:r>
      <w:r>
        <w:rPr>
          <w:rFonts w:hint="eastAsia" w:ascii="仿宋_GB2312" w:hAnsi="仿宋_GB2312" w:eastAsia="仿宋_GB2312" w:cs="仿宋_GB2312"/>
          <w:color w:val="auto"/>
          <w:spacing w:val="0"/>
          <w:w w:val="100"/>
          <w:sz w:val="32"/>
          <w:szCs w:val="32"/>
          <w:highlight w:val="none"/>
          <w:u w:val="none"/>
          <w:lang w:eastAsia="zh-CN"/>
        </w:rPr>
        <w:t>。</w:t>
      </w:r>
    </w:p>
    <w:p w14:paraId="28F40C7C">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zh-CN" w:eastAsia="zh-CN" w:bidi="zh-CN"/>
        </w:rPr>
      </w:pPr>
      <w:r>
        <w:rPr>
          <w:rFonts w:hint="eastAsia" w:ascii="仿宋_GB2312" w:hAnsi="仿宋_GB2312" w:eastAsia="仿宋_GB2312" w:cs="仿宋_GB2312"/>
          <w:color w:val="auto"/>
          <w:spacing w:val="0"/>
          <w:w w:val="100"/>
          <w:sz w:val="32"/>
          <w:szCs w:val="32"/>
          <w:highlight w:val="none"/>
          <w:u w:val="none"/>
          <w:lang w:val="zh-CN" w:eastAsia="zh-CN" w:bidi="zh-CN"/>
        </w:rPr>
        <w:t>对经济社会发展、社会公众利益有重大影响或者投资规模较大的政府投资项目，投资主管部门在批复项目建议书或可行性研究报告前，应当征求司法行政、自然资源、生态环境、水利等部门意见，并核报</w:t>
      </w:r>
      <w:r>
        <w:rPr>
          <w:rFonts w:hint="eastAsia" w:cs="仿宋_GB2312"/>
          <w:color w:val="auto"/>
          <w:spacing w:val="0"/>
          <w:w w:val="100"/>
          <w:sz w:val="32"/>
          <w:szCs w:val="32"/>
          <w:highlight w:val="none"/>
          <w:u w:val="none"/>
          <w:lang w:val="en-US" w:eastAsia="zh-CN" w:bidi="zh-CN"/>
        </w:rPr>
        <w:t>区</w:t>
      </w:r>
      <w:r>
        <w:rPr>
          <w:rFonts w:hint="eastAsia" w:ascii="仿宋_GB2312" w:hAnsi="仿宋_GB2312" w:eastAsia="仿宋_GB2312" w:cs="仿宋_GB2312"/>
          <w:color w:val="auto"/>
          <w:spacing w:val="0"/>
          <w:w w:val="100"/>
          <w:sz w:val="32"/>
          <w:szCs w:val="32"/>
          <w:highlight w:val="none"/>
          <w:u w:val="none"/>
          <w:lang w:val="zh-CN" w:eastAsia="zh-CN" w:bidi="zh-CN"/>
        </w:rPr>
        <w:t>人民政府审查同意。</w:t>
      </w:r>
    </w:p>
    <w:p w14:paraId="5CA82752">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zh-CN" w:eastAsia="zh-CN" w:bidi="zh-CN"/>
        </w:rPr>
      </w:pPr>
      <w:r>
        <w:rPr>
          <w:rFonts w:hint="eastAsia" w:ascii="仿宋_GB2312" w:hAnsi="仿宋_GB2312" w:eastAsia="仿宋_GB2312" w:cs="仿宋_GB2312"/>
          <w:color w:val="auto"/>
          <w:spacing w:val="0"/>
          <w:w w:val="100"/>
          <w:sz w:val="32"/>
          <w:szCs w:val="32"/>
          <w:highlight w:val="none"/>
          <w:u w:val="none"/>
          <w:lang w:val="zh-CN" w:eastAsia="zh-CN" w:bidi="zh-CN"/>
        </w:rPr>
        <w:t>党政机关办公用房和技术业务用房建设项目审批权限和程序，按照国家、省有关规定以及《池州市党政机关办公用房管理实施办法》执行。</w:t>
      </w:r>
    </w:p>
    <w:p w14:paraId="6EEC6548">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zh-CN" w:eastAsia="zh-CN" w:bidi="zh-CN"/>
        </w:rPr>
        <w:t>第十</w:t>
      </w:r>
      <w:r>
        <w:rPr>
          <w:rFonts w:hint="eastAsia" w:ascii="黑体" w:hAnsi="黑体" w:eastAsia="黑体" w:cs="黑体"/>
          <w:color w:val="auto"/>
          <w:spacing w:val="0"/>
          <w:w w:val="100"/>
          <w:sz w:val="32"/>
          <w:szCs w:val="32"/>
          <w:highlight w:val="none"/>
          <w:u w:val="none"/>
          <w:lang w:val="en-US" w:eastAsia="zh-CN" w:bidi="zh-CN"/>
        </w:rPr>
        <w:t>二</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政府投资项目审批，除涉及国家秘密外，全部通过投资项目在线审批监管平台，使用在线平台生成的项目代码办理政府投资项目审批手续。</w:t>
      </w:r>
    </w:p>
    <w:p w14:paraId="37A5CE71">
      <w:pPr>
        <w:keepNext w:val="0"/>
        <w:keepLines w:val="0"/>
        <w:pageBreakBefore w:val="0"/>
        <w:widowControl w:val="0"/>
        <w:kinsoku/>
        <w:wordWrap/>
        <w:overflowPunct/>
        <w:topLinePunct w:val="0"/>
        <w:bidi w:val="0"/>
        <w:adjustRightInd/>
        <w:snapToGrid/>
        <w:spacing w:line="580" w:lineRule="exact"/>
        <w:ind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zh-CN" w:eastAsia="zh-CN" w:bidi="zh-CN"/>
        </w:rPr>
      </w:pPr>
      <w:r>
        <w:rPr>
          <w:rFonts w:hint="eastAsia" w:ascii="仿宋_GB2312" w:hAnsi="仿宋_GB2312" w:eastAsia="仿宋_GB2312" w:cs="仿宋_GB2312"/>
          <w:color w:val="auto"/>
          <w:spacing w:val="0"/>
          <w:w w:val="100"/>
          <w:sz w:val="32"/>
          <w:szCs w:val="32"/>
          <w:highlight w:val="none"/>
          <w:u w:val="none"/>
          <w:lang w:val="zh-CN" w:eastAsia="zh-CN" w:bidi="zh-CN"/>
        </w:rPr>
        <w:t>项目审批单位应当通过在线平台列明与政府投资有关的规划、产业政策等，公开政府投资项目审批的办理流程、办理时限等，并为项目单位提供相关咨询服务。</w:t>
      </w:r>
    </w:p>
    <w:p w14:paraId="5466AAB5">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eastAsia="方正仿宋_GBK"/>
          <w:color w:val="auto"/>
          <w:sz w:val="32"/>
          <w:szCs w:val="32"/>
          <w:highlight w:val="none"/>
          <w:u w:val="none"/>
        </w:rPr>
      </w:pPr>
      <w:r>
        <w:rPr>
          <w:rFonts w:hint="eastAsia" w:ascii="黑体" w:hAnsi="黑体" w:eastAsia="黑体" w:cs="黑体"/>
          <w:color w:val="auto"/>
          <w:spacing w:val="0"/>
          <w:w w:val="100"/>
          <w:sz w:val="32"/>
          <w:szCs w:val="32"/>
          <w:highlight w:val="none"/>
          <w:u w:val="none"/>
          <w:lang w:val="zh-CN" w:eastAsia="zh-CN" w:bidi="zh-CN"/>
        </w:rPr>
        <w:t>第十</w:t>
      </w:r>
      <w:r>
        <w:rPr>
          <w:rFonts w:hint="eastAsia" w:ascii="黑体" w:hAnsi="黑体" w:eastAsia="黑体" w:cs="黑体"/>
          <w:color w:val="auto"/>
          <w:spacing w:val="0"/>
          <w:w w:val="100"/>
          <w:sz w:val="32"/>
          <w:szCs w:val="32"/>
          <w:highlight w:val="none"/>
          <w:u w:val="none"/>
          <w:lang w:val="en-US" w:eastAsia="zh-CN" w:bidi="zh-CN"/>
        </w:rPr>
        <w:t>三</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zh-CN" w:eastAsia="zh-CN" w:bidi="zh-CN"/>
        </w:rPr>
        <w:t>项目建议书要对项目建设的必要性、主要建设内容、拟建地点、拟建规模、投资匡算、资金筹措以及社会效益和经济效益、绩效评估等进行初步分析，并附相关文件资料。投资主管部门对符合发展规划、区域规划、专业规划及产业政策，已落实资金筹措等建设条件，且确有必要建设的项目，批准项目建议书。</w:t>
      </w:r>
    </w:p>
    <w:p w14:paraId="7B4CC2DF">
      <w:pPr>
        <w:pStyle w:val="4"/>
        <w:keepNext w:val="0"/>
        <w:keepLines w:val="0"/>
        <w:pageBreakBefore w:val="0"/>
        <w:widowControl w:val="0"/>
        <w:tabs>
          <w:tab w:val="left" w:pos="2348"/>
        </w:tabs>
        <w:kinsoku/>
        <w:wordWrap/>
        <w:overflowPunct/>
        <w:topLinePunct w:val="0"/>
        <w:autoSpaceDE w:val="0"/>
        <w:autoSpaceDN w:val="0"/>
        <w:bidi w:val="0"/>
        <w:adjustRightInd/>
        <w:snapToGrid/>
        <w:spacing w:before="0" w:after="0" w:line="580" w:lineRule="exact"/>
        <w:ind w:right="0" w:firstLine="640" w:firstLineChars="200"/>
        <w:jc w:val="both"/>
        <w:textAlignment w:val="auto"/>
        <w:rPr>
          <w:rFonts w:hint="default" w:ascii="仿宋_GB2312" w:hAnsi="仿宋_GB2312" w:eastAsia="仿宋_GB2312" w:cs="仿宋_GB2312"/>
          <w:color w:val="auto"/>
          <w:spacing w:val="0"/>
          <w:w w:val="100"/>
          <w:sz w:val="32"/>
          <w:szCs w:val="32"/>
          <w:highlight w:val="none"/>
          <w:u w:val="none"/>
          <w:lang w:val="en-US" w:eastAsia="zh-CN"/>
        </w:rPr>
      </w:pPr>
      <w:r>
        <w:rPr>
          <w:rFonts w:hint="eastAsia" w:ascii="黑体" w:hAnsi="黑体" w:eastAsia="黑体" w:cs="黑体"/>
          <w:color w:val="auto"/>
          <w:spacing w:val="0"/>
          <w:w w:val="100"/>
          <w:sz w:val="32"/>
          <w:szCs w:val="32"/>
          <w:highlight w:val="none"/>
          <w:u w:val="none"/>
          <w:lang w:val="zh-CN" w:eastAsia="zh-CN" w:bidi="zh-CN"/>
        </w:rPr>
        <w:t>第十</w:t>
      </w:r>
      <w:r>
        <w:rPr>
          <w:rFonts w:hint="eastAsia" w:ascii="黑体" w:hAnsi="黑体" w:eastAsia="黑体" w:cs="黑体"/>
          <w:color w:val="auto"/>
          <w:spacing w:val="0"/>
          <w:w w:val="100"/>
          <w:sz w:val="32"/>
          <w:szCs w:val="32"/>
          <w:highlight w:val="none"/>
          <w:u w:val="none"/>
          <w:lang w:val="en-US" w:eastAsia="zh-CN" w:bidi="zh-CN"/>
        </w:rPr>
        <w:t>四</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cs="仿宋_GB2312"/>
          <w:color w:val="auto"/>
          <w:spacing w:val="0"/>
          <w:w w:val="100"/>
          <w:sz w:val="32"/>
          <w:szCs w:val="32"/>
          <w:highlight w:val="none"/>
          <w:u w:val="none"/>
          <w:lang w:val="en-US" w:eastAsia="zh-CN"/>
        </w:rPr>
        <w:t>项目单位依据项目建议书批复文件，组织开展可行性研究，对项目技术和经济上的可行性、投资估算以及社会效益、节能、节水、资源综合利用、生态环境影响、社会稳定风险等进行全面分析论证，并落实主要建设条件。</w:t>
      </w:r>
    </w:p>
    <w:p w14:paraId="2454ADD8">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eastAsia="zh-CN"/>
        </w:rPr>
      </w:pPr>
      <w:r>
        <w:rPr>
          <w:rFonts w:hint="eastAsia" w:cs="仿宋_GB2312"/>
          <w:color w:val="auto"/>
          <w:spacing w:val="0"/>
          <w:w w:val="100"/>
          <w:sz w:val="32"/>
          <w:szCs w:val="32"/>
          <w:highlight w:val="none"/>
          <w:u w:val="none"/>
          <w:lang w:eastAsia="zh-CN"/>
        </w:rPr>
        <w:t>在可行性研究阶段，应当完成法律、行政法规明确的项目审批前置手续，按照有关规定获得相关部门审查意见。</w:t>
      </w:r>
    </w:p>
    <w:p w14:paraId="4C48D9DC">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zh-CN" w:eastAsia="zh-CN" w:bidi="zh-CN"/>
        </w:rPr>
        <w:t>第十五条</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项目可行性研究报告应当包含项目的勘察、设计、施工、监理以及重要设备、材料等采购活动的具体招标范围、招标组织形式和招标方式等内容。国家及省市另有规定的，从其规定。</w:t>
      </w:r>
    </w:p>
    <w:p w14:paraId="6843FE08">
      <w:pPr>
        <w:pStyle w:val="4"/>
        <w:keepNext w:val="0"/>
        <w:keepLines w:val="0"/>
        <w:pageBreakBefore w:val="0"/>
        <w:widowControl w:val="0"/>
        <w:tabs>
          <w:tab w:val="left" w:pos="2348"/>
        </w:tabs>
        <w:kinsoku/>
        <w:wordWrap/>
        <w:overflowPunct/>
        <w:topLinePunct w:val="0"/>
        <w:autoSpaceDE w:val="0"/>
        <w:autoSpaceDN w:val="0"/>
        <w:bidi w:val="0"/>
        <w:adjustRightInd/>
        <w:snapToGrid/>
        <w:spacing w:before="0" w:after="0" w:line="580" w:lineRule="exact"/>
        <w:ind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cs="仿宋_GB2312"/>
          <w:color w:val="auto"/>
          <w:spacing w:val="0"/>
          <w:w w:val="100"/>
          <w:sz w:val="32"/>
          <w:szCs w:val="32"/>
          <w:highlight w:val="none"/>
          <w:u w:val="none"/>
          <w:lang w:val="zh-CN" w:eastAsia="zh-CN"/>
        </w:rPr>
        <w:t>对于采取资本金注入方式的政府投资项目，应在可行性研究报告中明确项目资本金比例及筹措方式等内容。</w:t>
      </w:r>
    </w:p>
    <w:p w14:paraId="7236D41F">
      <w:pPr>
        <w:pStyle w:val="4"/>
        <w:keepNext w:val="0"/>
        <w:keepLines w:val="0"/>
        <w:pageBreakBefore w:val="0"/>
        <w:widowControl w:val="0"/>
        <w:tabs>
          <w:tab w:val="left" w:pos="2348"/>
        </w:tabs>
        <w:kinsoku/>
        <w:wordWrap/>
        <w:overflowPunct/>
        <w:topLinePunct w:val="0"/>
        <w:autoSpaceDE w:val="0"/>
        <w:autoSpaceDN w:val="0"/>
        <w:bidi w:val="0"/>
        <w:adjustRightInd/>
        <w:snapToGrid/>
        <w:spacing w:before="0" w:after="0" w:line="580" w:lineRule="exact"/>
        <w:ind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十六</w:t>
      </w:r>
      <w:r>
        <w:rPr>
          <w:rFonts w:hint="eastAsia" w:ascii="黑体" w:hAnsi="黑体" w:eastAsia="黑体" w:cs="黑体"/>
          <w:color w:val="auto"/>
          <w:spacing w:val="0"/>
          <w:w w:val="100"/>
          <w:sz w:val="32"/>
          <w:szCs w:val="32"/>
          <w:highlight w:val="none"/>
          <w:u w:val="none"/>
          <w:lang w:val="zh-CN" w:eastAsia="zh-CN" w:bidi="zh-CN"/>
        </w:rPr>
        <w:t>条</w:t>
      </w:r>
      <w:r>
        <w:rPr>
          <w:rFonts w:hint="eastAsia" w:ascii="黑体" w:hAnsi="黑体" w:eastAsia="黑体" w:cs="黑体"/>
          <w:color w:val="auto"/>
          <w:spacing w:val="0"/>
          <w:w w:val="100"/>
          <w:sz w:val="32"/>
          <w:szCs w:val="32"/>
          <w:highlight w:val="none"/>
          <w:u w:val="none"/>
          <w:lang w:val="en-US" w:eastAsia="zh-CN" w:bidi="zh-CN"/>
        </w:rPr>
        <w:t xml:space="preserve">  </w:t>
      </w:r>
      <w:r>
        <w:rPr>
          <w:rFonts w:hint="eastAsia" w:cs="仿宋_GB2312"/>
          <w:color w:val="auto"/>
          <w:spacing w:val="0"/>
          <w:w w:val="100"/>
          <w:sz w:val="32"/>
          <w:szCs w:val="32"/>
          <w:highlight w:val="none"/>
          <w:u w:val="none"/>
          <w:lang w:val="en-US" w:eastAsia="zh-CN"/>
        </w:rPr>
        <w:t>投资主管部门对符合规划选址、社会效益、节能、节水、资源综合利用、生态环境影响、社会稳定风险等要求，且在技术和经济上可行，具备建设条件的项目，批准可行性研究报告。</w:t>
      </w:r>
    </w:p>
    <w:p w14:paraId="6F182328">
      <w:pPr>
        <w:pStyle w:val="4"/>
        <w:keepNext w:val="0"/>
        <w:keepLines w:val="0"/>
        <w:pageBreakBefore w:val="0"/>
        <w:widowControl w:val="0"/>
        <w:tabs>
          <w:tab w:val="left" w:pos="2348"/>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default" w:cs="仿宋_GB2312"/>
          <w:color w:val="auto"/>
          <w:spacing w:val="0"/>
          <w:w w:val="100"/>
          <w:sz w:val="32"/>
          <w:szCs w:val="32"/>
          <w:highlight w:val="none"/>
          <w:u w:val="none"/>
          <w:lang w:val="en-US" w:eastAsia="zh-CN"/>
        </w:rPr>
      </w:pPr>
      <w:r>
        <w:rPr>
          <w:rFonts w:hint="eastAsia" w:ascii="黑体" w:hAnsi="黑体" w:eastAsia="黑体" w:cs="黑体"/>
          <w:color w:val="auto"/>
          <w:spacing w:val="0"/>
          <w:w w:val="100"/>
          <w:sz w:val="32"/>
          <w:szCs w:val="32"/>
          <w:highlight w:val="none"/>
          <w:u w:val="none"/>
          <w:lang w:val="zh-CN" w:eastAsia="zh-CN" w:bidi="zh-CN"/>
        </w:rPr>
        <w:t>第十</w:t>
      </w:r>
      <w:r>
        <w:rPr>
          <w:rFonts w:hint="eastAsia" w:ascii="黑体" w:hAnsi="黑体" w:eastAsia="黑体" w:cs="黑体"/>
          <w:color w:val="auto"/>
          <w:spacing w:val="0"/>
          <w:w w:val="100"/>
          <w:sz w:val="32"/>
          <w:szCs w:val="32"/>
          <w:highlight w:val="none"/>
          <w:u w:val="none"/>
          <w:lang w:val="en-US" w:eastAsia="zh-CN" w:bidi="zh-CN"/>
        </w:rPr>
        <w:t>七</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初步设计及概算应当由具有相应资质的设计单位依据可行性研究报告所确定的内容、规模和国家有关规范，明确各个单项工程（单位工程）的建设内容、建设规模、建设标准、用地规模、主要材料、设施规格和技术参数等设计方案，编制投资概算，投资概算应当包括国家及省</w:t>
      </w:r>
      <w:r>
        <w:rPr>
          <w:rFonts w:hint="eastAsia" w:cs="仿宋_GB2312"/>
          <w:color w:val="auto"/>
          <w:spacing w:val="0"/>
          <w:w w:val="100"/>
          <w:sz w:val="32"/>
          <w:szCs w:val="32"/>
          <w:highlight w:val="none"/>
          <w:u w:val="none"/>
          <w:lang w:val="en-US" w:eastAsia="zh-CN"/>
        </w:rPr>
        <w:t>市</w:t>
      </w:r>
      <w:r>
        <w:rPr>
          <w:rFonts w:hint="eastAsia" w:ascii="仿宋_GB2312" w:hAnsi="仿宋_GB2312" w:eastAsia="仿宋_GB2312" w:cs="仿宋_GB2312"/>
          <w:color w:val="auto"/>
          <w:spacing w:val="0"/>
          <w:w w:val="100"/>
          <w:sz w:val="32"/>
          <w:szCs w:val="32"/>
          <w:highlight w:val="none"/>
          <w:u w:val="none"/>
        </w:rPr>
        <w:t>规定的项目建设所需的全部费用，不得超标准、超规模设计。项目审批部门对符合可行性研究报告及国家有关标准和规范要求的初步设计及投资概算，予以批准（核定）</w:t>
      </w:r>
      <w:r>
        <w:rPr>
          <w:rFonts w:hint="eastAsia" w:cs="仿宋_GB2312"/>
          <w:color w:val="auto"/>
          <w:spacing w:val="0"/>
          <w:w w:val="100"/>
          <w:sz w:val="32"/>
          <w:szCs w:val="32"/>
          <w:highlight w:val="none"/>
          <w:u w:val="none"/>
          <w:lang w:val="en-US" w:eastAsia="zh-CN"/>
        </w:rPr>
        <w:t>。</w:t>
      </w:r>
    </w:p>
    <w:p w14:paraId="2BD4E383">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en-US" w:eastAsia="zh-CN" w:bidi="zh-CN"/>
        </w:rPr>
        <w:t>第十八条</w:t>
      </w:r>
      <w:r>
        <w:rPr>
          <w:rFonts w:hint="eastAsia"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 xml:space="preserve"> 经批准（核定）的初步设计及投资概算是项目建设实施和控制政府投资项目总投资的依据。</w:t>
      </w:r>
    </w:p>
    <w:p w14:paraId="190EECA8">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lang w:val="en-US" w:eastAsia="zh-CN" w:bidi="zh-CN"/>
        </w:rPr>
        <w:t>初步设计提出的</w:t>
      </w:r>
      <w:r>
        <w:rPr>
          <w:rFonts w:hint="eastAsia" w:cs="仿宋_GB2312"/>
          <w:color w:val="auto"/>
          <w:spacing w:val="0"/>
          <w:w w:val="100"/>
          <w:sz w:val="32"/>
          <w:szCs w:val="32"/>
          <w:highlight w:val="none"/>
          <w:u w:val="none"/>
          <w:lang w:val="en-US" w:eastAsia="zh-CN" w:bidi="zh-CN"/>
        </w:rPr>
        <w:t>投资</w:t>
      </w:r>
      <w:r>
        <w:rPr>
          <w:rFonts w:hint="eastAsia" w:ascii="仿宋_GB2312" w:hAnsi="仿宋_GB2312" w:eastAsia="仿宋_GB2312" w:cs="仿宋_GB2312"/>
          <w:color w:val="auto"/>
          <w:spacing w:val="0"/>
          <w:w w:val="100"/>
          <w:sz w:val="32"/>
          <w:szCs w:val="32"/>
          <w:highlight w:val="none"/>
          <w:u w:val="none"/>
          <w:lang w:val="en-US" w:eastAsia="zh-CN" w:bidi="zh-CN"/>
        </w:rPr>
        <w:t>概算超过经批准的可行性研究报告提出投资估算</w:t>
      </w:r>
      <w:r>
        <w:rPr>
          <w:rFonts w:hint="default" w:ascii="仿宋_GB2312" w:hAnsi="仿宋_GB2312" w:eastAsia="仿宋_GB2312" w:cs="仿宋_GB2312"/>
          <w:color w:val="auto"/>
          <w:spacing w:val="0"/>
          <w:w w:val="100"/>
          <w:sz w:val="32"/>
          <w:szCs w:val="32"/>
          <w:highlight w:val="none"/>
          <w:u w:val="none"/>
          <w:lang w:val="en-US" w:eastAsia="zh-CN" w:bidi="zh-CN"/>
        </w:rPr>
        <w:t>10</w:t>
      </w:r>
      <w:r>
        <w:rPr>
          <w:rFonts w:hint="eastAsia" w:ascii="仿宋_GB2312" w:hAnsi="仿宋_GB2312" w:eastAsia="仿宋_GB2312" w:cs="仿宋_GB2312"/>
          <w:color w:val="auto"/>
          <w:spacing w:val="0"/>
          <w:w w:val="100"/>
          <w:sz w:val="32"/>
          <w:szCs w:val="32"/>
          <w:highlight w:val="none"/>
          <w:u w:val="none"/>
          <w:lang w:val="en-US" w:eastAsia="zh-CN" w:bidi="zh-CN"/>
        </w:rPr>
        <w:t>%的，项目单位应当向项目审批部门报告。对初步设计未按可行性研究报告批复要求、擅自扩大工程量或提高建设标准的，项目审批部门应当不予批准其概算，并要求项目单位重新按照可行性研究报告批复进行初步设计、提出合理概算。对可行性研究不充分、不深入，导致估算不能满足建设需要的，项目审批部门应当要求项目单位重新编制和报送可行性研究报告。</w:t>
      </w:r>
    </w:p>
    <w:p w14:paraId="653D07A7">
      <w:pPr>
        <w:keepNext w:val="0"/>
        <w:keepLines w:val="0"/>
        <w:pageBreakBefore w:val="0"/>
        <w:widowControl w:val="0"/>
        <w:kinsoku/>
        <w:wordWrap/>
        <w:overflowPunct/>
        <w:topLinePunct w:val="0"/>
        <w:bidi w:val="0"/>
        <w:adjustRightInd/>
        <w:snapToGrid/>
        <w:spacing w:line="580" w:lineRule="exact"/>
        <w:ind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十九</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bidi="zh-CN"/>
        </w:rPr>
        <w:t xml:space="preserve">  </w:t>
      </w:r>
      <w:r>
        <w:rPr>
          <w:rFonts w:hint="eastAsia" w:ascii="仿宋_GB2312" w:hAnsi="仿宋_GB2312" w:eastAsia="仿宋_GB2312" w:cs="仿宋_GB2312"/>
          <w:color w:val="auto"/>
          <w:spacing w:val="0"/>
          <w:w w:val="100"/>
          <w:sz w:val="32"/>
          <w:szCs w:val="32"/>
          <w:highlight w:val="none"/>
          <w:u w:val="none"/>
          <w:lang w:val="zh-CN" w:eastAsia="zh-CN" w:bidi="zh-CN"/>
        </w:rPr>
        <w:t xml:space="preserve"> 项目建议书、可行性研究报告、初步设计批复文件中应当规定文件的有效期，有效期一般不超过2年。国家及省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zh-CN" w:eastAsia="zh-CN" w:bidi="zh-CN"/>
        </w:rPr>
        <w:t>另有规定的，从其规定</w:t>
      </w:r>
      <w:r>
        <w:rPr>
          <w:rFonts w:hint="eastAsia" w:ascii="仿宋_GB2312" w:hAnsi="仿宋_GB2312" w:eastAsia="仿宋_GB2312" w:cs="仿宋_GB2312"/>
          <w:color w:val="auto"/>
          <w:spacing w:val="0"/>
          <w:w w:val="100"/>
          <w:sz w:val="32"/>
          <w:szCs w:val="32"/>
          <w:highlight w:val="none"/>
          <w:u w:val="none"/>
          <w:lang w:val="en-US" w:eastAsia="zh-CN" w:bidi="zh-CN"/>
        </w:rPr>
        <w:t>。</w:t>
      </w:r>
    </w:p>
    <w:p w14:paraId="4A6D72E2">
      <w:pPr>
        <w:keepNext w:val="0"/>
        <w:keepLines w:val="0"/>
        <w:pageBreakBefore w:val="0"/>
        <w:widowControl w:val="0"/>
        <w:kinsoku/>
        <w:wordWrap/>
        <w:overflowPunct/>
        <w:topLinePunct w:val="0"/>
        <w:bidi w:val="0"/>
        <w:adjustRightInd/>
        <w:snapToGrid/>
        <w:spacing w:line="580" w:lineRule="exact"/>
        <w:ind w:firstLine="640" w:firstLineChars="200"/>
        <w:jc w:val="both"/>
        <w:textAlignment w:val="auto"/>
        <w:rPr>
          <w:rFonts w:hint="default"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zh-CN" w:eastAsia="zh-CN" w:bidi="zh-CN"/>
        </w:rPr>
        <w:t>项目审批部门应当通过在线平台与有关部门共享批复文件。</w:t>
      </w:r>
    </w:p>
    <w:p w14:paraId="231E39E8">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二十</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对经济社会发展、社会公众利益有重大影响或者投资规模较大的政府投资项目，项目审批部门应当在中介服务机构评估、公众参与、专家评议、风险评估的基础上作出是否批准的决定。</w:t>
      </w:r>
    </w:p>
    <w:p w14:paraId="10A1C0B9">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中介服务机构与编制项目建议书、可行性研究报告、初步设计的中介服务机构为同一单位、存在控股、管理关系或者负责人为同一人的，该中介服务机构不得承担该项目的评估工作。中介服务机构与项目单位存在控股、管理关系或者负责人为同一人的，该中介服务机构不得承担该项目评估工作。</w:t>
      </w:r>
    </w:p>
    <w:p w14:paraId="338FF716">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中介服务机构或有关人员不得收取项目单位的任何费用。</w:t>
      </w:r>
    </w:p>
    <w:p w14:paraId="36D843FF">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ascii="黑体" w:hAnsi="黑体" w:eastAsia="黑体" w:cs="黑体"/>
          <w:color w:val="auto"/>
          <w:spacing w:val="0"/>
          <w:w w:val="100"/>
          <w:sz w:val="32"/>
          <w:szCs w:val="32"/>
          <w:highlight w:val="none"/>
          <w:u w:val="none"/>
          <w:lang w:val="zh-CN" w:eastAsia="zh-CN" w:bidi="zh-CN"/>
        </w:rPr>
        <w:t>第二十</w:t>
      </w:r>
      <w:r>
        <w:rPr>
          <w:rFonts w:hint="eastAsia" w:ascii="黑体" w:hAnsi="黑体" w:eastAsia="黑体" w:cs="黑体"/>
          <w:color w:val="auto"/>
          <w:spacing w:val="0"/>
          <w:w w:val="100"/>
          <w:sz w:val="32"/>
          <w:szCs w:val="32"/>
          <w:highlight w:val="none"/>
          <w:u w:val="none"/>
          <w:lang w:val="en-US" w:eastAsia="zh-CN" w:bidi="zh-CN"/>
        </w:rPr>
        <w:t>一</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对政府投资项目不予批准的，应当书面通知项目单位并说明理由。　</w:t>
      </w:r>
    </w:p>
    <w:p w14:paraId="44DFE809">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ascii="黑体" w:hAnsi="黑体" w:eastAsia="黑体" w:cs="黑体"/>
          <w:color w:val="auto"/>
          <w:spacing w:val="0"/>
          <w:w w:val="100"/>
          <w:sz w:val="32"/>
          <w:szCs w:val="32"/>
          <w:highlight w:val="none"/>
          <w:u w:val="none"/>
          <w:lang w:val="en-US" w:eastAsia="zh-CN" w:bidi="zh-CN"/>
        </w:rPr>
        <w:t>第二十二条</w:t>
      </w:r>
      <w:r>
        <w:rPr>
          <w:rFonts w:hint="eastAsia" w:cs="仿宋_GB2312"/>
          <w:color w:val="auto"/>
          <w:spacing w:val="0"/>
          <w:w w:val="100"/>
          <w:sz w:val="32"/>
          <w:szCs w:val="32"/>
          <w:highlight w:val="none"/>
          <w:u w:val="none"/>
          <w:lang w:val="en-US" w:eastAsia="zh-CN"/>
        </w:rPr>
        <w:t xml:space="preserve">  </w:t>
      </w:r>
      <w:r>
        <w:rPr>
          <w:rFonts w:hint="eastAsia" w:cs="仿宋_GB2312"/>
          <w:color w:val="auto"/>
          <w:spacing w:val="0"/>
          <w:w w:val="100"/>
          <w:sz w:val="32"/>
          <w:szCs w:val="32"/>
          <w:highlight w:val="none"/>
          <w:u w:val="none"/>
          <w:lang w:val="zh-CN" w:eastAsia="zh-CN"/>
        </w:rPr>
        <w:t>对下列政府投资项目，可以按照有关规定简化需要报批的文件和审批程序：</w:t>
      </w:r>
    </w:p>
    <w:p w14:paraId="5D2B991A">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cs="仿宋_GB2312"/>
          <w:color w:val="auto"/>
          <w:spacing w:val="0"/>
          <w:w w:val="100"/>
          <w:sz w:val="32"/>
          <w:szCs w:val="32"/>
          <w:highlight w:val="none"/>
          <w:u w:val="none"/>
          <w:lang w:val="zh-CN" w:eastAsia="zh-CN"/>
        </w:rPr>
        <w:t>（一）经国务院及有关部门或者省级人民政府批准的发展规划、专项规划、区域规划中已经明确的项目，可以不再编制、审批项目建议书，直接编制、审批可行性研究报告（代项目建议书）。</w:t>
      </w:r>
    </w:p>
    <w:p w14:paraId="3256C6CD">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cs="仿宋_GB2312"/>
          <w:color w:val="auto"/>
          <w:spacing w:val="0"/>
          <w:w w:val="100"/>
          <w:sz w:val="32"/>
          <w:szCs w:val="32"/>
          <w:highlight w:val="none"/>
          <w:u w:val="none"/>
          <w:lang w:val="zh-CN" w:eastAsia="zh-CN"/>
        </w:rPr>
        <w:t>（二）总投资在3000万元以下的项目（含改扩建项目），可以合并编制、审批项目建议书、可行性研究报告。其中，总投资在1000万元以下项目（含改扩建项目）且建设内容单一、技术方案简单的，可以直接编制、审批初步设计。</w:t>
      </w:r>
    </w:p>
    <w:p w14:paraId="0439FC48">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cs="仿宋_GB2312"/>
          <w:color w:val="auto"/>
          <w:spacing w:val="0"/>
          <w:w w:val="100"/>
          <w:sz w:val="32"/>
          <w:szCs w:val="32"/>
          <w:highlight w:val="none"/>
          <w:u w:val="none"/>
          <w:lang w:val="zh-CN" w:eastAsia="zh-CN"/>
        </w:rPr>
        <w:t>（三）为应对自然灾害、事故灾难、公共卫生事件、社会安全事件等突发事件需要紧急建设的项目，可以合并编制、审批项目建议书、可行性研究报告和初步设计。</w:t>
      </w:r>
      <w:r>
        <w:rPr>
          <w:rFonts w:hint="eastAsia" w:cs="仿宋_GB2312"/>
          <w:color w:val="auto"/>
          <w:spacing w:val="0"/>
          <w:w w:val="100"/>
          <w:sz w:val="32"/>
          <w:szCs w:val="32"/>
          <w:highlight w:val="none"/>
          <w:u w:val="none"/>
          <w:lang w:val="en-US" w:eastAsia="zh-CN"/>
        </w:rPr>
        <w:t>区</w:t>
      </w:r>
      <w:r>
        <w:rPr>
          <w:rFonts w:hint="eastAsia" w:cs="仿宋_GB2312"/>
          <w:color w:val="auto"/>
          <w:spacing w:val="0"/>
          <w:w w:val="100"/>
          <w:sz w:val="32"/>
          <w:szCs w:val="32"/>
          <w:highlight w:val="none"/>
          <w:u w:val="none"/>
          <w:lang w:val="zh-CN" w:eastAsia="zh-CN"/>
        </w:rPr>
        <w:t>人民政府决定先行下达投资计划的，应及时补办项目相关审批手续。</w:t>
      </w:r>
    </w:p>
    <w:p w14:paraId="36766FF4">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cs="仿宋_GB2312"/>
          <w:color w:val="auto"/>
          <w:spacing w:val="0"/>
          <w:w w:val="100"/>
          <w:sz w:val="32"/>
          <w:szCs w:val="32"/>
          <w:highlight w:val="none"/>
          <w:u w:val="none"/>
          <w:lang w:val="zh-CN" w:eastAsia="zh-CN"/>
        </w:rPr>
        <w:t>前款第二项规定属于地方审批权限且建设内容单一、技术方案简单的项目具体范围，由</w:t>
      </w:r>
      <w:r>
        <w:rPr>
          <w:rFonts w:hint="eastAsia" w:cs="仿宋_GB2312"/>
          <w:color w:val="auto"/>
          <w:spacing w:val="0"/>
          <w:w w:val="100"/>
          <w:sz w:val="32"/>
          <w:szCs w:val="32"/>
          <w:highlight w:val="none"/>
          <w:u w:val="none"/>
          <w:lang w:val="en-US" w:eastAsia="zh-CN"/>
        </w:rPr>
        <w:t>区</w:t>
      </w:r>
      <w:r>
        <w:rPr>
          <w:rFonts w:hint="eastAsia" w:cs="仿宋_GB2312"/>
          <w:color w:val="auto"/>
          <w:spacing w:val="0"/>
          <w:w w:val="100"/>
          <w:sz w:val="32"/>
          <w:szCs w:val="32"/>
          <w:highlight w:val="none"/>
          <w:u w:val="none"/>
          <w:lang w:val="zh-CN" w:eastAsia="zh-CN"/>
        </w:rPr>
        <w:t>级投资主管部门根据上级具体规定作出解释。</w:t>
      </w:r>
    </w:p>
    <w:p w14:paraId="3398FF39">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cs="仿宋_GB2312"/>
          <w:color w:val="auto"/>
          <w:spacing w:val="0"/>
          <w:w w:val="100"/>
          <w:sz w:val="32"/>
          <w:szCs w:val="32"/>
          <w:highlight w:val="none"/>
          <w:u w:val="none"/>
          <w:lang w:val="zh-CN" w:eastAsia="zh-CN"/>
        </w:rPr>
        <w:t>国家和省对简化政府投资项目审批另有规定的，依照规定执行。</w:t>
      </w:r>
    </w:p>
    <w:p w14:paraId="2D3635FC">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zh-CN" w:eastAsia="zh-CN" w:bidi="zh-CN"/>
        </w:rPr>
      </w:pPr>
      <w:r>
        <w:rPr>
          <w:rFonts w:hint="eastAsia" w:ascii="黑体" w:hAnsi="黑体" w:eastAsia="黑体" w:cs="黑体"/>
          <w:color w:val="auto"/>
          <w:spacing w:val="0"/>
          <w:w w:val="100"/>
          <w:sz w:val="32"/>
          <w:szCs w:val="32"/>
          <w:highlight w:val="none"/>
          <w:u w:val="none"/>
          <w:lang w:val="en-US" w:eastAsia="zh-CN" w:bidi="zh-CN"/>
        </w:rPr>
        <w:t xml:space="preserve">第二十三条 </w:t>
      </w:r>
      <w:r>
        <w:rPr>
          <w:rFonts w:hint="eastAsia"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zh-CN" w:eastAsia="zh-CN" w:bidi="zh-CN"/>
        </w:rPr>
        <w:t>按规定简化报批手续的项目取得项目代码后，可由行业主管部门出具前期工作意见函。项目单位可凭前期工作意见函向自然资源（</w:t>
      </w:r>
      <w:r>
        <w:rPr>
          <w:rFonts w:hint="eastAsia" w:cs="仿宋_GB2312"/>
          <w:color w:val="auto"/>
          <w:spacing w:val="0"/>
          <w:w w:val="100"/>
          <w:sz w:val="32"/>
          <w:szCs w:val="32"/>
          <w:highlight w:val="none"/>
          <w:u w:val="none"/>
          <w:lang w:val="zh-CN" w:eastAsia="zh-CN"/>
        </w:rPr>
        <w:t>规划</w:t>
      </w:r>
      <w:r>
        <w:rPr>
          <w:rFonts w:hint="eastAsia" w:ascii="仿宋_GB2312" w:hAnsi="仿宋_GB2312" w:eastAsia="仿宋_GB2312" w:cs="仿宋_GB2312"/>
          <w:color w:val="auto"/>
          <w:spacing w:val="0"/>
          <w:w w:val="100"/>
          <w:sz w:val="32"/>
          <w:szCs w:val="32"/>
          <w:highlight w:val="none"/>
          <w:u w:val="none"/>
          <w:lang w:val="zh-CN" w:eastAsia="zh-CN" w:bidi="zh-CN"/>
        </w:rPr>
        <w:t>）等部门申请办理建设项目用地预审与选址意见书等审批手续。</w:t>
      </w:r>
    </w:p>
    <w:p w14:paraId="1D009D10">
      <w:pPr>
        <w:keepNext w:val="0"/>
        <w:keepLines w:val="0"/>
        <w:pageBreakBefore w:val="0"/>
        <w:widowControl w:val="0"/>
        <w:kinsoku/>
        <w:wordWrap/>
        <w:overflowPunct/>
        <w:topLinePunct w:val="0"/>
        <w:bidi w:val="0"/>
        <w:adjustRightInd/>
        <w:snapToGrid/>
        <w:spacing w:line="580" w:lineRule="exact"/>
        <w:ind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zh-CN" w:eastAsia="zh-CN" w:bidi="zh-CN"/>
        </w:rPr>
      </w:pPr>
      <w:r>
        <w:rPr>
          <w:rFonts w:hint="eastAsia" w:ascii="黑体" w:hAnsi="黑体" w:eastAsia="黑体" w:cs="黑体"/>
          <w:color w:val="auto"/>
          <w:spacing w:val="0"/>
          <w:w w:val="100"/>
          <w:sz w:val="32"/>
          <w:szCs w:val="32"/>
          <w:highlight w:val="none"/>
          <w:u w:val="none"/>
          <w:lang w:val="zh-CN" w:eastAsia="zh-CN" w:bidi="zh-CN"/>
        </w:rPr>
        <w:t>第二十</w:t>
      </w:r>
      <w:r>
        <w:rPr>
          <w:rFonts w:hint="eastAsia" w:ascii="黑体" w:hAnsi="黑体" w:eastAsia="黑体" w:cs="黑体"/>
          <w:color w:val="auto"/>
          <w:spacing w:val="0"/>
          <w:w w:val="100"/>
          <w:sz w:val="32"/>
          <w:szCs w:val="32"/>
          <w:highlight w:val="none"/>
          <w:u w:val="none"/>
          <w:lang w:val="en-US" w:eastAsia="zh-CN" w:bidi="zh-CN"/>
        </w:rPr>
        <w:t>四</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zh-CN" w:eastAsia="zh-CN" w:bidi="zh-CN"/>
        </w:rPr>
        <w:t xml:space="preserve"> 合并编制、审批项目建议书、可行性研究报告的，可行性研究报告应当增加项目必要性论证内容；直接编制、审批初步设计的，应当完成法律、行政法规明确的项目审批前置手续，报批文件应当达到初步设计要求，并增加项目必要性和可行性论证内容。</w:t>
      </w:r>
    </w:p>
    <w:p w14:paraId="36DA9F50">
      <w:pPr>
        <w:keepNext w:val="0"/>
        <w:keepLines w:val="0"/>
        <w:pageBreakBefore w:val="0"/>
        <w:widowControl w:val="0"/>
        <w:kinsoku/>
        <w:wordWrap/>
        <w:overflowPunct/>
        <w:topLinePunct w:val="0"/>
        <w:bidi w:val="0"/>
        <w:adjustRightInd/>
        <w:snapToGrid/>
        <w:spacing w:line="580" w:lineRule="exact"/>
        <w:ind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zh-CN" w:eastAsia="zh-CN" w:bidi="zh-CN"/>
        </w:rPr>
      </w:pPr>
      <w:r>
        <w:rPr>
          <w:rFonts w:hint="eastAsia" w:ascii="黑体" w:hAnsi="黑体" w:eastAsia="黑体" w:cs="黑体"/>
          <w:color w:val="auto"/>
          <w:spacing w:val="0"/>
          <w:w w:val="100"/>
          <w:sz w:val="32"/>
          <w:szCs w:val="32"/>
          <w:highlight w:val="none"/>
          <w:u w:val="none"/>
          <w:lang w:val="zh-CN" w:eastAsia="zh-CN" w:bidi="zh-CN"/>
        </w:rPr>
        <w:t>第二十五条</w:t>
      </w:r>
      <w:r>
        <w:rPr>
          <w:rFonts w:hint="eastAsia" w:ascii="仿宋_GB2312" w:hAnsi="仿宋_GB2312" w:eastAsia="仿宋_GB2312" w:cs="仿宋_GB2312"/>
          <w:color w:val="auto"/>
          <w:spacing w:val="0"/>
          <w:w w:val="100"/>
          <w:sz w:val="32"/>
          <w:szCs w:val="32"/>
          <w:highlight w:val="none"/>
          <w:u w:val="none"/>
          <w:lang w:val="en-US" w:eastAsia="zh-CN" w:bidi="zh-CN"/>
        </w:rPr>
        <w:t xml:space="preserve">  </w:t>
      </w:r>
      <w:r>
        <w:rPr>
          <w:rFonts w:hint="eastAsia" w:ascii="仿宋_GB2312" w:hAnsi="仿宋_GB2312" w:eastAsia="仿宋_GB2312" w:cs="仿宋_GB2312"/>
          <w:color w:val="auto"/>
          <w:spacing w:val="0"/>
          <w:w w:val="100"/>
          <w:sz w:val="32"/>
          <w:szCs w:val="32"/>
          <w:highlight w:val="none"/>
          <w:u w:val="none"/>
          <w:lang w:val="zh-CN" w:eastAsia="zh-CN" w:bidi="zh-CN"/>
        </w:rPr>
        <w:t>采取投资补助、贷款贴息等方式安排政府投资资金的，项目单位应当按照国家及省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zh-CN" w:eastAsia="zh-CN" w:bidi="zh-CN"/>
        </w:rPr>
        <w:t>有关规定办理手续。</w:t>
      </w:r>
    </w:p>
    <w:p w14:paraId="15CE1D38">
      <w:pPr>
        <w:pStyle w:val="2"/>
        <w:keepNext w:val="0"/>
        <w:keepLines w:val="0"/>
        <w:pageBreakBefore w:val="0"/>
        <w:widowControl w:val="0"/>
        <w:tabs>
          <w:tab w:val="left" w:pos="1439"/>
          <w:tab w:val="left" w:pos="2159"/>
        </w:tabs>
        <w:kinsoku/>
        <w:wordWrap/>
        <w:overflowPunct/>
        <w:topLinePunct w:val="0"/>
        <w:autoSpaceDE w:val="0"/>
        <w:autoSpaceDN w:val="0"/>
        <w:bidi w:val="0"/>
        <w:adjustRightInd/>
        <w:snapToGrid/>
        <w:spacing w:before="0" w:after="0" w:line="580" w:lineRule="exact"/>
        <w:ind w:right="0"/>
        <w:jc w:val="center"/>
        <w:textAlignment w:val="auto"/>
        <w:rPr>
          <w:rFonts w:hint="eastAsia" w:ascii="楷体_GB2312" w:hAnsi="楷体_GB2312" w:eastAsia="楷体_GB2312" w:cs="楷体_GB2312"/>
          <w:color w:val="auto"/>
          <w:spacing w:val="0"/>
          <w:w w:val="100"/>
          <w:highlight w:val="none"/>
          <w:u w:val="none"/>
        </w:rPr>
      </w:pPr>
    </w:p>
    <w:p w14:paraId="1533BE4A">
      <w:pPr>
        <w:pStyle w:val="2"/>
        <w:keepNext w:val="0"/>
        <w:keepLines w:val="0"/>
        <w:pageBreakBefore w:val="0"/>
        <w:widowControl w:val="0"/>
        <w:tabs>
          <w:tab w:val="left" w:pos="1439"/>
          <w:tab w:val="left" w:pos="2159"/>
        </w:tabs>
        <w:kinsoku/>
        <w:wordWrap/>
        <w:overflowPunct/>
        <w:topLinePunct w:val="0"/>
        <w:autoSpaceDE w:val="0"/>
        <w:autoSpaceDN w:val="0"/>
        <w:bidi w:val="0"/>
        <w:adjustRightInd/>
        <w:snapToGrid/>
        <w:spacing w:before="0" w:after="0" w:line="580" w:lineRule="exact"/>
        <w:ind w:right="0"/>
        <w:jc w:val="center"/>
        <w:textAlignment w:val="auto"/>
        <w:rPr>
          <w:rFonts w:hint="default" w:ascii="楷体_GB2312" w:hAnsi="楷体_GB2312" w:eastAsia="楷体_GB2312" w:cs="楷体_GB2312"/>
          <w:color w:val="auto"/>
          <w:spacing w:val="0"/>
          <w:w w:val="100"/>
          <w:highlight w:val="none"/>
          <w:u w:val="none"/>
          <w:lang w:val="en-US" w:eastAsia="zh-CN"/>
        </w:rPr>
      </w:pPr>
      <w:r>
        <w:rPr>
          <w:rFonts w:hint="eastAsia" w:ascii="楷体_GB2312" w:hAnsi="楷体_GB2312" w:eastAsia="楷体_GB2312" w:cs="楷体_GB2312"/>
          <w:color w:val="auto"/>
          <w:spacing w:val="0"/>
          <w:w w:val="100"/>
          <w:highlight w:val="none"/>
          <w:u w:val="none"/>
        </w:rPr>
        <w:t>第</w:t>
      </w:r>
      <w:r>
        <w:rPr>
          <w:rFonts w:hint="eastAsia" w:ascii="楷体_GB2312" w:hAnsi="楷体_GB2312" w:eastAsia="楷体_GB2312" w:cs="楷体_GB2312"/>
          <w:color w:val="auto"/>
          <w:spacing w:val="0"/>
          <w:w w:val="100"/>
          <w:highlight w:val="none"/>
          <w:u w:val="none"/>
          <w:lang w:val="en-US" w:eastAsia="zh-CN"/>
        </w:rPr>
        <w:t>三</w:t>
      </w:r>
      <w:r>
        <w:rPr>
          <w:rFonts w:hint="eastAsia" w:ascii="楷体_GB2312" w:hAnsi="楷体_GB2312" w:eastAsia="楷体_GB2312" w:cs="楷体_GB2312"/>
          <w:color w:val="auto"/>
          <w:spacing w:val="0"/>
          <w:w w:val="100"/>
          <w:highlight w:val="none"/>
          <w:u w:val="none"/>
        </w:rPr>
        <w:t>章</w:t>
      </w:r>
      <w:r>
        <w:rPr>
          <w:rFonts w:hint="eastAsia" w:ascii="楷体_GB2312" w:hAnsi="楷体_GB2312" w:eastAsia="楷体_GB2312" w:cs="楷体_GB2312"/>
          <w:color w:val="auto"/>
          <w:spacing w:val="0"/>
          <w:w w:val="100"/>
          <w:highlight w:val="none"/>
          <w:u w:val="none"/>
          <w:lang w:val="en-US" w:eastAsia="zh-CN"/>
        </w:rPr>
        <w:t xml:space="preserve">  政府投资年度计划</w:t>
      </w:r>
    </w:p>
    <w:p w14:paraId="4E7C3877">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zh-CN" w:eastAsia="zh-CN" w:bidi="zh-CN"/>
        </w:rPr>
      </w:pPr>
      <w:r>
        <w:rPr>
          <w:rFonts w:hint="eastAsia" w:ascii="黑体" w:hAnsi="黑体" w:eastAsia="黑体" w:cs="黑体"/>
          <w:color w:val="auto"/>
          <w:spacing w:val="0"/>
          <w:w w:val="100"/>
          <w:sz w:val="32"/>
          <w:szCs w:val="32"/>
          <w:highlight w:val="none"/>
          <w:u w:val="none"/>
        </w:rPr>
        <w:t>第</w:t>
      </w:r>
      <w:r>
        <w:rPr>
          <w:rFonts w:hint="eastAsia" w:ascii="黑体" w:hAnsi="黑体" w:eastAsia="黑体" w:cs="黑体"/>
          <w:color w:val="auto"/>
          <w:spacing w:val="0"/>
          <w:w w:val="100"/>
          <w:sz w:val="32"/>
          <w:szCs w:val="32"/>
          <w:highlight w:val="none"/>
          <w:u w:val="none"/>
          <w:lang w:val="en-US" w:eastAsia="zh-CN"/>
        </w:rPr>
        <w:t>二十六</w:t>
      </w:r>
      <w:r>
        <w:rPr>
          <w:rFonts w:hint="eastAsia" w:ascii="黑体" w:hAnsi="黑体" w:eastAsia="黑体" w:cs="黑体"/>
          <w:color w:val="auto"/>
          <w:spacing w:val="0"/>
          <w:w w:val="100"/>
          <w:sz w:val="32"/>
          <w:szCs w:val="32"/>
          <w:highlight w:val="none"/>
          <w:u w:val="none"/>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zh-CN" w:eastAsia="zh-CN" w:bidi="zh-CN"/>
        </w:rPr>
        <w:t>政府投资主管部门对其负责安排的政府投资编制政府投资年度计划。</w:t>
      </w:r>
      <w:r>
        <w:rPr>
          <w:rFonts w:hint="eastAsia" w:cs="仿宋_GB2312"/>
          <w:color w:val="auto"/>
          <w:spacing w:val="0"/>
          <w:w w:val="100"/>
          <w:sz w:val="32"/>
          <w:szCs w:val="32"/>
          <w:highlight w:val="none"/>
          <w:u w:val="none"/>
          <w:lang w:val="en-US" w:eastAsia="zh-CN" w:bidi="zh-CN"/>
        </w:rPr>
        <w:t>数据资源管理部门对其负责的政务信息化项目</w:t>
      </w:r>
      <w:r>
        <w:rPr>
          <w:rFonts w:hint="eastAsia" w:ascii="仿宋_GB2312" w:hAnsi="仿宋_GB2312" w:eastAsia="仿宋_GB2312" w:cs="仿宋_GB2312"/>
          <w:color w:val="auto"/>
          <w:spacing w:val="0"/>
          <w:w w:val="100"/>
          <w:sz w:val="32"/>
          <w:szCs w:val="32"/>
          <w:highlight w:val="none"/>
          <w:u w:val="none"/>
          <w:lang w:val="zh-CN" w:eastAsia="zh-CN" w:bidi="zh-CN"/>
        </w:rPr>
        <w:t>编制投资年度计划。</w:t>
      </w:r>
    </w:p>
    <w:p w14:paraId="53C3C4A5">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cs="仿宋_GB2312"/>
          <w:color w:val="auto"/>
          <w:spacing w:val="0"/>
          <w:w w:val="100"/>
          <w:sz w:val="32"/>
          <w:szCs w:val="32"/>
          <w:highlight w:val="none"/>
          <w:u w:val="none"/>
          <w:lang w:val="en-US" w:eastAsia="zh-CN"/>
        </w:rPr>
        <w:t>财政部门</w:t>
      </w:r>
      <w:r>
        <w:rPr>
          <w:rFonts w:hint="eastAsia" w:ascii="仿宋_GB2312" w:hAnsi="仿宋_GB2312" w:eastAsia="仿宋_GB2312" w:cs="仿宋_GB2312"/>
          <w:color w:val="auto"/>
          <w:spacing w:val="0"/>
          <w:w w:val="100"/>
          <w:sz w:val="32"/>
          <w:szCs w:val="32"/>
          <w:highlight w:val="none"/>
          <w:u w:val="none"/>
        </w:rPr>
        <w:t>安排一定前期工作经费予以保障</w:t>
      </w:r>
      <w:r>
        <w:rPr>
          <w:rFonts w:hint="eastAsia" w:cs="仿宋_GB2312"/>
          <w:color w:val="auto"/>
          <w:spacing w:val="0"/>
          <w:w w:val="100"/>
          <w:sz w:val="32"/>
          <w:szCs w:val="32"/>
          <w:highlight w:val="none"/>
          <w:u w:val="none"/>
          <w:lang w:val="en-US" w:eastAsia="zh-CN"/>
        </w:rPr>
        <w:t>政府投资项目前期工作</w:t>
      </w:r>
      <w:r>
        <w:rPr>
          <w:rFonts w:hint="eastAsia" w:cs="仿宋_GB2312"/>
          <w:color w:val="auto"/>
          <w:spacing w:val="0"/>
          <w:w w:val="100"/>
          <w:sz w:val="32"/>
          <w:szCs w:val="32"/>
          <w:highlight w:val="none"/>
          <w:u w:val="none"/>
          <w:lang w:eastAsia="zh-CN"/>
        </w:rPr>
        <w:t>。</w:t>
      </w:r>
    </w:p>
    <w:p w14:paraId="55AAF18A">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en-US" w:eastAsia="zh-CN"/>
        </w:rPr>
        <w:t>第二十七条</w:t>
      </w:r>
      <w:r>
        <w:rPr>
          <w:rFonts w:hint="eastAsia"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政府投资年度计划应优先考虑续建项目，申请纳入的新建项目应当符合下列条件</w:t>
      </w:r>
      <w:r>
        <w:rPr>
          <w:rFonts w:hint="eastAsia" w:cs="仿宋_GB2312"/>
          <w:color w:val="auto"/>
          <w:spacing w:val="0"/>
          <w:w w:val="100"/>
          <w:sz w:val="32"/>
          <w:szCs w:val="32"/>
          <w:highlight w:val="none"/>
          <w:u w:val="none"/>
          <w:lang w:val="en-US" w:eastAsia="zh-CN"/>
        </w:rPr>
        <w:t>之一</w:t>
      </w:r>
      <w:r>
        <w:rPr>
          <w:rFonts w:hint="eastAsia" w:ascii="仿宋_GB2312" w:hAnsi="仿宋_GB2312" w:eastAsia="仿宋_GB2312" w:cs="仿宋_GB2312"/>
          <w:color w:val="auto"/>
          <w:spacing w:val="0"/>
          <w:w w:val="100"/>
          <w:sz w:val="32"/>
          <w:szCs w:val="32"/>
          <w:highlight w:val="none"/>
          <w:u w:val="none"/>
          <w:lang w:eastAsia="zh-CN"/>
        </w:rPr>
        <w:t>：</w:t>
      </w:r>
    </w:p>
    <w:p w14:paraId="79A276B9">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rPr>
      </w:pPr>
      <w:r>
        <w:rPr>
          <w:rFonts w:hint="eastAsia" w:ascii="仿宋_GB2312" w:hAnsi="仿宋_GB2312" w:eastAsia="仿宋_GB2312" w:cs="仿宋_GB2312"/>
          <w:color w:val="auto"/>
          <w:spacing w:val="0"/>
          <w:w w:val="100"/>
          <w:sz w:val="32"/>
          <w:szCs w:val="32"/>
          <w:highlight w:val="none"/>
          <w:u w:val="none"/>
        </w:rPr>
        <w:t>（一）采取直接投资、资本金注入方式的，可行性研究报告已经批准或者投资概算已经核定。</w:t>
      </w:r>
    </w:p>
    <w:p w14:paraId="06476EE3">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rPr>
      </w:pPr>
      <w:r>
        <w:rPr>
          <w:rFonts w:hint="eastAsia" w:ascii="仿宋_GB2312" w:hAnsi="仿宋_GB2312" w:eastAsia="仿宋_GB2312" w:cs="仿宋_GB2312"/>
          <w:color w:val="auto"/>
          <w:spacing w:val="0"/>
          <w:w w:val="100"/>
          <w:sz w:val="32"/>
          <w:szCs w:val="32"/>
          <w:highlight w:val="none"/>
          <w:u w:val="none"/>
        </w:rPr>
        <w:t>（二）采取投资补助、贷款贴息等方式的，已经按照国家有关规定办理手续。</w:t>
      </w:r>
    </w:p>
    <w:p w14:paraId="70BFC98F">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rPr>
        <w:t>（三）经政府研究确定需建设的项目</w:t>
      </w:r>
      <w:r>
        <w:rPr>
          <w:rFonts w:hint="eastAsia" w:ascii="仿宋_GB2312" w:hAnsi="仿宋_GB2312" w:eastAsia="仿宋_GB2312" w:cs="仿宋_GB2312"/>
          <w:color w:val="auto"/>
          <w:spacing w:val="0"/>
          <w:w w:val="100"/>
          <w:sz w:val="32"/>
          <w:szCs w:val="32"/>
          <w:highlight w:val="none"/>
          <w:u w:val="none"/>
          <w:lang w:eastAsia="zh-CN"/>
        </w:rPr>
        <w:t>。</w:t>
      </w:r>
    </w:p>
    <w:p w14:paraId="40CDE626">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rPr>
        <w:t>第</w:t>
      </w:r>
      <w:r>
        <w:rPr>
          <w:rFonts w:hint="eastAsia" w:ascii="黑体" w:hAnsi="黑体" w:eastAsia="黑体" w:cs="黑体"/>
          <w:color w:val="auto"/>
          <w:spacing w:val="0"/>
          <w:w w:val="100"/>
          <w:sz w:val="32"/>
          <w:szCs w:val="32"/>
          <w:highlight w:val="none"/>
          <w:u w:val="none"/>
          <w:lang w:val="en-US" w:eastAsia="zh-CN"/>
        </w:rPr>
        <w:t>二十八</w:t>
      </w:r>
      <w:r>
        <w:rPr>
          <w:rFonts w:hint="eastAsia" w:ascii="黑体" w:hAnsi="黑体" w:eastAsia="黑体" w:cs="黑体"/>
          <w:color w:val="auto"/>
          <w:spacing w:val="0"/>
          <w:w w:val="100"/>
          <w:sz w:val="32"/>
          <w:szCs w:val="32"/>
          <w:highlight w:val="none"/>
          <w:u w:val="none"/>
        </w:rPr>
        <w:t>条</w:t>
      </w:r>
      <w:r>
        <w:rPr>
          <w:rFonts w:hint="eastAsia" w:ascii="黑体" w:hAnsi="黑体" w:eastAsia="黑体" w:cs="黑体"/>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eastAsia="zh-CN"/>
        </w:rPr>
        <w:t>申请政府投资年度计划的项目，项目单位应当编制年度资金申请报告。年度资金申请报告应包含以下主要内容：</w:t>
      </w:r>
    </w:p>
    <w:p w14:paraId="727EA5F2">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lang w:eastAsia="zh-CN"/>
        </w:rPr>
        <w:t>（一）项目单位的基本情况。</w:t>
      </w:r>
    </w:p>
    <w:p w14:paraId="66711C20">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lang w:eastAsia="zh-CN"/>
        </w:rPr>
        <w:t>（二）项目的基本情况，包括项目名称、项目代码、建设内容、总投资及资金来源、建设条件落实情况以及完成审批（核准、备案）情况等。</w:t>
      </w:r>
    </w:p>
    <w:p w14:paraId="7080B638">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lang w:eastAsia="zh-CN"/>
        </w:rPr>
        <w:t>（三）申请投资的主要理由和政策依据，以及申请金额。</w:t>
      </w:r>
    </w:p>
    <w:p w14:paraId="1599CE11">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lang w:eastAsia="zh-CN"/>
        </w:rPr>
        <w:t>（四）项目绩效情况分析。</w:t>
      </w:r>
    </w:p>
    <w:p w14:paraId="0B218A53">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lang w:eastAsia="zh-CN"/>
        </w:rPr>
        <w:t>（五）其他需要说明的情况。</w:t>
      </w:r>
    </w:p>
    <w:p w14:paraId="6ACBC9B5">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lang w:eastAsia="zh-CN"/>
        </w:rPr>
        <w:t>项目单位应对所提交的年度资金申请报告内容及附件的真实性负责。</w:t>
      </w:r>
    </w:p>
    <w:p w14:paraId="496E5E6C">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lang w:eastAsia="zh-CN"/>
        </w:rPr>
        <w:t>续建项目可简化资金申请报告内容，主要说明上一年度项目绩效完成情况、本年度拟申请的资金和项目绩效情况分析。</w:t>
      </w:r>
    </w:p>
    <w:p w14:paraId="156251C1">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rPr>
        <w:t>第</w:t>
      </w:r>
      <w:r>
        <w:rPr>
          <w:rFonts w:hint="eastAsia" w:ascii="黑体" w:hAnsi="黑体" w:eastAsia="黑体" w:cs="黑体"/>
          <w:color w:val="auto"/>
          <w:spacing w:val="0"/>
          <w:w w:val="100"/>
          <w:sz w:val="32"/>
          <w:szCs w:val="32"/>
          <w:highlight w:val="none"/>
          <w:u w:val="none"/>
          <w:lang w:eastAsia="zh-CN"/>
        </w:rPr>
        <w:t>二十九</w:t>
      </w:r>
      <w:r>
        <w:rPr>
          <w:rFonts w:hint="eastAsia" w:ascii="黑体" w:hAnsi="黑体" w:eastAsia="黑体" w:cs="黑体"/>
          <w:color w:val="auto"/>
          <w:spacing w:val="0"/>
          <w:w w:val="100"/>
          <w:sz w:val="32"/>
          <w:szCs w:val="32"/>
          <w:highlight w:val="none"/>
          <w:u w:val="none"/>
        </w:rPr>
        <w:t>条</w:t>
      </w:r>
      <w:r>
        <w:rPr>
          <w:rFonts w:hint="eastAsia" w:ascii="黑体" w:hAnsi="黑体" w:eastAsia="黑体" w:cs="黑体"/>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cs="仿宋_GB2312"/>
          <w:color w:val="auto"/>
          <w:spacing w:val="0"/>
          <w:w w:val="100"/>
          <w:sz w:val="32"/>
          <w:szCs w:val="32"/>
          <w:highlight w:val="none"/>
          <w:u w:val="none"/>
          <w:lang w:val="en-US" w:eastAsia="zh-CN"/>
        </w:rPr>
        <w:t>政府投资主管部门提出区级政府投资项目计划，报区政府常务会议研究后列入计划草案，经法定程序审议批准后，由区政府正式印发实施</w:t>
      </w:r>
      <w:r>
        <w:rPr>
          <w:rFonts w:hint="eastAsia" w:ascii="仿宋_GB2312" w:hAnsi="仿宋_GB2312" w:eastAsia="仿宋_GB2312" w:cs="仿宋_GB2312"/>
          <w:color w:val="auto"/>
          <w:spacing w:val="0"/>
          <w:w w:val="100"/>
          <w:sz w:val="32"/>
          <w:szCs w:val="32"/>
          <w:highlight w:val="none"/>
          <w:u w:val="none"/>
          <w:lang w:eastAsia="zh-CN"/>
        </w:rPr>
        <w:t>。</w:t>
      </w:r>
    </w:p>
    <w:p w14:paraId="1A153EF4">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rPr>
      </w:pPr>
      <w:r>
        <w:rPr>
          <w:rFonts w:hint="eastAsia" w:ascii="仿宋_GB2312" w:hAnsi="仿宋_GB2312" w:eastAsia="仿宋_GB2312" w:cs="仿宋_GB2312"/>
          <w:color w:val="auto"/>
          <w:spacing w:val="0"/>
          <w:w w:val="100"/>
          <w:sz w:val="32"/>
          <w:szCs w:val="32"/>
          <w:highlight w:val="none"/>
          <w:u w:val="none"/>
        </w:rPr>
        <w:t>政府投资年度计划应当和本级预算相衔接。对于纳入政府投资年度计划的项目，投资主管部门或其他有关部门应当根据项目实施进度和预算安排情况，一次或者分次下达投资计划。</w:t>
      </w:r>
    </w:p>
    <w:p w14:paraId="5692BDD7">
      <w:pPr>
        <w:rPr>
          <w:rFonts w:hint="eastAsia" w:ascii="仿宋_GB2312" w:hAnsi="仿宋_GB2312" w:eastAsia="仿宋_GB2312" w:cs="仿宋_GB2312"/>
          <w:color w:val="auto"/>
          <w:spacing w:val="0"/>
          <w:w w:val="100"/>
          <w:sz w:val="32"/>
          <w:szCs w:val="32"/>
          <w:highlight w:val="none"/>
          <w:u w:val="none"/>
        </w:rPr>
      </w:pPr>
    </w:p>
    <w:p w14:paraId="69608C93">
      <w:pPr>
        <w:pStyle w:val="2"/>
        <w:keepNext w:val="0"/>
        <w:keepLines w:val="0"/>
        <w:pageBreakBefore w:val="0"/>
        <w:widowControl w:val="0"/>
        <w:tabs>
          <w:tab w:val="left" w:pos="1439"/>
          <w:tab w:val="left" w:pos="2159"/>
        </w:tabs>
        <w:kinsoku/>
        <w:wordWrap/>
        <w:overflowPunct/>
        <w:topLinePunct w:val="0"/>
        <w:autoSpaceDE w:val="0"/>
        <w:autoSpaceDN w:val="0"/>
        <w:bidi w:val="0"/>
        <w:adjustRightInd/>
        <w:snapToGrid/>
        <w:spacing w:before="0" w:after="0" w:line="580" w:lineRule="exact"/>
        <w:ind w:right="0"/>
        <w:jc w:val="center"/>
        <w:textAlignment w:val="auto"/>
        <w:rPr>
          <w:rFonts w:hint="default" w:ascii="楷体_GB2312" w:hAnsi="楷体_GB2312" w:eastAsia="楷体_GB2312" w:cs="楷体_GB2312"/>
          <w:color w:val="auto"/>
          <w:spacing w:val="0"/>
          <w:w w:val="100"/>
          <w:sz w:val="36"/>
          <w:szCs w:val="36"/>
          <w:highlight w:val="none"/>
          <w:u w:val="none"/>
          <w:lang w:val="en-US" w:eastAsia="zh-CN"/>
        </w:rPr>
      </w:pPr>
      <w:r>
        <w:rPr>
          <w:rFonts w:hint="eastAsia" w:ascii="楷体_GB2312" w:hAnsi="楷体_GB2312" w:eastAsia="楷体_GB2312" w:cs="楷体_GB2312"/>
          <w:color w:val="auto"/>
          <w:spacing w:val="0"/>
          <w:w w:val="100"/>
          <w:sz w:val="36"/>
          <w:szCs w:val="36"/>
          <w:highlight w:val="none"/>
          <w:u w:val="none"/>
        </w:rPr>
        <w:t>第四章</w:t>
      </w:r>
      <w:r>
        <w:rPr>
          <w:rFonts w:hint="eastAsia" w:ascii="楷体_GB2312" w:hAnsi="楷体_GB2312" w:eastAsia="楷体_GB2312" w:cs="楷体_GB2312"/>
          <w:color w:val="auto"/>
          <w:spacing w:val="0"/>
          <w:w w:val="100"/>
          <w:sz w:val="36"/>
          <w:szCs w:val="36"/>
          <w:highlight w:val="none"/>
          <w:u w:val="none"/>
          <w:lang w:val="en-US" w:eastAsia="zh-CN"/>
        </w:rPr>
        <w:t xml:space="preserve">  政府投资项目实施</w:t>
      </w:r>
    </w:p>
    <w:p w14:paraId="3ECC5771">
      <w:pPr>
        <w:pStyle w:val="4"/>
        <w:keepNext w:val="0"/>
        <w:keepLines w:val="0"/>
        <w:pageBreakBefore w:val="0"/>
        <w:widowControl w:val="0"/>
        <w:tabs>
          <w:tab w:val="left" w:pos="2348"/>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三十</w:t>
      </w:r>
      <w:r>
        <w:rPr>
          <w:rFonts w:hint="eastAsia" w:ascii="黑体" w:hAnsi="黑体" w:eastAsia="黑体" w:cs="黑体"/>
          <w:color w:val="auto"/>
          <w:spacing w:val="0"/>
          <w:w w:val="100"/>
          <w:sz w:val="32"/>
          <w:szCs w:val="32"/>
          <w:highlight w:val="none"/>
          <w:u w:val="none"/>
          <w:lang w:val="zh-CN" w:eastAsia="zh-CN" w:bidi="zh-CN"/>
        </w:rPr>
        <w:t>条</w:t>
      </w:r>
      <w:r>
        <w:rPr>
          <w:rFonts w:hint="eastAsia" w:ascii="黑体" w:hAnsi="黑体" w:eastAsia="黑体" w:cs="黑体"/>
          <w:color w:val="auto"/>
          <w:spacing w:val="0"/>
          <w:w w:val="100"/>
          <w:sz w:val="32"/>
          <w:szCs w:val="32"/>
          <w:highlight w:val="none"/>
          <w:u w:val="none"/>
          <w:lang w:val="en-US" w:eastAsia="zh-CN" w:bidi="zh-CN"/>
        </w:rPr>
        <w:t xml:space="preserve">  </w:t>
      </w:r>
      <w:r>
        <w:rPr>
          <w:rFonts w:hint="eastAsia" w:ascii="仿宋_GB2312" w:hAnsi="仿宋_GB2312" w:eastAsia="仿宋_GB2312" w:cs="仿宋_GB2312"/>
          <w:color w:val="auto"/>
          <w:spacing w:val="0"/>
          <w:w w:val="100"/>
          <w:sz w:val="32"/>
          <w:szCs w:val="32"/>
          <w:highlight w:val="none"/>
          <w:u w:val="none"/>
        </w:rPr>
        <w:t>项目建设单位应当依照批准的初步设计及概算委托有资质的机构编制施工图设计文件和工程量清单预算，并经第三方机构审查审核，确定项目招标控制价</w:t>
      </w:r>
      <w:r>
        <w:rPr>
          <w:rFonts w:hint="eastAsia" w:ascii="仿宋_GB2312" w:hAnsi="仿宋_GB2312" w:eastAsia="仿宋_GB2312" w:cs="仿宋_GB2312"/>
          <w:color w:val="auto"/>
          <w:spacing w:val="0"/>
          <w:w w:val="100"/>
          <w:sz w:val="32"/>
          <w:szCs w:val="32"/>
          <w:highlight w:val="none"/>
          <w:u w:val="none"/>
          <w:lang w:eastAsia="zh-CN"/>
        </w:rPr>
        <w:t>。</w:t>
      </w:r>
    </w:p>
    <w:p w14:paraId="081CA9F3">
      <w:pPr>
        <w:pStyle w:val="4"/>
        <w:keepNext w:val="0"/>
        <w:keepLines w:val="0"/>
        <w:pageBreakBefore w:val="0"/>
        <w:widowControl w:val="0"/>
        <w:tabs>
          <w:tab w:val="left" w:pos="2348"/>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三十一</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项目建设单位依据审查审核后的施工图纸和工程量清单，在公共资源交易平台依法进行招投标，确定中标单位</w:t>
      </w:r>
      <w:r>
        <w:rPr>
          <w:rFonts w:hint="eastAsia" w:ascii="仿宋_GB2312" w:hAnsi="仿宋_GB2312" w:eastAsia="仿宋_GB2312" w:cs="仿宋_GB2312"/>
          <w:color w:val="auto"/>
          <w:spacing w:val="0"/>
          <w:w w:val="100"/>
          <w:sz w:val="32"/>
          <w:szCs w:val="32"/>
          <w:highlight w:val="none"/>
          <w:u w:val="none"/>
          <w:lang w:eastAsia="zh-CN"/>
        </w:rPr>
        <w:t>。</w:t>
      </w:r>
    </w:p>
    <w:p w14:paraId="0BB29A18">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rPr>
        <w:t>项目中标价不得超过项目招标控制价</w:t>
      </w:r>
      <w:r>
        <w:rPr>
          <w:rFonts w:hint="eastAsia" w:ascii="仿宋_GB2312" w:hAnsi="仿宋_GB2312" w:eastAsia="仿宋_GB2312" w:cs="仿宋_GB2312"/>
          <w:color w:val="auto"/>
          <w:spacing w:val="0"/>
          <w:w w:val="100"/>
          <w:sz w:val="32"/>
          <w:szCs w:val="32"/>
          <w:highlight w:val="none"/>
          <w:u w:val="none"/>
          <w:lang w:eastAsia="zh-CN"/>
        </w:rPr>
        <w:t>。</w:t>
      </w:r>
    </w:p>
    <w:p w14:paraId="2D839D0F">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三十二</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eastAsia="zh-CN"/>
        </w:rPr>
        <w:t>政府投资项目开工建设，应当符合有关法律、法规和本办法规定的建设条件；不符合规定条件的，不得开工建设。</w:t>
      </w:r>
    </w:p>
    <w:p w14:paraId="3886A207">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仿宋_GB2312" w:hAnsi="仿宋_GB2312" w:eastAsia="仿宋_GB2312" w:cs="仿宋_GB2312"/>
          <w:color w:val="auto"/>
          <w:spacing w:val="0"/>
          <w:w w:val="100"/>
          <w:sz w:val="32"/>
          <w:szCs w:val="32"/>
          <w:highlight w:val="none"/>
          <w:u w:val="none"/>
          <w:lang w:eastAsia="zh-CN"/>
        </w:rPr>
        <w:t>国务院规定应当审批开工报告的重大政府投资项目，按照规定办理开工报告审批手续后方可开工建设。</w:t>
      </w:r>
    </w:p>
    <w:p w14:paraId="57CA2E7F">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en-US" w:eastAsia="zh-CN"/>
        </w:rPr>
        <w:t>第三十三条</w:t>
      </w:r>
      <w:r>
        <w:rPr>
          <w:rFonts w:hint="eastAsia"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政府投资项目建设实行部门负责制，积极推进项目代建制，交通、水利、林业、农业</w:t>
      </w:r>
      <w:r>
        <w:rPr>
          <w:rFonts w:hint="eastAsia" w:cs="仿宋_GB2312"/>
          <w:color w:val="auto"/>
          <w:spacing w:val="0"/>
          <w:w w:val="100"/>
          <w:sz w:val="32"/>
          <w:szCs w:val="32"/>
          <w:highlight w:val="none"/>
          <w:u w:val="none"/>
          <w:lang w:eastAsia="zh-CN"/>
        </w:rPr>
        <w:t>、</w:t>
      </w:r>
      <w:r>
        <w:rPr>
          <w:rFonts w:hint="eastAsia" w:cs="仿宋_GB2312"/>
          <w:color w:val="auto"/>
          <w:spacing w:val="0"/>
          <w:w w:val="100"/>
          <w:sz w:val="32"/>
          <w:szCs w:val="32"/>
          <w:highlight w:val="none"/>
          <w:u w:val="none"/>
          <w:lang w:val="en-US" w:eastAsia="zh-CN"/>
        </w:rPr>
        <w:t>住建</w:t>
      </w:r>
      <w:r>
        <w:rPr>
          <w:rFonts w:hint="eastAsia" w:ascii="仿宋_GB2312" w:hAnsi="仿宋_GB2312" w:eastAsia="仿宋_GB2312" w:cs="仿宋_GB2312"/>
          <w:color w:val="auto"/>
          <w:spacing w:val="0"/>
          <w:w w:val="100"/>
          <w:sz w:val="32"/>
          <w:szCs w:val="32"/>
          <w:highlight w:val="none"/>
          <w:u w:val="none"/>
        </w:rPr>
        <w:t>等行业部门项目由各行业部门实施。</w:t>
      </w:r>
    </w:p>
    <w:p w14:paraId="0692C73A">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zh-CN" w:eastAsia="zh-CN"/>
        </w:rPr>
      </w:pPr>
      <w:r>
        <w:rPr>
          <w:rFonts w:hint="default" w:ascii="仿宋_GB2312" w:hAnsi="仿宋_GB2312" w:eastAsia="仿宋_GB2312" w:cs="仿宋_GB2312"/>
          <w:color w:val="auto"/>
          <w:spacing w:val="0"/>
          <w:w w:val="100"/>
          <w:sz w:val="32"/>
          <w:szCs w:val="32"/>
          <w:highlight w:val="none"/>
          <w:u w:val="none"/>
          <w:lang w:val="zh-CN" w:eastAsia="zh-CN"/>
        </w:rPr>
        <w:t>鼓励政府投资项目推行工程总承包、全过程咨询服务，提倡采用建筑信息模型 (BIM)、装配式建筑、绿色建筑等新技术新工艺</w:t>
      </w:r>
      <w:r>
        <w:rPr>
          <w:rFonts w:hint="eastAsia" w:cs="仿宋_GB2312"/>
          <w:color w:val="auto"/>
          <w:spacing w:val="0"/>
          <w:w w:val="100"/>
          <w:sz w:val="32"/>
          <w:szCs w:val="32"/>
          <w:highlight w:val="none"/>
          <w:u w:val="none"/>
          <w:lang w:val="zh-CN" w:eastAsia="zh-CN"/>
        </w:rPr>
        <w:t>。</w:t>
      </w:r>
    </w:p>
    <w:p w14:paraId="0AF0046A">
      <w:pPr>
        <w:pStyle w:val="4"/>
        <w:keepNext w:val="0"/>
        <w:keepLines w:val="0"/>
        <w:pageBreakBefore w:val="0"/>
        <w:widowControl w:val="0"/>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val="zh-CN" w:eastAsia="zh-CN" w:bidi="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三十四</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eastAsia="zh-CN"/>
        </w:rPr>
        <w:t>政府投资项目所需资金应当按照国家及省</w:t>
      </w:r>
      <w:r>
        <w:rPr>
          <w:rFonts w:hint="eastAsia" w:cs="仿宋_GB2312"/>
          <w:color w:val="auto"/>
          <w:spacing w:val="0"/>
          <w:w w:val="100"/>
          <w:sz w:val="32"/>
          <w:szCs w:val="32"/>
          <w:highlight w:val="none"/>
          <w:u w:val="none"/>
          <w:lang w:val="en-US" w:eastAsia="zh-CN"/>
        </w:rPr>
        <w:t>市</w:t>
      </w:r>
      <w:r>
        <w:rPr>
          <w:rFonts w:hint="eastAsia" w:ascii="仿宋_GB2312" w:hAnsi="仿宋_GB2312" w:eastAsia="仿宋_GB2312" w:cs="仿宋_GB2312"/>
          <w:color w:val="auto"/>
          <w:spacing w:val="0"/>
          <w:w w:val="100"/>
          <w:sz w:val="32"/>
          <w:szCs w:val="32"/>
          <w:highlight w:val="none"/>
          <w:u w:val="none"/>
          <w:lang w:eastAsia="zh-CN"/>
        </w:rPr>
        <w:t>有关规定确保落实到位。</w:t>
      </w:r>
      <w:r>
        <w:rPr>
          <w:rFonts w:hint="eastAsia" w:ascii="仿宋_GB2312" w:hAnsi="仿宋_GB2312" w:eastAsia="仿宋_GB2312" w:cs="仿宋_GB2312"/>
          <w:color w:val="auto"/>
          <w:spacing w:val="0"/>
          <w:w w:val="100"/>
          <w:sz w:val="32"/>
          <w:szCs w:val="32"/>
          <w:highlight w:val="none"/>
          <w:u w:val="none"/>
          <w:lang w:val="zh-CN" w:eastAsia="zh-CN" w:bidi="zh-CN"/>
        </w:rPr>
        <w:t>政府投资项目不得由施工单位垫资建设。</w:t>
      </w:r>
    </w:p>
    <w:p w14:paraId="31B95705">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三十五</w:t>
      </w:r>
      <w:r>
        <w:rPr>
          <w:rFonts w:hint="eastAsia" w:ascii="黑体" w:hAnsi="黑体" w:eastAsia="黑体" w:cs="黑体"/>
          <w:color w:val="auto"/>
          <w:spacing w:val="0"/>
          <w:w w:val="100"/>
          <w:sz w:val="32"/>
          <w:szCs w:val="32"/>
          <w:highlight w:val="none"/>
          <w:u w:val="none"/>
          <w:lang w:val="zh-CN" w:eastAsia="zh-CN" w:bidi="zh-CN"/>
        </w:rPr>
        <w:t>条</w:t>
      </w:r>
      <w:r>
        <w:rPr>
          <w:rFonts w:hint="eastAsia" w:ascii="黑体" w:hAnsi="黑体" w:eastAsia="黑体" w:cs="黑体"/>
          <w:color w:val="auto"/>
          <w:spacing w:val="0"/>
          <w:w w:val="100"/>
          <w:sz w:val="32"/>
          <w:szCs w:val="32"/>
          <w:highlight w:val="none"/>
          <w:u w:val="none"/>
          <w:lang w:val="en-US" w:eastAsia="zh-CN" w:bidi="zh-CN"/>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政府投资项目应当按照项目审批部门批准的建设地点、建设规模和建设内容实施，不得擅自变更。拟变更建设地点或者拟对建设规模和建设内容作出较大变更的，应当按照规定的程序报原可行性研究报告审批部门重新审批。</w:t>
      </w:r>
    </w:p>
    <w:p w14:paraId="06C9A9B4">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三十六</w:t>
      </w:r>
      <w:r>
        <w:rPr>
          <w:rFonts w:hint="eastAsia" w:ascii="黑体" w:hAnsi="黑体" w:eastAsia="黑体" w:cs="黑体"/>
          <w:color w:val="auto"/>
          <w:spacing w:val="0"/>
          <w:w w:val="100"/>
          <w:sz w:val="32"/>
          <w:szCs w:val="32"/>
          <w:highlight w:val="none"/>
          <w:u w:val="none"/>
          <w:lang w:val="zh-CN" w:eastAsia="zh-CN" w:bidi="zh-CN"/>
        </w:rPr>
        <w:t>条</w:t>
      </w:r>
      <w:r>
        <w:rPr>
          <w:rFonts w:hint="eastAsia" w:ascii="黑体" w:hAnsi="黑体" w:eastAsia="黑体" w:cs="黑体"/>
          <w:color w:val="auto"/>
          <w:spacing w:val="0"/>
          <w:w w:val="100"/>
          <w:sz w:val="32"/>
          <w:szCs w:val="32"/>
          <w:highlight w:val="none"/>
          <w:u w:val="none"/>
          <w:lang w:val="en-US" w:eastAsia="zh-CN" w:bidi="zh-CN"/>
        </w:rPr>
        <w:t xml:space="preserve"> </w:t>
      </w:r>
      <w:r>
        <w:rPr>
          <w:rFonts w:hint="eastAsia" w:cs="仿宋_GB2312"/>
          <w:color w:val="auto"/>
          <w:spacing w:val="0"/>
          <w:w w:val="100"/>
          <w:sz w:val="32"/>
          <w:szCs w:val="32"/>
          <w:highlight w:val="none"/>
          <w:u w:val="none"/>
          <w:lang w:val="en-US" w:eastAsia="zh-CN"/>
        </w:rPr>
        <w:t>政府投资项目建设投资原则上不得超过经核定的投资概算</w:t>
      </w:r>
      <w:r>
        <w:rPr>
          <w:rFonts w:hint="eastAsia" w:cs="仿宋_GB2312"/>
          <w:color w:val="auto"/>
          <w:spacing w:val="0"/>
          <w:w w:val="100"/>
          <w:sz w:val="32"/>
          <w:szCs w:val="32"/>
          <w:highlight w:val="none"/>
          <w:u w:val="none"/>
          <w:lang w:val="zh-CN" w:eastAsia="zh-CN"/>
        </w:rPr>
        <w:t>。</w:t>
      </w:r>
    </w:p>
    <w:p w14:paraId="256A69F6">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zh-CN" w:eastAsia="zh-CN"/>
        </w:rPr>
      </w:pPr>
      <w:r>
        <w:rPr>
          <w:rFonts w:hint="eastAsia" w:cs="仿宋_GB2312"/>
          <w:color w:val="auto"/>
          <w:spacing w:val="0"/>
          <w:w w:val="100"/>
          <w:sz w:val="32"/>
          <w:szCs w:val="32"/>
          <w:highlight w:val="none"/>
          <w:u w:val="none"/>
          <w:lang w:val="en-US" w:eastAsia="zh-CN"/>
        </w:rPr>
        <w:t>因国家政策调整、价格上涨、地质条件发生重大变化以及自然灾害等不可抗力因素导致原核定概算不能满足工程实际需要确需增加投资概算的，项目单位应当提出调整方案及资金来源，按照规定的程序报原初步设计及概算审批部门核定。</w:t>
      </w:r>
    </w:p>
    <w:p w14:paraId="51161CE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宋体" w:eastAsia="仿宋_GB2312" w:cs="宋体"/>
          <w:color w:val="auto"/>
          <w:kern w:val="0"/>
          <w:sz w:val="32"/>
          <w:szCs w:val="32"/>
          <w:u w:val="none"/>
          <w:lang w:eastAsia="zh-CN"/>
        </w:rPr>
      </w:pPr>
      <w:r>
        <w:rPr>
          <w:rFonts w:hint="eastAsia" w:ascii="黑体" w:hAnsi="黑体" w:eastAsia="黑体" w:cs="黑体"/>
          <w:color w:val="auto"/>
          <w:spacing w:val="0"/>
          <w:w w:val="100"/>
          <w:sz w:val="32"/>
          <w:szCs w:val="32"/>
          <w:highlight w:val="none"/>
          <w:u w:val="none"/>
          <w:lang w:val="en-US" w:eastAsia="zh-CN" w:bidi="zh-CN"/>
        </w:rPr>
        <w:t>第三十七条</w:t>
      </w:r>
      <w:r>
        <w:rPr>
          <w:rFonts w:hint="eastAsia" w:hAnsi="宋体" w:cs="宋体"/>
          <w:color w:val="auto"/>
          <w:kern w:val="0"/>
          <w:sz w:val="32"/>
          <w:szCs w:val="32"/>
          <w:u w:val="none"/>
          <w:lang w:val="en-US" w:eastAsia="zh-CN"/>
        </w:rPr>
        <w:t xml:space="preserve"> </w:t>
      </w:r>
      <w:r>
        <w:rPr>
          <w:rFonts w:hint="eastAsia" w:ascii="仿宋_GB2312" w:hAnsi="宋体" w:eastAsia="仿宋_GB2312" w:cs="宋体"/>
          <w:color w:val="auto"/>
          <w:kern w:val="0"/>
          <w:sz w:val="32"/>
          <w:szCs w:val="32"/>
          <w:u w:val="none"/>
        </w:rPr>
        <w:t>项目实施过程中，因客观因素需要对项目作出适当变更的，应当按照本办法规定程序实施</w:t>
      </w:r>
      <w:r>
        <w:rPr>
          <w:rFonts w:hint="eastAsia" w:ascii="仿宋_GB2312" w:hAnsi="宋体" w:eastAsia="仿宋_GB2312" w:cs="宋体"/>
          <w:color w:val="auto"/>
          <w:kern w:val="0"/>
          <w:sz w:val="32"/>
          <w:szCs w:val="32"/>
          <w:u w:val="none"/>
          <w:lang w:eastAsia="zh-CN"/>
        </w:rPr>
        <w:t>。</w:t>
      </w:r>
    </w:p>
    <w:p w14:paraId="44C63D11">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ascii="黑体" w:hAnsi="黑体" w:eastAsia="黑体" w:cs="黑体"/>
          <w:color w:val="auto"/>
          <w:spacing w:val="0"/>
          <w:w w:val="100"/>
          <w:sz w:val="32"/>
          <w:szCs w:val="32"/>
          <w:highlight w:val="none"/>
          <w:u w:val="none"/>
          <w:lang w:val="en-US" w:eastAsia="zh-CN" w:bidi="zh-CN"/>
        </w:rPr>
        <w:t>第三十八条</w:t>
      </w:r>
      <w:r>
        <w:rPr>
          <w:rFonts w:hint="eastAsia" w:cs="仿宋_GB2312"/>
          <w:color w:val="auto"/>
          <w:spacing w:val="0"/>
          <w:w w:val="100"/>
          <w:sz w:val="32"/>
          <w:szCs w:val="32"/>
          <w:highlight w:val="none"/>
          <w:u w:val="none"/>
          <w:lang w:val="en-US" w:eastAsia="zh-CN" w:bidi="zh-CN"/>
        </w:rPr>
        <w:t xml:space="preserve"> </w:t>
      </w:r>
      <w:r>
        <w:rPr>
          <w:rFonts w:hint="eastAsia" w:cs="仿宋_GB2312"/>
          <w:color w:val="auto"/>
          <w:spacing w:val="0"/>
          <w:w w:val="100"/>
          <w:sz w:val="32"/>
          <w:szCs w:val="32"/>
          <w:highlight w:val="none"/>
          <w:u w:val="none"/>
          <w:lang w:val="en-US" w:eastAsia="zh-CN"/>
        </w:rPr>
        <w:t xml:space="preserve"> 工程变更按变更金额分一般工程变更、较大工程变更和重大工程变更三类。</w:t>
      </w:r>
    </w:p>
    <w:p w14:paraId="2020B0A0">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cs="仿宋_GB2312"/>
          <w:color w:val="auto"/>
          <w:spacing w:val="0"/>
          <w:w w:val="100"/>
          <w:sz w:val="32"/>
          <w:szCs w:val="32"/>
          <w:highlight w:val="none"/>
          <w:u w:val="none"/>
          <w:lang w:val="en-US" w:eastAsia="zh-CN"/>
        </w:rPr>
        <w:t>（一）一般工程变更，中标价3000万元以下的单项工程，变更造价在30万元以下；中标价3000万元（含）以上的单项工程，变更造价在50万元以下。</w:t>
      </w:r>
    </w:p>
    <w:p w14:paraId="4D77A6D8">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cs="仿宋_GB2312"/>
          <w:color w:val="auto"/>
          <w:spacing w:val="0"/>
          <w:w w:val="100"/>
          <w:sz w:val="32"/>
          <w:szCs w:val="32"/>
          <w:highlight w:val="none"/>
          <w:u w:val="none"/>
          <w:lang w:val="en-US" w:eastAsia="zh-CN"/>
        </w:rPr>
        <w:t>（二）较大工程变更，中标价3000万元以下的单项工程，变更造价在30万元（含）以上100万元以下；中标价3000万元（含）以上的单项工程，变更造价在50万元（含）以上500万元以下。</w:t>
      </w:r>
    </w:p>
    <w:p w14:paraId="149AA381">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黑体" w:hAnsi="黑体" w:eastAsia="黑体" w:cs="黑体"/>
          <w:color w:val="auto"/>
          <w:spacing w:val="0"/>
          <w:w w:val="100"/>
          <w:sz w:val="32"/>
          <w:szCs w:val="32"/>
          <w:highlight w:val="none"/>
          <w:u w:val="none"/>
          <w:lang w:val="en-US" w:eastAsia="zh-CN" w:bidi="zh-CN"/>
        </w:rPr>
      </w:pPr>
      <w:r>
        <w:rPr>
          <w:rFonts w:hint="eastAsia" w:cs="仿宋_GB2312"/>
          <w:color w:val="auto"/>
          <w:spacing w:val="0"/>
          <w:w w:val="100"/>
          <w:sz w:val="32"/>
          <w:szCs w:val="32"/>
          <w:highlight w:val="none"/>
          <w:u w:val="none"/>
          <w:lang w:val="en-US" w:eastAsia="zh-CN"/>
        </w:rPr>
        <w:t>（三）重大工程变更，中标价3000万元以下的单项工程，变更造价在100万元（含）以上且超过中标价10%的；中标价3000万元（含）以上的单项工程，变更造价在500万元（含）以上或超过中标价10%的。</w:t>
      </w:r>
    </w:p>
    <w:p w14:paraId="054F824A">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default" w:cs="仿宋_GB2312"/>
          <w:color w:val="auto"/>
          <w:spacing w:val="0"/>
          <w:w w:val="100"/>
          <w:sz w:val="32"/>
          <w:szCs w:val="32"/>
          <w:highlight w:val="none"/>
          <w:u w:val="none"/>
          <w:lang w:val="en-US" w:eastAsia="zh-CN"/>
        </w:rPr>
      </w:pPr>
      <w:r>
        <w:rPr>
          <w:rFonts w:hint="eastAsia" w:ascii="黑体" w:hAnsi="黑体" w:eastAsia="黑体" w:cs="黑体"/>
          <w:color w:val="auto"/>
          <w:spacing w:val="0"/>
          <w:w w:val="100"/>
          <w:sz w:val="32"/>
          <w:szCs w:val="32"/>
          <w:highlight w:val="none"/>
          <w:u w:val="none"/>
          <w:lang w:val="en-US" w:eastAsia="zh-CN" w:bidi="zh-CN"/>
        </w:rPr>
        <w:t xml:space="preserve">第三十九条  </w:t>
      </w:r>
      <w:r>
        <w:rPr>
          <w:rFonts w:hint="eastAsia" w:cs="仿宋_GB2312"/>
          <w:color w:val="auto"/>
          <w:spacing w:val="0"/>
          <w:w w:val="100"/>
          <w:sz w:val="32"/>
          <w:szCs w:val="32"/>
          <w:highlight w:val="none"/>
          <w:u w:val="none"/>
          <w:lang w:val="en-US" w:eastAsia="zh-CN"/>
        </w:rPr>
        <w:t>工程变更应当按照规定程序审定报批：</w:t>
      </w:r>
    </w:p>
    <w:p w14:paraId="7EA07CAA">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cs="仿宋_GB2312"/>
          <w:color w:val="auto"/>
          <w:spacing w:val="0"/>
          <w:w w:val="100"/>
          <w:sz w:val="32"/>
          <w:szCs w:val="32"/>
          <w:highlight w:val="none"/>
          <w:u w:val="none"/>
          <w:lang w:val="en-US" w:eastAsia="zh-CN"/>
        </w:rPr>
        <w:t>（一）一般工程变更，由项目行政主管部门组织审查并审定；也可经项目行政主管部门同意，由项目建设单位自行组织审查，但审查结果须报项目行政主管部门审定。</w:t>
      </w:r>
    </w:p>
    <w:p w14:paraId="30AFD737">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cs="仿宋_GB2312"/>
          <w:color w:val="auto"/>
          <w:spacing w:val="0"/>
          <w:w w:val="100"/>
          <w:sz w:val="32"/>
          <w:szCs w:val="32"/>
          <w:highlight w:val="none"/>
          <w:u w:val="none"/>
          <w:lang w:val="en-US" w:eastAsia="zh-CN"/>
        </w:rPr>
        <w:t>（二）较大工程变更，经项目行政主管部门组织审查，审查结果报项目行政主管部门分管区领导审定。</w:t>
      </w:r>
    </w:p>
    <w:p w14:paraId="706EE7B4">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cs="仿宋_GB2312"/>
          <w:color w:val="auto"/>
          <w:spacing w:val="0"/>
          <w:w w:val="100"/>
          <w:sz w:val="32"/>
          <w:szCs w:val="32"/>
          <w:highlight w:val="none"/>
          <w:u w:val="none"/>
          <w:lang w:val="en-US" w:eastAsia="zh-CN"/>
        </w:rPr>
        <w:t>（三）重大工程变更，经项目行政主管部门组织审查，审查结果经项目行政主管部门分管区领导审核后，报区政府常务会议审定。</w:t>
      </w:r>
    </w:p>
    <w:p w14:paraId="7CFE808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b w:val="0"/>
          <w:bCs w:val="0"/>
          <w:color w:val="auto"/>
          <w:kern w:val="0"/>
          <w:sz w:val="32"/>
          <w:szCs w:val="32"/>
          <w:highlight w:val="none"/>
          <w:u w:val="none"/>
          <w:lang w:val="en-US" w:eastAsia="zh-CN"/>
        </w:rPr>
        <w:t>第四十条</w:t>
      </w:r>
      <w:r>
        <w:rPr>
          <w:rFonts w:hint="eastAsia" w:ascii="仿宋_GB2312" w:hAnsi="宋体" w:eastAsia="仿宋_GB2312" w:cs="宋体"/>
          <w:color w:val="auto"/>
          <w:kern w:val="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为严格控制工程变更行为，对各单项工程累计变更造价达到重大工程变更标准的，所有工程变更（包括已审定的部分）由项目行政主管部门汇总整理后报</w:t>
      </w:r>
      <w:r>
        <w:rPr>
          <w:rFonts w:hint="eastAsia" w:cs="仿宋_GB2312"/>
          <w:color w:val="auto"/>
          <w:spacing w:val="0"/>
          <w:w w:val="100"/>
          <w:sz w:val="32"/>
          <w:szCs w:val="32"/>
          <w:highlight w:val="none"/>
          <w:u w:val="none"/>
          <w:lang w:val="en-US" w:eastAsia="zh-CN" w:bidi="zh-CN"/>
        </w:rPr>
        <w:t>区</w:t>
      </w:r>
      <w:r>
        <w:rPr>
          <w:rFonts w:hint="eastAsia" w:ascii="仿宋_GB2312" w:hAnsi="仿宋_GB2312" w:eastAsia="仿宋_GB2312" w:cs="仿宋_GB2312"/>
          <w:color w:val="auto"/>
          <w:spacing w:val="0"/>
          <w:w w:val="100"/>
          <w:sz w:val="32"/>
          <w:szCs w:val="32"/>
          <w:highlight w:val="none"/>
          <w:u w:val="none"/>
          <w:lang w:val="en-US" w:eastAsia="zh-CN" w:bidi="zh-CN"/>
        </w:rPr>
        <w:t>政府常务会议审定。</w:t>
      </w:r>
    </w:p>
    <w:p w14:paraId="3E7CDAF5">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ascii="黑体" w:hAnsi="黑体" w:eastAsia="黑体" w:cs="黑体"/>
          <w:color w:val="auto"/>
          <w:spacing w:val="0"/>
          <w:w w:val="100"/>
          <w:sz w:val="32"/>
          <w:szCs w:val="32"/>
          <w:highlight w:val="none"/>
          <w:u w:val="none"/>
          <w:lang w:val="en-US" w:eastAsia="zh-CN" w:bidi="zh-CN"/>
        </w:rPr>
        <w:t>第四十一条</w:t>
      </w:r>
      <w:r>
        <w:rPr>
          <w:rFonts w:hint="eastAsia" w:eastAsia="方正仿宋_GBK"/>
          <w:color w:val="auto"/>
          <w:sz w:val="32"/>
          <w:szCs w:val="32"/>
          <w:highlight w:val="none"/>
          <w:u w:val="none"/>
        </w:rPr>
        <w:t>　</w:t>
      </w:r>
      <w:r>
        <w:rPr>
          <w:rFonts w:hint="eastAsia" w:cs="仿宋_GB2312"/>
          <w:color w:val="auto"/>
          <w:spacing w:val="0"/>
          <w:w w:val="100"/>
          <w:sz w:val="32"/>
          <w:szCs w:val="32"/>
          <w:highlight w:val="none"/>
          <w:u w:val="none"/>
          <w:lang w:val="en-US" w:eastAsia="zh-CN"/>
        </w:rPr>
        <w:t>政府投资项目有下列情形之一的，原则上不予重新审批：</w:t>
      </w:r>
    </w:p>
    <w:p w14:paraId="584CB7F4">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cs="仿宋_GB2312"/>
          <w:color w:val="auto"/>
          <w:spacing w:val="0"/>
          <w:w w:val="100"/>
          <w:sz w:val="32"/>
          <w:szCs w:val="32"/>
          <w:highlight w:val="none"/>
          <w:u w:val="none"/>
          <w:lang w:val="en-US" w:eastAsia="zh-CN"/>
        </w:rPr>
        <w:t>（一）项目已基本建设完成的。</w:t>
      </w:r>
    </w:p>
    <w:p w14:paraId="3D8099C2">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val="en-US" w:eastAsia="zh-CN"/>
        </w:rPr>
      </w:pPr>
      <w:r>
        <w:rPr>
          <w:rFonts w:hint="eastAsia" w:cs="仿宋_GB2312"/>
          <w:color w:val="auto"/>
          <w:spacing w:val="0"/>
          <w:w w:val="100"/>
          <w:sz w:val="32"/>
          <w:szCs w:val="32"/>
          <w:highlight w:val="none"/>
          <w:u w:val="none"/>
          <w:lang w:val="en-US" w:eastAsia="zh-CN"/>
        </w:rPr>
        <w:t>（二）项目单位在建设过程中擅自改变建设地点、建设内容和建设规模的。</w:t>
      </w:r>
    </w:p>
    <w:p w14:paraId="6DF7D020">
      <w:pPr>
        <w:pStyle w:val="4"/>
        <w:keepNext w:val="0"/>
        <w:keepLines w:val="0"/>
        <w:pageBreakBefore w:val="0"/>
        <w:widowControl w:val="0"/>
        <w:tabs>
          <w:tab w:val="left" w:pos="202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cs="仿宋_GB2312"/>
          <w:color w:val="auto"/>
          <w:spacing w:val="0"/>
          <w:w w:val="100"/>
          <w:sz w:val="32"/>
          <w:szCs w:val="32"/>
          <w:highlight w:val="none"/>
          <w:u w:val="none"/>
          <w:lang w:eastAsia="zh-CN"/>
        </w:rPr>
      </w:pPr>
      <w:r>
        <w:rPr>
          <w:rFonts w:hint="eastAsia" w:cs="仿宋_GB2312"/>
          <w:color w:val="auto"/>
          <w:spacing w:val="0"/>
          <w:w w:val="100"/>
          <w:sz w:val="32"/>
          <w:szCs w:val="32"/>
          <w:highlight w:val="none"/>
          <w:u w:val="none"/>
          <w:lang w:val="en-US" w:eastAsia="zh-CN"/>
        </w:rPr>
        <w:t>（三）项目实施过程中其他违法违规行为造成重大社会影响的。</w:t>
      </w:r>
    </w:p>
    <w:p w14:paraId="427F9957">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zh-CN" w:eastAsia="zh-CN" w:bidi="zh-CN"/>
        </w:rPr>
        <w:t>第</w:t>
      </w:r>
      <w:r>
        <w:rPr>
          <w:rFonts w:hint="eastAsia" w:ascii="黑体" w:hAnsi="黑体" w:eastAsia="黑体" w:cs="黑体"/>
          <w:color w:val="auto"/>
          <w:spacing w:val="0"/>
          <w:w w:val="100"/>
          <w:sz w:val="32"/>
          <w:szCs w:val="32"/>
          <w:highlight w:val="none"/>
          <w:u w:val="none"/>
          <w:lang w:val="en-US" w:eastAsia="zh-CN" w:bidi="zh-CN"/>
        </w:rPr>
        <w:t>四十二</w:t>
      </w:r>
      <w:r>
        <w:rPr>
          <w:rFonts w:hint="eastAsia" w:ascii="黑体" w:hAnsi="黑体" w:eastAsia="黑体" w:cs="黑体"/>
          <w:color w:val="auto"/>
          <w:spacing w:val="0"/>
          <w:w w:val="100"/>
          <w:sz w:val="32"/>
          <w:szCs w:val="32"/>
          <w:highlight w:val="none"/>
          <w:u w:val="none"/>
          <w:lang w:val="zh-CN" w:eastAsia="zh-CN" w:bidi="zh-CN"/>
        </w:rPr>
        <w:t>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 xml:space="preserve"> 政府投资项目应当按照国家及省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en-US" w:eastAsia="zh-CN" w:bidi="zh-CN"/>
        </w:rPr>
        <w:t>有关规定合理确定并严格执行建设工期，任何单位和个人不得非法干预。</w:t>
      </w:r>
    </w:p>
    <w:p w14:paraId="79A6E131">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en-US" w:eastAsia="zh-CN" w:bidi="zh-CN"/>
        </w:rPr>
        <w:t>第四十三条</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政府投资项目建成后，应当按照国家及省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en-US" w:eastAsia="zh-CN" w:bidi="zh-CN"/>
        </w:rPr>
        <w:t>有关规定进行竣工验收，并在竣工验收合格后及时办理竣工财务决算，报同级财政部门审批。对政府投资项目竣工验收合格后形成的固定资产，项目单位应当依法办理产权登记。</w:t>
      </w:r>
    </w:p>
    <w:p w14:paraId="26356275">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政府投资项目结余的财政资金，应当按照国家及省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en-US" w:eastAsia="zh-CN" w:bidi="zh-CN"/>
        </w:rPr>
        <w:t>有关规定缴回国库。</w:t>
      </w:r>
    </w:p>
    <w:p w14:paraId="1E47FA93">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en-US" w:eastAsia="zh-CN" w:bidi="zh-CN"/>
        </w:rPr>
        <w:t>第四十四条</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项目审批部门应当按照国家及省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en-US" w:eastAsia="zh-CN" w:bidi="zh-CN"/>
        </w:rPr>
        <w:t>有关规定，选择有代表性的已建成政府投资项目，委托中介服务机构对所选项目进行后评价。后评价应当根据项目建成后的实际效果，对项目审批和实施进行全面评价并提出明确意见，作为规划制定、项目审批、资金安排、项目管理的重要参考依据。</w:t>
      </w:r>
    </w:p>
    <w:p w14:paraId="6860475E">
      <w:pPr>
        <w:pStyle w:val="2"/>
        <w:keepNext w:val="0"/>
        <w:keepLines w:val="0"/>
        <w:pageBreakBefore w:val="0"/>
        <w:widowControl w:val="0"/>
        <w:tabs>
          <w:tab w:val="left" w:pos="1439"/>
        </w:tabs>
        <w:kinsoku/>
        <w:wordWrap/>
        <w:overflowPunct/>
        <w:topLinePunct w:val="0"/>
        <w:autoSpaceDE w:val="0"/>
        <w:autoSpaceDN w:val="0"/>
        <w:bidi w:val="0"/>
        <w:adjustRightInd/>
        <w:snapToGrid/>
        <w:spacing w:before="0" w:after="0" w:line="580" w:lineRule="exact"/>
        <w:ind w:right="0"/>
        <w:jc w:val="both"/>
        <w:textAlignment w:val="auto"/>
        <w:rPr>
          <w:rFonts w:hint="eastAsia" w:ascii="仿宋_GB2312" w:hAnsi="仿宋_GB2312" w:eastAsia="仿宋_GB2312" w:cs="仿宋_GB2312"/>
          <w:color w:val="auto"/>
          <w:spacing w:val="0"/>
          <w:w w:val="100"/>
          <w:sz w:val="32"/>
          <w:szCs w:val="32"/>
          <w:highlight w:val="none"/>
          <w:u w:val="none"/>
        </w:rPr>
      </w:pPr>
    </w:p>
    <w:p w14:paraId="7DB24F90">
      <w:pPr>
        <w:pStyle w:val="2"/>
        <w:keepNext w:val="0"/>
        <w:keepLines w:val="0"/>
        <w:pageBreakBefore w:val="0"/>
        <w:widowControl w:val="0"/>
        <w:tabs>
          <w:tab w:val="left" w:pos="1439"/>
          <w:tab w:val="left" w:pos="2159"/>
        </w:tabs>
        <w:kinsoku/>
        <w:wordWrap/>
        <w:overflowPunct/>
        <w:topLinePunct w:val="0"/>
        <w:autoSpaceDE w:val="0"/>
        <w:autoSpaceDN w:val="0"/>
        <w:bidi w:val="0"/>
        <w:adjustRightInd/>
        <w:snapToGrid/>
        <w:spacing w:before="0" w:after="0" w:line="580" w:lineRule="exact"/>
        <w:ind w:right="0"/>
        <w:jc w:val="center"/>
        <w:textAlignment w:val="auto"/>
        <w:rPr>
          <w:rFonts w:hint="eastAsia" w:ascii="楷体_GB2312" w:hAnsi="楷体_GB2312" w:eastAsia="楷体_GB2312" w:cs="楷体_GB2312"/>
          <w:color w:val="auto"/>
          <w:spacing w:val="0"/>
          <w:w w:val="100"/>
          <w:sz w:val="36"/>
          <w:szCs w:val="36"/>
          <w:highlight w:val="none"/>
          <w:u w:val="none"/>
        </w:rPr>
      </w:pPr>
      <w:r>
        <w:rPr>
          <w:rFonts w:hint="eastAsia" w:ascii="楷体_GB2312" w:hAnsi="楷体_GB2312" w:eastAsia="楷体_GB2312" w:cs="楷体_GB2312"/>
          <w:color w:val="auto"/>
          <w:spacing w:val="0"/>
          <w:w w:val="100"/>
          <w:sz w:val="36"/>
          <w:szCs w:val="36"/>
          <w:highlight w:val="none"/>
          <w:u w:val="none"/>
        </w:rPr>
        <w:t>第五章</w:t>
      </w:r>
      <w:r>
        <w:rPr>
          <w:rFonts w:hint="eastAsia" w:ascii="楷体_GB2312" w:hAnsi="楷体_GB2312" w:eastAsia="楷体_GB2312" w:cs="楷体_GB2312"/>
          <w:color w:val="auto"/>
          <w:spacing w:val="0"/>
          <w:w w:val="100"/>
          <w:sz w:val="36"/>
          <w:szCs w:val="36"/>
          <w:highlight w:val="none"/>
          <w:u w:val="none"/>
          <w:lang w:val="en-US" w:eastAsia="zh-CN"/>
        </w:rPr>
        <w:t xml:space="preserve"> </w:t>
      </w:r>
      <w:r>
        <w:rPr>
          <w:rFonts w:hint="eastAsia" w:ascii="楷体_GB2312" w:hAnsi="楷体_GB2312" w:eastAsia="楷体_GB2312" w:cs="楷体_GB2312"/>
          <w:color w:val="auto"/>
          <w:spacing w:val="0"/>
          <w:w w:val="100"/>
          <w:sz w:val="36"/>
          <w:szCs w:val="36"/>
          <w:highlight w:val="none"/>
          <w:u w:val="none"/>
        </w:rPr>
        <w:t>监督管理</w:t>
      </w:r>
    </w:p>
    <w:p w14:paraId="4C4AF23A">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en-US" w:eastAsia="zh-CN" w:bidi="zh-CN"/>
        </w:rPr>
        <w:t xml:space="preserve">第四十五条 </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按照谁审批谁监管、谁主管谁监管的原则，项目审批部门以及依法对政府投资项目负有监督管理职责的其他部门，应当采取在线监测、现场核查等方式，加强对政府投资项目实施情况的监督检查。监督检查的主要内容包括：</w:t>
      </w:r>
    </w:p>
    <w:p w14:paraId="75CB836B">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（一）建设手续是否齐全。</w:t>
      </w:r>
    </w:p>
    <w:p w14:paraId="452D6040">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（二）建设进度是否符合投资计划要求。</w:t>
      </w:r>
    </w:p>
    <w:p w14:paraId="053810A5">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（三）建设资金是否到位，资金使用是否规范。</w:t>
      </w:r>
    </w:p>
    <w:p w14:paraId="548F4CE0">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（四）建设地点、建设内容、建设规模和筹资方式等与批复文件是否相符。</w:t>
      </w:r>
    </w:p>
    <w:p w14:paraId="64F29052">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（五）项目信息和进度数据填报是否及时、准确、完整。</w:t>
      </w:r>
    </w:p>
    <w:p w14:paraId="46CA0CAB">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（六）法律、法规规定的其他内容。</w:t>
      </w:r>
    </w:p>
    <w:p w14:paraId="2504EFD6">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shd w:val="clear" w:color="auto" w:fill="auto"/>
          <w:lang w:val="en-US" w:eastAsia="zh-CN" w:bidi="zh-CN"/>
        </w:rPr>
      </w:pPr>
      <w:r>
        <w:rPr>
          <w:rFonts w:hint="eastAsia" w:ascii="黑体" w:hAnsi="黑体" w:eastAsia="黑体" w:cs="黑体"/>
          <w:color w:val="auto"/>
          <w:spacing w:val="0"/>
          <w:w w:val="100"/>
          <w:sz w:val="32"/>
          <w:szCs w:val="32"/>
          <w:highlight w:val="none"/>
          <w:u w:val="none"/>
          <w:lang w:val="en-US" w:eastAsia="zh-CN" w:bidi="zh-CN"/>
        </w:rPr>
        <w:t>第四十六条</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项目单位应当通过在线平台如实报送政府投资项目开工建设、建设进度、竣工等基本信息，并同步在市公共资源交易平台予以公开</w:t>
      </w:r>
      <w:r>
        <w:rPr>
          <w:rFonts w:hint="eastAsia" w:ascii="仿宋_GB2312" w:hAnsi="仿宋_GB2312" w:eastAsia="仿宋_GB2312" w:cs="仿宋_GB2312"/>
          <w:color w:val="auto"/>
          <w:spacing w:val="0"/>
          <w:w w:val="100"/>
          <w:sz w:val="32"/>
          <w:szCs w:val="32"/>
          <w:highlight w:val="none"/>
          <w:u w:val="none"/>
          <w:shd w:val="clear" w:color="auto" w:fill="auto"/>
          <w:lang w:val="en-US" w:eastAsia="zh-CN" w:bidi="zh-CN"/>
        </w:rPr>
        <w:t>。</w:t>
      </w:r>
    </w:p>
    <w:p w14:paraId="62C1E7E4">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en-US" w:eastAsia="zh-CN" w:bidi="zh-CN"/>
        </w:rPr>
        <w:t xml:space="preserve">第四十七条 </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项目审批部门和依法对政府投资项目负有监督管理职责的其他部门应当建立政府投资项目信息共享机制，通过在线平台实现信息共享。</w:t>
      </w:r>
    </w:p>
    <w:p w14:paraId="315A2647">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en-US" w:eastAsia="zh-CN" w:bidi="zh-CN"/>
        </w:rPr>
        <w:t>第四十八条</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项目单位应当按照国家及省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en-US" w:eastAsia="zh-CN" w:bidi="zh-CN"/>
        </w:rPr>
        <w:t>有关规定加强政府投资项目档案管理，将项目审批和实施过程中的有关文件、资料存档备查。</w:t>
      </w:r>
    </w:p>
    <w:p w14:paraId="2EB82FD8">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eastAsia="方正仿宋_GBK"/>
          <w:color w:val="auto"/>
          <w:sz w:val="32"/>
          <w:szCs w:val="32"/>
          <w:highlight w:val="none"/>
          <w:u w:val="none"/>
        </w:rPr>
      </w:pPr>
      <w:r>
        <w:rPr>
          <w:rFonts w:hint="eastAsia" w:ascii="黑体" w:hAnsi="黑体" w:eastAsia="黑体" w:cs="黑体"/>
          <w:color w:val="auto"/>
          <w:spacing w:val="0"/>
          <w:w w:val="100"/>
          <w:sz w:val="32"/>
          <w:szCs w:val="32"/>
          <w:highlight w:val="none"/>
          <w:u w:val="none"/>
          <w:lang w:val="en-US" w:eastAsia="zh-CN" w:bidi="zh-CN"/>
        </w:rPr>
        <w:t xml:space="preserve">第四十九条 </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政府投资年度计划、政府投资项目审批和实施以及监督检查的信息应当依法公开。</w:t>
      </w:r>
    </w:p>
    <w:p w14:paraId="63518499">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en-US" w:eastAsia="zh-CN" w:bidi="zh-CN"/>
        </w:rPr>
        <w:t>第五十条</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政府投资项目的绩效管理、建设工程质量管理、安全生产管理等事项，依照有关法律、法规和国家及省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en-US" w:eastAsia="zh-CN" w:bidi="zh-CN"/>
        </w:rPr>
        <w:t>有关规定执行。</w:t>
      </w:r>
    </w:p>
    <w:p w14:paraId="42407E9C">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en-US" w:eastAsia="zh-CN" w:bidi="zh-CN"/>
        </w:rPr>
        <w:t>第五十一条</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项目审批部门和依法对政府投资项目负有监督管理职责的其他部门应当接受单位、个人对政府投资项目在审批、建设过程中违法违规行为的投诉和举报，并按照国家及省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en-US" w:eastAsia="zh-CN" w:bidi="zh-CN"/>
        </w:rPr>
        <w:t>有关规定进行查处。</w:t>
      </w:r>
    </w:p>
    <w:p w14:paraId="605B99E7">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黑体" w:hAnsi="黑体" w:eastAsia="黑体" w:cs="黑体"/>
          <w:color w:val="auto"/>
          <w:spacing w:val="0"/>
          <w:w w:val="100"/>
          <w:sz w:val="32"/>
          <w:szCs w:val="32"/>
          <w:highlight w:val="none"/>
          <w:u w:val="none"/>
          <w:lang w:val="en-US" w:eastAsia="zh-CN" w:bidi="zh-CN"/>
        </w:rPr>
        <w:t xml:space="preserve">第五十二条 </w:t>
      </w:r>
      <w:r>
        <w:rPr>
          <w:rFonts w:hint="eastAsia" w:eastAsia="方正仿宋_GBK"/>
          <w:color w:val="auto"/>
          <w:sz w:val="32"/>
          <w:szCs w:val="32"/>
          <w:highlight w:val="none"/>
          <w:u w:val="none"/>
        </w:rPr>
        <w:t xml:space="preserve"> </w:t>
      </w:r>
      <w:r>
        <w:rPr>
          <w:rFonts w:hint="eastAsia" w:ascii="仿宋_GB2312" w:hAnsi="仿宋_GB2312" w:eastAsia="仿宋_GB2312" w:cs="仿宋_GB2312"/>
          <w:color w:val="auto"/>
          <w:spacing w:val="0"/>
          <w:w w:val="100"/>
          <w:sz w:val="32"/>
          <w:szCs w:val="32"/>
          <w:highlight w:val="none"/>
          <w:u w:val="none"/>
          <w:lang w:val="en-US" w:eastAsia="zh-CN" w:bidi="zh-CN"/>
        </w:rPr>
        <w:t>政府投资项目审批部门、其他有关部门以及项目单位、代建实施单位违反法律法规和国家及省</w:t>
      </w:r>
      <w:r>
        <w:rPr>
          <w:rFonts w:hint="eastAsia" w:cs="仿宋_GB2312"/>
          <w:color w:val="auto"/>
          <w:spacing w:val="0"/>
          <w:w w:val="100"/>
          <w:sz w:val="32"/>
          <w:szCs w:val="32"/>
          <w:highlight w:val="none"/>
          <w:u w:val="none"/>
          <w:lang w:val="en-US" w:eastAsia="zh-CN" w:bidi="zh-CN"/>
        </w:rPr>
        <w:t>市</w:t>
      </w:r>
      <w:r>
        <w:rPr>
          <w:rFonts w:hint="eastAsia" w:ascii="仿宋_GB2312" w:hAnsi="仿宋_GB2312" w:eastAsia="仿宋_GB2312" w:cs="仿宋_GB2312"/>
          <w:color w:val="auto"/>
          <w:spacing w:val="0"/>
          <w:w w:val="100"/>
          <w:sz w:val="32"/>
          <w:szCs w:val="32"/>
          <w:highlight w:val="none"/>
          <w:u w:val="none"/>
          <w:lang w:val="en-US" w:eastAsia="zh-CN" w:bidi="zh-CN"/>
        </w:rPr>
        <w:t>有关规定的，依法依规追究相关单位及责任人员责任。</w:t>
      </w:r>
    </w:p>
    <w:p w14:paraId="2D7902A7">
      <w:pPr>
        <w:keepNext w:val="0"/>
        <w:keepLines w:val="0"/>
        <w:pageBreakBefore w:val="0"/>
        <w:widowControl w:val="0"/>
        <w:kinsoku/>
        <w:wordWrap/>
        <w:overflowPunct/>
        <w:topLinePunct w:val="0"/>
        <w:bidi w:val="0"/>
        <w:adjustRightInd/>
        <w:snapToGrid/>
        <w:spacing w:line="580" w:lineRule="exact"/>
        <w:ind w:firstLine="640" w:firstLineChars="200"/>
        <w:textAlignment w:val="auto"/>
        <w:rPr>
          <w:rFonts w:hint="eastAsia" w:ascii="仿宋_GB2312" w:hAnsi="仿宋_GB2312" w:eastAsia="仿宋_GB2312" w:cs="仿宋_GB2312"/>
          <w:color w:val="auto"/>
          <w:spacing w:val="0"/>
          <w:w w:val="100"/>
          <w:sz w:val="32"/>
          <w:szCs w:val="32"/>
          <w:highlight w:val="none"/>
          <w:u w:val="none"/>
          <w:lang w:val="en-US" w:eastAsia="zh-CN" w:bidi="zh-CN"/>
        </w:rPr>
      </w:pPr>
      <w:r>
        <w:rPr>
          <w:rFonts w:hint="eastAsia" w:ascii="仿宋_GB2312" w:hAnsi="仿宋_GB2312" w:eastAsia="仿宋_GB2312" w:cs="仿宋_GB2312"/>
          <w:color w:val="auto"/>
          <w:spacing w:val="0"/>
          <w:w w:val="100"/>
          <w:sz w:val="32"/>
          <w:szCs w:val="32"/>
          <w:highlight w:val="none"/>
          <w:u w:val="none"/>
          <w:lang w:val="en-US" w:eastAsia="zh-CN" w:bidi="zh-CN"/>
        </w:rPr>
        <w:t>相关单位及其工作人员失信信息，依法依规归集到省公共信用信息共享服务平台。</w:t>
      </w:r>
    </w:p>
    <w:p w14:paraId="76FDB34E">
      <w:pPr>
        <w:pStyle w:val="2"/>
        <w:keepNext w:val="0"/>
        <w:keepLines w:val="0"/>
        <w:pageBreakBefore w:val="0"/>
        <w:widowControl w:val="0"/>
        <w:tabs>
          <w:tab w:val="left" w:pos="1439"/>
          <w:tab w:val="left" w:pos="2159"/>
        </w:tabs>
        <w:kinsoku/>
        <w:wordWrap/>
        <w:overflowPunct/>
        <w:topLinePunct w:val="0"/>
        <w:autoSpaceDE w:val="0"/>
        <w:autoSpaceDN w:val="0"/>
        <w:bidi w:val="0"/>
        <w:adjustRightInd/>
        <w:snapToGrid/>
        <w:spacing w:before="0" w:after="0" w:line="580" w:lineRule="exact"/>
        <w:ind w:right="0"/>
        <w:jc w:val="center"/>
        <w:textAlignment w:val="auto"/>
        <w:rPr>
          <w:rFonts w:hint="eastAsia" w:ascii="楷体_GB2312" w:hAnsi="楷体_GB2312" w:eastAsia="楷体_GB2312" w:cs="楷体_GB2312"/>
          <w:color w:val="auto"/>
          <w:spacing w:val="0"/>
          <w:w w:val="100"/>
          <w:sz w:val="36"/>
          <w:szCs w:val="36"/>
          <w:highlight w:val="none"/>
          <w:u w:val="none"/>
        </w:rPr>
      </w:pPr>
    </w:p>
    <w:p w14:paraId="4443BFB9">
      <w:pPr>
        <w:pStyle w:val="2"/>
        <w:keepNext w:val="0"/>
        <w:keepLines w:val="0"/>
        <w:pageBreakBefore w:val="0"/>
        <w:widowControl w:val="0"/>
        <w:tabs>
          <w:tab w:val="left" w:pos="1439"/>
          <w:tab w:val="left" w:pos="2159"/>
        </w:tabs>
        <w:kinsoku/>
        <w:wordWrap/>
        <w:overflowPunct/>
        <w:topLinePunct w:val="0"/>
        <w:autoSpaceDE w:val="0"/>
        <w:autoSpaceDN w:val="0"/>
        <w:bidi w:val="0"/>
        <w:adjustRightInd/>
        <w:snapToGrid/>
        <w:spacing w:before="0" w:after="0" w:line="580" w:lineRule="exact"/>
        <w:ind w:right="0"/>
        <w:jc w:val="center"/>
        <w:textAlignment w:val="auto"/>
        <w:rPr>
          <w:rFonts w:hint="eastAsia" w:ascii="楷体_GB2312" w:hAnsi="楷体_GB2312" w:eastAsia="楷体_GB2312" w:cs="楷体_GB2312"/>
          <w:color w:val="auto"/>
          <w:spacing w:val="0"/>
          <w:w w:val="100"/>
          <w:sz w:val="36"/>
          <w:szCs w:val="36"/>
          <w:highlight w:val="none"/>
          <w:u w:val="none"/>
        </w:rPr>
      </w:pPr>
      <w:r>
        <w:rPr>
          <w:rFonts w:hint="eastAsia" w:ascii="楷体_GB2312" w:hAnsi="楷体_GB2312" w:eastAsia="楷体_GB2312" w:cs="楷体_GB2312"/>
          <w:color w:val="auto"/>
          <w:spacing w:val="0"/>
          <w:w w:val="100"/>
          <w:sz w:val="36"/>
          <w:szCs w:val="36"/>
          <w:highlight w:val="none"/>
          <w:u w:val="none"/>
        </w:rPr>
        <w:t>第</w:t>
      </w:r>
      <w:r>
        <w:rPr>
          <w:rFonts w:hint="eastAsia" w:ascii="楷体_GB2312" w:hAnsi="楷体_GB2312" w:eastAsia="楷体_GB2312" w:cs="楷体_GB2312"/>
          <w:color w:val="auto"/>
          <w:spacing w:val="0"/>
          <w:w w:val="100"/>
          <w:sz w:val="36"/>
          <w:szCs w:val="36"/>
          <w:highlight w:val="none"/>
          <w:u w:val="none"/>
          <w:lang w:val="en-US" w:eastAsia="zh-CN"/>
        </w:rPr>
        <w:t>六</w:t>
      </w:r>
      <w:r>
        <w:rPr>
          <w:rFonts w:hint="eastAsia" w:ascii="楷体_GB2312" w:hAnsi="楷体_GB2312" w:eastAsia="楷体_GB2312" w:cs="楷体_GB2312"/>
          <w:color w:val="auto"/>
          <w:spacing w:val="0"/>
          <w:w w:val="100"/>
          <w:sz w:val="36"/>
          <w:szCs w:val="36"/>
          <w:highlight w:val="none"/>
          <w:u w:val="none"/>
        </w:rPr>
        <w:t>章</w:t>
      </w:r>
      <w:r>
        <w:rPr>
          <w:rFonts w:hint="eastAsia" w:ascii="楷体_GB2312" w:hAnsi="楷体_GB2312" w:eastAsia="楷体_GB2312" w:cs="楷体_GB2312"/>
          <w:color w:val="auto"/>
          <w:spacing w:val="0"/>
          <w:w w:val="100"/>
          <w:sz w:val="36"/>
          <w:szCs w:val="36"/>
          <w:highlight w:val="none"/>
          <w:u w:val="none"/>
          <w:lang w:val="en-US" w:eastAsia="zh-CN"/>
        </w:rPr>
        <w:t xml:space="preserve">  </w:t>
      </w:r>
      <w:r>
        <w:rPr>
          <w:rFonts w:hint="eastAsia" w:ascii="楷体_GB2312" w:hAnsi="楷体_GB2312" w:eastAsia="楷体_GB2312" w:cs="楷体_GB2312"/>
          <w:color w:val="auto"/>
          <w:spacing w:val="0"/>
          <w:w w:val="100"/>
          <w:sz w:val="36"/>
          <w:szCs w:val="36"/>
          <w:highlight w:val="none"/>
          <w:u w:val="none"/>
        </w:rPr>
        <w:t>附</w:t>
      </w:r>
      <w:r>
        <w:rPr>
          <w:rFonts w:hint="eastAsia" w:ascii="楷体_GB2312" w:hAnsi="楷体_GB2312" w:eastAsia="楷体_GB2312" w:cs="楷体_GB2312"/>
          <w:color w:val="auto"/>
          <w:spacing w:val="0"/>
          <w:w w:val="100"/>
          <w:sz w:val="36"/>
          <w:szCs w:val="36"/>
          <w:highlight w:val="none"/>
          <w:u w:val="none"/>
          <w:lang w:val="en-US" w:eastAsia="zh-CN"/>
        </w:rPr>
        <w:t xml:space="preserve">  </w:t>
      </w:r>
      <w:r>
        <w:rPr>
          <w:rFonts w:hint="eastAsia" w:ascii="楷体_GB2312" w:hAnsi="楷体_GB2312" w:eastAsia="楷体_GB2312" w:cs="楷体_GB2312"/>
          <w:color w:val="auto"/>
          <w:spacing w:val="0"/>
          <w:w w:val="100"/>
          <w:sz w:val="36"/>
          <w:szCs w:val="36"/>
          <w:highlight w:val="none"/>
          <w:u w:val="none"/>
        </w:rPr>
        <w:t>则</w:t>
      </w:r>
    </w:p>
    <w:p w14:paraId="20269DC6">
      <w:pPr>
        <w:pStyle w:val="4"/>
        <w:keepNext w:val="0"/>
        <w:keepLines w:val="0"/>
        <w:pageBreakBefore w:val="0"/>
        <w:widowControl w:val="0"/>
        <w:tabs>
          <w:tab w:val="left" w:pos="2667"/>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zh-CN" w:eastAsia="zh-CN" w:bidi="zh-CN"/>
        </w:rPr>
        <w:t>第五十三条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本办法适用中的具体问题，由</w:t>
      </w:r>
      <w:r>
        <w:rPr>
          <w:rFonts w:hint="eastAsia" w:cs="仿宋_GB2312"/>
          <w:color w:val="auto"/>
          <w:spacing w:val="0"/>
          <w:w w:val="100"/>
          <w:sz w:val="32"/>
          <w:szCs w:val="32"/>
          <w:highlight w:val="none"/>
          <w:u w:val="none"/>
          <w:lang w:val="en-US" w:eastAsia="zh-CN"/>
        </w:rPr>
        <w:t>区</w:t>
      </w:r>
      <w:r>
        <w:rPr>
          <w:rFonts w:hint="eastAsia" w:ascii="仿宋_GB2312" w:hAnsi="仿宋_GB2312" w:eastAsia="仿宋_GB2312" w:cs="仿宋_GB2312"/>
          <w:color w:val="auto"/>
          <w:spacing w:val="0"/>
          <w:w w:val="100"/>
          <w:sz w:val="32"/>
          <w:szCs w:val="32"/>
          <w:highlight w:val="none"/>
          <w:u w:val="none"/>
        </w:rPr>
        <w:t>发展改革委负责解释</w:t>
      </w:r>
      <w:r>
        <w:rPr>
          <w:rFonts w:hint="eastAsia" w:ascii="仿宋_GB2312" w:hAnsi="仿宋_GB2312" w:eastAsia="仿宋_GB2312" w:cs="仿宋_GB2312"/>
          <w:color w:val="auto"/>
          <w:spacing w:val="0"/>
          <w:w w:val="100"/>
          <w:sz w:val="32"/>
          <w:szCs w:val="32"/>
          <w:highlight w:val="none"/>
          <w:u w:val="none"/>
          <w:lang w:eastAsia="zh-CN"/>
        </w:rPr>
        <w:t>。</w:t>
      </w:r>
    </w:p>
    <w:p w14:paraId="02A5D20D">
      <w:pPr>
        <w:pStyle w:val="4"/>
        <w:keepNext w:val="0"/>
        <w:keepLines w:val="0"/>
        <w:pageBreakBefore w:val="0"/>
        <w:widowControl w:val="0"/>
        <w:tabs>
          <w:tab w:val="left" w:pos="2663"/>
        </w:tabs>
        <w:kinsoku/>
        <w:wordWrap/>
        <w:overflowPunct/>
        <w:topLinePunct w:val="0"/>
        <w:autoSpaceDE w:val="0"/>
        <w:autoSpaceDN w:val="0"/>
        <w:bidi w:val="0"/>
        <w:adjustRightInd/>
        <w:snapToGrid/>
        <w:spacing w:before="0" w:after="0" w:line="580" w:lineRule="exact"/>
        <w:ind w:left="0" w:right="0" w:firstLine="640" w:firstLineChars="200"/>
        <w:jc w:val="both"/>
        <w:textAlignment w:val="auto"/>
        <w:rPr>
          <w:rFonts w:hint="eastAsia" w:ascii="仿宋_GB2312" w:hAnsi="仿宋_GB2312" w:eastAsia="仿宋_GB2312" w:cs="仿宋_GB2312"/>
          <w:color w:val="auto"/>
          <w:spacing w:val="0"/>
          <w:w w:val="100"/>
          <w:sz w:val="32"/>
          <w:szCs w:val="32"/>
          <w:highlight w:val="none"/>
          <w:u w:val="none"/>
          <w:lang w:eastAsia="zh-CN"/>
        </w:rPr>
      </w:pPr>
      <w:r>
        <w:rPr>
          <w:rFonts w:hint="eastAsia" w:ascii="黑体" w:hAnsi="黑体" w:eastAsia="黑体" w:cs="黑体"/>
          <w:color w:val="auto"/>
          <w:spacing w:val="0"/>
          <w:w w:val="100"/>
          <w:sz w:val="32"/>
          <w:szCs w:val="32"/>
          <w:highlight w:val="none"/>
          <w:u w:val="none"/>
          <w:lang w:val="zh-CN" w:eastAsia="zh-CN" w:bidi="zh-CN"/>
        </w:rPr>
        <w:t>第五十四条</w:t>
      </w:r>
      <w:r>
        <w:rPr>
          <w:rFonts w:hint="eastAsia" w:ascii="仿宋_GB2312" w:hAnsi="仿宋_GB2312" w:eastAsia="仿宋_GB2312" w:cs="仿宋_GB2312"/>
          <w:color w:val="auto"/>
          <w:spacing w:val="0"/>
          <w:w w:val="100"/>
          <w:sz w:val="32"/>
          <w:szCs w:val="32"/>
          <w:highlight w:val="none"/>
          <w:u w:val="none"/>
          <w:lang w:val="en-US" w:eastAsia="zh-CN"/>
        </w:rPr>
        <w:t xml:space="preserve">  </w:t>
      </w:r>
      <w:r>
        <w:rPr>
          <w:rFonts w:hint="eastAsia" w:ascii="仿宋_GB2312" w:hAnsi="仿宋_GB2312" w:eastAsia="仿宋_GB2312" w:cs="仿宋_GB2312"/>
          <w:color w:val="auto"/>
          <w:spacing w:val="0"/>
          <w:w w:val="100"/>
          <w:sz w:val="32"/>
          <w:szCs w:val="32"/>
          <w:highlight w:val="none"/>
          <w:u w:val="none"/>
        </w:rPr>
        <w:t>本办法自印发之日起施行</w:t>
      </w:r>
      <w:r>
        <w:rPr>
          <w:rFonts w:hint="eastAsia" w:cs="仿宋_GB2312"/>
          <w:color w:val="auto"/>
          <w:spacing w:val="0"/>
          <w:w w:val="100"/>
          <w:sz w:val="32"/>
          <w:szCs w:val="32"/>
          <w:highlight w:val="none"/>
          <w:u w:val="none"/>
          <w:lang w:eastAsia="zh-CN"/>
        </w:rPr>
        <w:t>，</w:t>
      </w:r>
      <w:r>
        <w:rPr>
          <w:rFonts w:hint="eastAsia" w:cs="仿宋_GB2312"/>
          <w:color w:val="auto"/>
          <w:spacing w:val="0"/>
          <w:w w:val="100"/>
          <w:sz w:val="32"/>
          <w:szCs w:val="32"/>
          <w:highlight w:val="none"/>
          <w:u w:val="none"/>
          <w:lang w:val="en-US" w:eastAsia="zh-CN"/>
        </w:rPr>
        <w:t>有效期5年</w:t>
      </w:r>
      <w:r>
        <w:rPr>
          <w:rFonts w:hint="eastAsia" w:ascii="仿宋_GB2312" w:hAnsi="仿宋_GB2312" w:eastAsia="仿宋_GB2312" w:cs="仿宋_GB2312"/>
          <w:color w:val="auto"/>
          <w:spacing w:val="0"/>
          <w:w w:val="100"/>
          <w:sz w:val="32"/>
          <w:szCs w:val="32"/>
          <w:highlight w:val="none"/>
          <w:u w:val="none"/>
        </w:rPr>
        <w:t>。池州市</w:t>
      </w:r>
      <w:r>
        <w:rPr>
          <w:rFonts w:hint="eastAsia" w:cs="仿宋_GB2312"/>
          <w:color w:val="auto"/>
          <w:spacing w:val="0"/>
          <w:w w:val="100"/>
          <w:sz w:val="32"/>
          <w:szCs w:val="32"/>
          <w:highlight w:val="none"/>
          <w:u w:val="none"/>
          <w:lang w:val="en-US" w:eastAsia="zh-CN"/>
        </w:rPr>
        <w:t>贵池区</w:t>
      </w:r>
      <w:r>
        <w:rPr>
          <w:rFonts w:hint="eastAsia" w:ascii="仿宋_GB2312" w:hAnsi="仿宋_GB2312" w:eastAsia="仿宋_GB2312" w:cs="仿宋_GB2312"/>
          <w:color w:val="auto"/>
          <w:spacing w:val="0"/>
          <w:w w:val="100"/>
          <w:sz w:val="32"/>
          <w:szCs w:val="32"/>
          <w:highlight w:val="none"/>
          <w:u w:val="none"/>
        </w:rPr>
        <w:t>人民政府办公室于</w:t>
      </w:r>
      <w:r>
        <w:rPr>
          <w:rFonts w:hint="eastAsia" w:ascii="Times New Roman" w:hAnsi="Times New Roman" w:eastAsia="仿宋_GB2312" w:cs="Times New Roman"/>
          <w:color w:val="auto"/>
          <w:spacing w:val="0"/>
          <w:w w:val="100"/>
          <w:sz w:val="32"/>
          <w:szCs w:val="32"/>
          <w:highlight w:val="none"/>
          <w:u w:val="none"/>
          <w:lang w:val="zh-CN" w:eastAsia="zh-CN" w:bidi="zh-CN"/>
        </w:rPr>
        <w:t>20</w:t>
      </w:r>
      <w:r>
        <w:rPr>
          <w:rFonts w:hint="eastAsia" w:ascii="Times New Roman" w:hAnsi="Times New Roman" w:cs="Times New Roman"/>
          <w:color w:val="auto"/>
          <w:spacing w:val="0"/>
          <w:w w:val="100"/>
          <w:sz w:val="32"/>
          <w:szCs w:val="32"/>
          <w:highlight w:val="none"/>
          <w:u w:val="none"/>
          <w:lang w:val="en-US" w:eastAsia="zh-CN" w:bidi="zh-CN"/>
        </w:rPr>
        <w:t>15</w:t>
      </w:r>
      <w:r>
        <w:rPr>
          <w:rFonts w:hint="eastAsia" w:ascii="仿宋_GB2312" w:hAnsi="仿宋_GB2312" w:eastAsia="仿宋_GB2312" w:cs="仿宋_GB2312"/>
          <w:color w:val="auto"/>
          <w:spacing w:val="0"/>
          <w:w w:val="100"/>
          <w:sz w:val="32"/>
          <w:szCs w:val="32"/>
          <w:highlight w:val="none"/>
          <w:u w:val="none"/>
        </w:rPr>
        <w:t>年</w:t>
      </w:r>
      <w:r>
        <w:rPr>
          <w:rFonts w:hint="eastAsia" w:ascii="Times New Roman" w:hAnsi="Times New Roman" w:cs="Times New Roman"/>
          <w:color w:val="auto"/>
          <w:spacing w:val="0"/>
          <w:w w:val="100"/>
          <w:sz w:val="32"/>
          <w:szCs w:val="32"/>
          <w:highlight w:val="none"/>
          <w:u w:val="none"/>
          <w:lang w:val="en-US" w:eastAsia="zh-CN" w:bidi="zh-CN"/>
        </w:rPr>
        <w:t>10</w:t>
      </w:r>
      <w:r>
        <w:rPr>
          <w:rFonts w:hint="eastAsia" w:ascii="仿宋_GB2312" w:hAnsi="仿宋_GB2312" w:eastAsia="仿宋_GB2312" w:cs="仿宋_GB2312"/>
          <w:color w:val="auto"/>
          <w:spacing w:val="0"/>
          <w:w w:val="100"/>
          <w:sz w:val="32"/>
          <w:szCs w:val="32"/>
          <w:highlight w:val="none"/>
          <w:u w:val="none"/>
        </w:rPr>
        <w:t>月</w:t>
      </w:r>
      <w:r>
        <w:rPr>
          <w:rFonts w:hint="eastAsia" w:cs="仿宋_GB2312"/>
          <w:color w:val="auto"/>
          <w:spacing w:val="0"/>
          <w:w w:val="100"/>
          <w:sz w:val="32"/>
          <w:szCs w:val="32"/>
          <w:highlight w:val="none"/>
          <w:u w:val="none"/>
          <w:lang w:val="en-US" w:eastAsia="zh-CN"/>
        </w:rPr>
        <w:t>20</w:t>
      </w:r>
      <w:r>
        <w:rPr>
          <w:rFonts w:hint="eastAsia" w:ascii="仿宋_GB2312" w:hAnsi="仿宋_GB2312" w:eastAsia="仿宋_GB2312" w:cs="仿宋_GB2312"/>
          <w:color w:val="auto"/>
          <w:spacing w:val="0"/>
          <w:w w:val="100"/>
          <w:sz w:val="32"/>
          <w:szCs w:val="32"/>
          <w:highlight w:val="none"/>
          <w:u w:val="none"/>
        </w:rPr>
        <w:t>日印发的《池州市贵池区本级政府性投资项目管理办法》（</w:t>
      </w:r>
      <w:r>
        <w:rPr>
          <w:rFonts w:hint="eastAsia" w:cs="仿宋_GB2312"/>
          <w:color w:val="auto"/>
          <w:spacing w:val="0"/>
          <w:w w:val="100"/>
          <w:sz w:val="32"/>
          <w:szCs w:val="32"/>
          <w:highlight w:val="none"/>
          <w:u w:val="none"/>
          <w:lang w:val="en-US" w:eastAsia="zh-CN"/>
        </w:rPr>
        <w:t>贵</w:t>
      </w:r>
      <w:r>
        <w:rPr>
          <w:rFonts w:hint="eastAsia" w:ascii="仿宋_GB2312" w:hAnsi="仿宋_GB2312" w:eastAsia="仿宋_GB2312" w:cs="仿宋_GB2312"/>
          <w:color w:val="auto"/>
          <w:spacing w:val="0"/>
          <w:w w:val="100"/>
          <w:sz w:val="32"/>
          <w:szCs w:val="32"/>
          <w:highlight w:val="none"/>
          <w:u w:val="none"/>
        </w:rPr>
        <w:t>政办〔</w:t>
      </w:r>
      <w:r>
        <w:rPr>
          <w:rFonts w:hint="eastAsia" w:ascii="Times New Roman" w:hAnsi="Times New Roman" w:eastAsia="仿宋_GB2312" w:cs="Times New Roman"/>
          <w:color w:val="auto"/>
          <w:spacing w:val="0"/>
          <w:w w:val="100"/>
          <w:sz w:val="32"/>
          <w:szCs w:val="32"/>
          <w:highlight w:val="none"/>
          <w:u w:val="none"/>
          <w:lang w:val="zh-CN" w:eastAsia="zh-CN" w:bidi="zh-CN"/>
        </w:rPr>
        <w:t>20</w:t>
      </w:r>
      <w:r>
        <w:rPr>
          <w:rFonts w:hint="eastAsia" w:ascii="Times New Roman" w:hAnsi="Times New Roman" w:cs="Times New Roman"/>
          <w:color w:val="auto"/>
          <w:spacing w:val="0"/>
          <w:w w:val="100"/>
          <w:sz w:val="32"/>
          <w:szCs w:val="32"/>
          <w:highlight w:val="none"/>
          <w:u w:val="none"/>
          <w:lang w:val="en-US" w:eastAsia="zh-CN" w:bidi="zh-CN"/>
        </w:rPr>
        <w:t>15</w:t>
      </w:r>
      <w:r>
        <w:rPr>
          <w:rFonts w:hint="eastAsia" w:ascii="仿宋_GB2312" w:hAnsi="仿宋_GB2312" w:eastAsia="仿宋_GB2312" w:cs="仿宋_GB2312"/>
          <w:color w:val="auto"/>
          <w:spacing w:val="0"/>
          <w:w w:val="100"/>
          <w:sz w:val="32"/>
          <w:szCs w:val="32"/>
          <w:highlight w:val="none"/>
          <w:u w:val="none"/>
        </w:rPr>
        <w:t>〕</w:t>
      </w:r>
      <w:r>
        <w:rPr>
          <w:rFonts w:hint="eastAsia" w:ascii="Times New Roman" w:hAnsi="Times New Roman" w:cs="Times New Roman"/>
          <w:color w:val="auto"/>
          <w:spacing w:val="0"/>
          <w:w w:val="100"/>
          <w:sz w:val="32"/>
          <w:szCs w:val="32"/>
          <w:highlight w:val="none"/>
          <w:u w:val="none"/>
          <w:lang w:val="en-US" w:eastAsia="zh-CN" w:bidi="zh-CN"/>
        </w:rPr>
        <w:t>33</w:t>
      </w:r>
      <w:r>
        <w:rPr>
          <w:rFonts w:hint="eastAsia" w:ascii="仿宋_GB2312" w:hAnsi="仿宋_GB2312" w:eastAsia="仿宋_GB2312" w:cs="仿宋_GB2312"/>
          <w:color w:val="auto"/>
          <w:spacing w:val="0"/>
          <w:w w:val="100"/>
          <w:sz w:val="32"/>
          <w:szCs w:val="32"/>
          <w:highlight w:val="none"/>
          <w:u w:val="none"/>
        </w:rPr>
        <w:t>号）同时废止</w:t>
      </w:r>
      <w:r>
        <w:rPr>
          <w:rFonts w:hint="eastAsia" w:ascii="仿宋_GB2312" w:hAnsi="仿宋_GB2312" w:eastAsia="仿宋_GB2312" w:cs="仿宋_GB2312"/>
          <w:color w:val="auto"/>
          <w:spacing w:val="0"/>
          <w:w w:val="100"/>
          <w:sz w:val="32"/>
          <w:szCs w:val="32"/>
          <w:highlight w:val="none"/>
          <w:u w:val="none"/>
          <w:lang w:eastAsia="zh-CN"/>
        </w:rPr>
        <w:t>。</w:t>
      </w:r>
    </w:p>
    <w:p w14:paraId="773823C2">
      <w:pPr>
        <w:jc w:val="left"/>
        <w:rPr>
          <w:rFonts w:hint="eastAsia" w:ascii="仿宋_GB2312" w:hAnsi="仿宋_GB2312" w:eastAsia="仿宋_GB2312" w:cs="仿宋_GB2312"/>
          <w:color w:val="auto"/>
          <w:spacing w:val="0"/>
          <w:w w:val="100"/>
          <w:sz w:val="32"/>
          <w:szCs w:val="32"/>
          <w:u w:val="none"/>
          <w:lang w:eastAsia="zh-CN"/>
        </w:rPr>
      </w:pPr>
    </w:p>
    <w:sectPr>
      <w:footerReference r:id="rId5" w:type="default"/>
      <w:footerReference r:id="rId6" w:type="even"/>
      <w:pgSz w:w="11910" w:h="16840"/>
      <w:pgMar w:top="2098" w:right="1474" w:bottom="1984" w:left="1587" w:header="0" w:footer="209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DE4C78D-5D23-4299-831A-4AE6929913A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4DE516F3-A8C8-497C-84B4-EBABA2265E15}"/>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embedRegular r:id="rId3" w:fontKey="{B37CC8D4-09C0-4876-BC30-0499EAABE032}"/>
  </w:font>
  <w:font w:name="方正仿宋_GBK">
    <w:panose1 w:val="02000000000000000000"/>
    <w:charset w:val="86"/>
    <w:family w:val="auto"/>
    <w:pitch w:val="default"/>
    <w:sig w:usb0="A00002BF" w:usb1="38CF7CFA" w:usb2="00082016" w:usb3="00000000" w:csb0="00040001" w:csb1="00000000"/>
    <w:embedRegular r:id="rId4" w:fontKey="{10B00BE5-146D-45C0-BC37-618F117E3976}"/>
  </w:font>
  <w:font w:name="方正黑体_GBK">
    <w:altName w:val="微软雅黑"/>
    <w:panose1 w:val="02000000000000000000"/>
    <w:charset w:val="86"/>
    <w:family w:val="auto"/>
    <w:pitch w:val="default"/>
    <w:sig w:usb0="00000000" w:usb1="00000000" w:usb2="00000000" w:usb3="00000000" w:csb0="00040000" w:csb1="00000000"/>
    <w:embedRegular r:id="rId5" w:fontKey="{0411E873-8B29-45E9-948E-33CCA102F0DC}"/>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49E74">
    <w:pPr>
      <w:pStyle w:val="4"/>
      <w:spacing w:line="14" w:lineRule="auto"/>
      <w:rPr>
        <w:sz w:val="20"/>
      </w:rPr>
    </w:pPr>
  </w:p>
  <w:p w14:paraId="7A6E0E6B">
    <w:pPr>
      <w:pStyle w:val="4"/>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3B8ABF">
                          <w:pPr>
                            <w:pStyle w:val="5"/>
                            <w:rPr>
                              <w:rFonts w:hint="eastAsia" w:ascii="宋体" w:hAnsi="宋体" w:eastAsia="宋体" w:cs="宋体"/>
                              <w:sz w:val="28"/>
                              <w:szCs w:val="40"/>
                            </w:rPr>
                          </w:pPr>
                          <w:r>
                            <w:rPr>
                              <w:rFonts w:hint="eastAsia" w:ascii="宋体" w:hAnsi="宋体" w:eastAsia="宋体" w:cs="宋体"/>
                              <w:sz w:val="28"/>
                              <w:szCs w:val="40"/>
                            </w:rPr>
                            <w:t xml:space="preserve">— </w:t>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r>
                            <w:rPr>
                              <w:rFonts w:hint="eastAsia" w:ascii="宋体" w:hAnsi="宋体" w:eastAsia="宋体" w:cs="宋体"/>
                              <w:sz w:val="28"/>
                              <w:szCs w:val="40"/>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F3B8ABF">
                    <w:pPr>
                      <w:pStyle w:val="5"/>
                      <w:rPr>
                        <w:rFonts w:hint="eastAsia" w:ascii="宋体" w:hAnsi="宋体" w:eastAsia="宋体" w:cs="宋体"/>
                        <w:sz w:val="28"/>
                        <w:szCs w:val="40"/>
                      </w:rPr>
                    </w:pPr>
                    <w:r>
                      <w:rPr>
                        <w:rFonts w:hint="eastAsia" w:ascii="宋体" w:hAnsi="宋体" w:eastAsia="宋体" w:cs="宋体"/>
                        <w:sz w:val="28"/>
                        <w:szCs w:val="40"/>
                      </w:rPr>
                      <w:t xml:space="preserve">— </w:t>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r>
                      <w:rPr>
                        <w:rFonts w:hint="eastAsia" w:ascii="宋体" w:hAnsi="宋体" w:eastAsia="宋体" w:cs="宋体"/>
                        <w:sz w:val="28"/>
                        <w:szCs w:val="40"/>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21D26">
    <w:pPr>
      <w:pStyle w:val="4"/>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E90B0B">
                          <w:pPr>
                            <w:pStyle w:val="5"/>
                          </w:pPr>
                          <w:r>
                            <w:t xml:space="preserve">— </w:t>
                          </w:r>
                          <w:r>
                            <w:fldChar w:fldCharType="begin"/>
                          </w:r>
                          <w:r>
                            <w:instrText xml:space="preserve"> PAGE  \* MERGEFORMAT </w:instrText>
                          </w:r>
                          <w:r>
                            <w:fldChar w:fldCharType="separate"/>
                          </w:r>
                          <w:r>
                            <w:t>2</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6E90B0B">
                    <w:pPr>
                      <w:pStyle w:val="5"/>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NkMzEzNjBjZGRiMTZlYzRkMDA5MzMwMGEzNzg1ZTgifQ=="/>
  </w:docVars>
  <w:rsids>
    <w:rsidRoot w:val="19772E99"/>
    <w:rsid w:val="04780D01"/>
    <w:rsid w:val="04A46762"/>
    <w:rsid w:val="05394E67"/>
    <w:rsid w:val="0A695699"/>
    <w:rsid w:val="0BB82479"/>
    <w:rsid w:val="0DB740A4"/>
    <w:rsid w:val="0E447B6E"/>
    <w:rsid w:val="0E5657B4"/>
    <w:rsid w:val="0E664C24"/>
    <w:rsid w:val="11494865"/>
    <w:rsid w:val="12D60970"/>
    <w:rsid w:val="144D0DA5"/>
    <w:rsid w:val="15D53607"/>
    <w:rsid w:val="18B84674"/>
    <w:rsid w:val="19772E99"/>
    <w:rsid w:val="1A0B2B86"/>
    <w:rsid w:val="1A142316"/>
    <w:rsid w:val="1B75684C"/>
    <w:rsid w:val="1DF33B26"/>
    <w:rsid w:val="1EA50B92"/>
    <w:rsid w:val="236B52A8"/>
    <w:rsid w:val="23DB0FE5"/>
    <w:rsid w:val="24815BD3"/>
    <w:rsid w:val="28150015"/>
    <w:rsid w:val="2FB84209"/>
    <w:rsid w:val="2FD9247D"/>
    <w:rsid w:val="306D1C02"/>
    <w:rsid w:val="310F000A"/>
    <w:rsid w:val="34FE0568"/>
    <w:rsid w:val="3998013D"/>
    <w:rsid w:val="3A7E1962"/>
    <w:rsid w:val="408D1DDE"/>
    <w:rsid w:val="47A81CB4"/>
    <w:rsid w:val="4C9A3D31"/>
    <w:rsid w:val="53685179"/>
    <w:rsid w:val="55A835AA"/>
    <w:rsid w:val="56924C5C"/>
    <w:rsid w:val="58E04E53"/>
    <w:rsid w:val="595C281E"/>
    <w:rsid w:val="59846BF5"/>
    <w:rsid w:val="5A5A528C"/>
    <w:rsid w:val="5BB0705F"/>
    <w:rsid w:val="5C336712"/>
    <w:rsid w:val="5EB607A1"/>
    <w:rsid w:val="5F712F09"/>
    <w:rsid w:val="5F752C19"/>
    <w:rsid w:val="63713F59"/>
    <w:rsid w:val="6451129F"/>
    <w:rsid w:val="65B963B9"/>
    <w:rsid w:val="663C79A2"/>
    <w:rsid w:val="6D997FAC"/>
    <w:rsid w:val="6E1A5B78"/>
    <w:rsid w:val="6E8E7DF0"/>
    <w:rsid w:val="70665EFE"/>
    <w:rsid w:val="73643FF5"/>
    <w:rsid w:val="79926F50"/>
    <w:rsid w:val="7ABA1179"/>
    <w:rsid w:val="7BC64854"/>
    <w:rsid w:val="7CD64CE5"/>
    <w:rsid w:val="7D4303B8"/>
    <w:rsid w:val="7D89270F"/>
    <w:rsid w:val="7D9F7CBF"/>
    <w:rsid w:val="7E2C6747"/>
    <w:rsid w:val="FF3A76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仿宋_GB2312" w:hAnsi="仿宋_GB2312" w:eastAsia="仿宋_GB2312" w:cs="仿宋_GB2312"/>
      <w:sz w:val="22"/>
      <w:szCs w:val="22"/>
      <w:lang w:val="zh-CN" w:eastAsia="zh-CN" w:bidi="zh-CN"/>
    </w:rPr>
  </w:style>
  <w:style w:type="paragraph" w:styleId="3">
    <w:name w:val="heading 1"/>
    <w:basedOn w:val="1"/>
    <w:next w:val="1"/>
    <w:qFormat/>
    <w:uiPriority w:val="1"/>
    <w:pPr>
      <w:ind w:left="855" w:right="1030"/>
      <w:jc w:val="center"/>
      <w:outlineLvl w:val="1"/>
    </w:pPr>
    <w:rPr>
      <w:rFonts w:ascii="方正小标宋简体" w:hAnsi="方正小标宋简体" w:eastAsia="方正小标宋简体" w:cs="方正小标宋简体"/>
      <w:sz w:val="44"/>
      <w:szCs w:val="44"/>
      <w:lang w:val="zh-CN" w:eastAsia="zh-CN" w:bidi="zh-CN"/>
    </w:rPr>
  </w:style>
  <w:style w:type="paragraph" w:styleId="2">
    <w:name w:val="heading 2"/>
    <w:basedOn w:val="1"/>
    <w:next w:val="1"/>
    <w:qFormat/>
    <w:uiPriority w:val="1"/>
    <w:pPr>
      <w:spacing w:before="270"/>
      <w:ind w:right="173"/>
      <w:jc w:val="center"/>
      <w:outlineLvl w:val="2"/>
    </w:pPr>
    <w:rPr>
      <w:rFonts w:ascii="楷体" w:hAnsi="楷体" w:eastAsia="楷体" w:cs="楷体"/>
      <w:sz w:val="36"/>
      <w:szCs w:val="36"/>
      <w:lang w:val="zh-CN" w:eastAsia="zh-CN" w:bidi="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仿宋_GB2312" w:hAnsi="仿宋_GB2312" w:eastAsia="仿宋_GB2312" w:cs="仿宋_GB2312"/>
      <w:sz w:val="32"/>
      <w:szCs w:val="32"/>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9">
    <w:name w:val="Hyperlink"/>
    <w:basedOn w:val="8"/>
    <w:qFormat/>
    <w:uiPriority w:val="0"/>
    <w:rPr>
      <w:color w:val="0000FF"/>
      <w:u w:val="single"/>
    </w:rPr>
  </w:style>
  <w:style w:type="paragraph" w:customStyle="1" w:styleId="10">
    <w:name w:val="正文 New New New New New New New"/>
    <w:basedOn w:val="1"/>
    <w:qFormat/>
    <w:uiPriority w:val="0"/>
    <w:rPr>
      <w:rFonts w:ascii="Calibri" w:hAnsi="Calibri" w:eastAsia="宋体"/>
      <w:szCs w:val="21"/>
    </w:rPr>
  </w:style>
  <w:style w:type="table" w:customStyle="1" w:styleId="11">
    <w:name w:val="网格型1"/>
    <w:basedOn w:val="12"/>
    <w:qFormat/>
    <w:uiPriority w:val="0"/>
    <w:rPr>
      <w:rFonts w:ascii="Calibri" w:hAnsi="Calibri" w:eastAsia="宋体"/>
      <w:kern w:val="2"/>
      <w:sz w:val="21"/>
      <w:szCs w:val="22"/>
    </w:rPr>
  </w:style>
  <w:style w:type="table" w:customStyle="1" w:styleId="12">
    <w:name w:val="普通表格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6688</Words>
  <Characters>6750</Characters>
  <Lines>0</Lines>
  <Paragraphs>0</Paragraphs>
  <TotalTime>42</TotalTime>
  <ScaleCrop>false</ScaleCrop>
  <LinksUpToDate>false</LinksUpToDate>
  <CharactersWithSpaces>6873</CharactersWithSpaces>
  <Application>WPS Office_12.1.0.17440_F1E327BC-269C-435d-A152-05C5408002CA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2022-12-13T11:13:00Z</dcterms:created>
  <dc:creator>文档存本地丢失不负责</dc:creator>
  <cp:lastModifiedBy>WPS_1701415548</cp:lastModifiedBy>
  <cp:lastPrinted>2024-07-01T07:33:00Z</cp:lastPrinted>
  <dcterms:modified xsi:type="dcterms:W3CDTF">2024-07-08T01:53:22Z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8802E9FDFFF24988AEA789DC789B63F5_13</vt:lpwstr>
  </property>
</Properties>
</file>