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u w:val="none"/>
          <w:lang w:val="en-US" w:eastAsia="zh-CN" w:bidi="ar"/>
        </w:rPr>
      </w:pPr>
      <w:r>
        <w:rPr>
          <w:rFonts w:hint="eastAsia" w:ascii="宋体" w:hAnsi="宋体" w:eastAsia="宋体" w:cs="宋体"/>
          <w:b/>
          <w:bCs/>
          <w:i w:val="0"/>
          <w:iCs w:val="0"/>
          <w:color w:val="000000"/>
          <w:kern w:val="0"/>
          <w:sz w:val="40"/>
          <w:szCs w:val="40"/>
          <w:u w:val="none"/>
          <w:lang w:val="en-US" w:eastAsia="zh-CN" w:bidi="ar"/>
        </w:rPr>
        <w:t>2022年度项目支出绩效自评表及部门评价报告</w:t>
      </w:r>
    </w:p>
    <w:p>
      <w:pPr>
        <w:keepNext w:val="0"/>
        <w:keepLines w:val="0"/>
        <w:widowControl/>
        <w:numPr>
          <w:ilvl w:val="0"/>
          <w:numId w:val="1"/>
        </w:numPr>
        <w:suppressLineNumbers w:val="0"/>
        <w:jc w:val="center"/>
        <w:textAlignment w:val="center"/>
        <w:rPr>
          <w:rFonts w:hint="default"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贵池区牛头山镇人民政府部门绩效自评项目清单</w:t>
      </w:r>
    </w:p>
    <w:tbl>
      <w:tblPr>
        <w:tblStyle w:val="4"/>
        <w:tblW w:w="129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8"/>
        <w:gridCol w:w="10885"/>
        <w:gridCol w:w="11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94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序列</w:t>
            </w:r>
          </w:p>
        </w:tc>
        <w:tc>
          <w:tcPr>
            <w:tcW w:w="1088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项目名称</w:t>
            </w:r>
          </w:p>
        </w:tc>
        <w:tc>
          <w:tcPr>
            <w:tcW w:w="11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疫情防控经费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集镇提升项目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乡村振兴工作经费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牛头山镇杨店村蔬菜基地建设项目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城乡人居环境治理工作经费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2022年牛头山镇美丽乡村自然村庄整治项目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牛头山镇万生村2022年池州市生宝渔业养殖专业合作社项目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村级组织补助及运转经费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社会治安工作经费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牛头山镇农业生产能力提升项目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牛头山镇域经济考核奖励</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2022年牛头山镇观山村生鲜冷库项目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牛头山镇长林河环境综合整治项目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办公大楼租金、办公设备购置经费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党建、团建专项工作经费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专项工作考核经费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镇街综合工作经费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牛头山镇土地出让分成项目</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2022年牛头山镇农业生产和水利救灾资金</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铜锣湾商场化解专项经费</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临时救助补助资金</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办公设备采购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综合目标考核经费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乡镇财政资金监管经费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办公设备购置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综合目标考核经费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新建木闸一站工作经费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综合目标考核经费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0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办公设备购置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95"/>
        <w:gridCol w:w="1314"/>
        <w:gridCol w:w="2101"/>
        <w:gridCol w:w="1769"/>
        <w:gridCol w:w="1537"/>
        <w:gridCol w:w="1472"/>
        <w:gridCol w:w="1196"/>
        <w:gridCol w:w="1219"/>
        <w:gridCol w:w="2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疫情防控经费项目支出绩效自评表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疫情防控经费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申请财政资金10万元，用于交通卡口防控管理，开展来（返）区车辆人员“两码一证明”查验、核酸检测、留观、转运等一系列闭环管控工作。保证疫情防控工作“外防输入”源头管理。</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申请财政资金10万元，用于交通卡口防控管理，开展来（返）区车辆人员“两码一证明”查验、核酸检测、留观、转运等一系列闭环管控工作。保证疫情防控工作“外防输入”源头管理。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防控交通卡口</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每月卡口值班人数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符合财经法规和制度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按规定及时拨付资金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对疫情防控工作产生的积极影响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通过加强交通卡口防控管理，开展来（返）区车辆人员“两码一证明”查验、核酸证明、留观、转运等一系列闭环管控工作，在一定程度上减少区疫情发生，加强疫情防控能力。</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通过项目实施，对于加强疫情防控能力有一定的积极作用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该项目实施，在一定程度上加强群众的疫情防控意识，增强突发公共卫生事件保障能力。</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受益群众满意度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77"/>
        <w:gridCol w:w="1206"/>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集镇提升项目支出绩效自评表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集镇提升项目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45.60%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申请项目资金250万元，用于集镇公共服务设施配套提升，修建本镇史馆，提高文化服务水平。</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请项目资金250万元，用于集镇公共服务设施配套提升，修建本镇史馆，提高文化服务水平。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镇史管建设数量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建设质量合格率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建设总成本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项目未完工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对公共服务体系进一步健全完善的影响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对机构持续稳定运转、持续发挥职能的改善或提升程度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明显改善或提升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67"/>
        <w:gridCol w:w="1209"/>
        <w:gridCol w:w="2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乡村振兴工作经费项目支出绩效自评表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乡村振兴工作经费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申报项目资金962万元，用于对农民专业合作社、家庭农场等扶持，支持农村农业产业发展</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申报项目资金962万元，用于对农民专业合作社、家庭农场等扶持，支持农村农业产业发展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扶持自然村建设数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乡村配套建设数量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村庄规划数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敬老院改造提升工程数量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村部建设装饰数量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配套建设计划完成率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村部装饰验收合格率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按照项目合同规定计划完成时间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≤962万元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253.02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扶持自然村建设项目单位成本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乡村配套建设项目单位成本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村庄规划数项目单位成本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敬老院改造提升工程项目单位成本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农村老年人对敬老院需求的满足程度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对乡村发展环境的改善程度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对农村生活环境的改善程度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对乡村发展的可持续影响程度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86.63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牛头山镇杨店村蔬菜基地建设项目支出绩效自评表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牛头山镇杨店村蔬菜基地建设项目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90.84%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申请财政资金50万元，用于杨店村蔬菜基地建设项目，开展特色农业生产，增加村集体经济收入，带动脱贫户每户务工增收，巩固脱贫成果。</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申请财政资金50万元，用于杨店村蔬菜基地建设项目，开展特色农业生产，增加村集体经济收入，带动脱贫户每户务工增收，巩固脱贫成果。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新建蔬菜大棚面积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蔬菜秸秆处理池</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带动脱贫户增收数量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项目验收合格、审计后按合同时间拨付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45.42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对村集体经济收入增加产生的积极影响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通过建设蔬菜大棚，开展特色农业生产采摘，增加村集体经济收入。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通过建设蔬菜大棚，开展特色农业生产采摘，带动周边脱贫户稳定增收。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对带动镇村种植户的积极影响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通过实施杨店村蔬菜大棚项目，为全村乃至全镇的蔬菜种植户起到良好示范带动作用。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通过建设蔬菜大棚，开展特色农业生产采摘，有效改善蔬菜品质，保障群众生活质量。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对改善当地人居环境积极影响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通过实施杨店村蔬菜大棚项目，进提高土地利用率，减少村民自户经营产生的农业垃圾和污染。</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对增强群众生态环保理念的积极影响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通过发展观山村特色农业，有效改善群众健康饮食习惯，增强生态环保理念</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通过实施大棚蔬菜项目，促进乡村振兴可持续发展。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70"/>
        <w:gridCol w:w="1200"/>
        <w:gridCol w:w="23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城乡人居环境治理工作经费项目支出绩效自评表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城乡人居环境治理工作经费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申请项目资金180万元，用于人居环境示范点推进； 申请项目资金60万元，用于配套农村改厕。</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申请项目资金180万元，用于人居环境示范点推进； 申请项目资金60万元，用于配套农村改厕。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实施环境整治的村居数量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实施农村改厕数量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建设示范点数量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按时完成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示范点推进项目成本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对农村基础设施完善、改善农村居住环境影响程度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改善明显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对农村公厕设施需求的满足程度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对农村污水、生活垃圾处理能力提升，有效改善农村生态环境的影响程度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对改善人居环境持续程度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持续改善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2022年牛头山镇美丽乡村自然村庄整治项目支出绩效自评表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2022年牛头山镇美丽乡村自然村庄整治项目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申请财政资金40万元，用于观山村美丽乡村自然村庄整治项目，改善村民居住环境。</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申请财政资金40万元，用于观山村美丽乡村自然村庄整治项目，改善村民居住环境。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美丽乡村村庄整治工程数量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项目验收合格按合同规定时间拨付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对带动当地区域劳动力创收的积极影响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通过实施美丽乡村村庄整治项目，增加当地区域村民经济收入。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通过实施美丽乡村村庄整治项目，完善基础设施配套，提升群众生活质量。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对改善当地人居环境积极影响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通过实施美丽乡村村庄整治项目，改善村容村貌，提升人居环境质量。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通过实施美丽乡村村庄整治项目，促进乡村振兴可持续发展。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牛头山镇万生村2022年池州市生宝渔业养殖专业合作社项目支出绩效自评表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牛头山镇万生村2022年池州市生宝渔业养殖专业合作社项目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申请财政资金30万元，用于万生村2022年池州市生宝渔业养殖专业合作社项目，带动脱贫户稳定增收，增加村集体经济收入。</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申请财政资金30万元，用于万生村2022年池州市生宝渔业养殖专业合作社项目，带动脱贫户稳定增收，增加村集体经济收入。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稻虾混养面积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淡水鱼养殖水面</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鱼年产量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龙虾年产量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莲子年产量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带动脱贫户增收数量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项目验收合格按合同规定时间拨付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对村集体经济收入增加产生的积极影响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通过实施生宝渔业养殖合作社项目，增加村集体经济收入。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通过实施生宝渔业养殖合作社项目，带动脱贫户稳定增收。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对农户示范带动的积极影响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通过实施生宝渔业养殖合作社项目，对当地农户示范带动起到了显著的作用，通过农家乐市场销售模式，促进了休闲垂钓融合发展。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通过实施生宝渔业养殖合作社项目，提升稻米品质，保障群众生活质量。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对当地生态环境积极影响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通过实施生宝渔业养殖合作社项目，增加万生村闲置土地利用率，稻虾共生有效控制生态污染。</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通过实施生宝渔业养殖合作社项目，促进乡村振兴可持续发展。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脱贫户满意度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村级组织补助及运转经费项目支出绩效自评表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村级组织补助及运转经费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申请项目资金612万元，其中：1、申请82万元资金用于村级组织运转经费，2.申请80万元用于村党小组、村民组组长工作经费80万元，3.用于村级经费补助450万元，保障村级组织的正常运转。</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申请项目资金612万元，其中：1、申请82万元资金用于村级组织运转经费，2.申请80万元用于村党小组、村民组组长工作经费80万元，3.用于村级经费补助450万元，保障村级组织的正常运转。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补助村级组织数量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农村党小组、村民组组长人数数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对村级工作进一步健全完善的影响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对村级工作持续稳定运转、持续发挥职能的改善或提升程度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社会治安工作经费项目支出绩效自评表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社会治安工作经费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99.66%</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申请项目资金44万元，主要用于开展法制、综治、平安建设宣传、接待来访群众、处置突发事件等工作。</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申请项目资金44万元，主要用于开展法制、综治、平安建设宣传、接待来访群众、处置突发事件等工作。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受理信访数量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司法调节数量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审结案件数量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处理信访流程的合规性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严格执行信访管理制度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司法调节程序的合规性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严格执行相关制度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严格执行相关财经 法规、制度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来访群众反映问题处理及时性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规定期限内</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案件办结时间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规定期限内</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对社会稳定影响的程度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效果明显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提升群众安全感，幸福感程度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对社会和谐稳定的持续保障程度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持续提升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8"/>
        <w:gridCol w:w="1219"/>
        <w:gridCol w:w="2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牛头山镇农业生产能力提升项目支出绩效自评表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牛头山镇农业生产能力提升项目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申请财政资金940万元，用于牛头山镇农业生产能力提升项目，完善公共基础设施，为村民农业生产提供便利，带动脱贫户受益</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申请财政资金940万元，用于牛头山镇农业生产能力提升项目，完善公共基础设施，为村民农业生产提供便利，带动脱贫户受益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沟渠衬砌公里数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≥2.3公里</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新建泵站数量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新建农桥数量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涵洞数量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新建田间道路公里数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≥4公里</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带动脱贫户增收数量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按照《池州市贵池区财政衔接推进乡村振兴补助资金管理实施细则》要求使用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按照工程进度拨付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通过实施牛头山镇农业生产能力提升项目，带动脱贫户稳定增收。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对农民农业生产便利的积极影响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通过实施牛头山镇农业生产能力提升项目，完善公共基础设施，为农民农业生产提供便利。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对保障当地生态环境的积极影响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通过实施牛头山镇农业生产能力提升项目，改善农田灌溉面积，减少水土流失，保护当地生态环境。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通过实施牛头山镇农业生产能力提升项目，促进乡村振兴可持续发展。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3"/>
        <w:gridCol w:w="1317"/>
        <w:gridCol w:w="2050"/>
        <w:gridCol w:w="1790"/>
        <w:gridCol w:w="1542"/>
        <w:gridCol w:w="1475"/>
        <w:gridCol w:w="1201"/>
        <w:gridCol w:w="1219"/>
        <w:gridCol w:w="22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牛头山镇域经济考核奖励项目支出绩效自评表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牛头山镇域经济考核奖励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申请财政资金400万元，用于牛头山镇镇域经济发展和办公经费，调动镇域经济发展的积极性和主动性，加快推进镇域经济高质量发展，提升群众获得感、幸福感。</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申请财政资金400万元，用于牛头山镇镇域经济发展和办公经费，调动镇域经济发展的积极性和主动性，加快推进镇域经济高质量发展，提升群众获得感、幸福感。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办公设备购置采购数量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≥80套</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土地征用补偿面积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设备购置验收合格率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按照《预算法》、《会计法》及本单位财务制度管理规定使用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按照合同规定时间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设备验收完成时间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对推动区域内经济发展的积极影响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通过实施项目，有助于调动镇域经济发展的积极性和主动性，加快推进镇域经济高质量发展。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对提升办公人员服务群众能力的积极影响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通过实施项目，提高办公效率，服务群众能力显著增强。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对提升群众幸福获得感的积极影响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通过项目实施，带动群众就业及生活品质改善，进一步提升群众的幸福感获得感。</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对改善群众生活环境质量的积极影响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通过项目实施，推进镇村环境空间更新、面貌更新，改善群众生活环境质量。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对推动镇域经济发展、改善生活环境质量和提升群众幸福感的可持续性的积极影响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通过项目实施，以镇带村，融合城乡，推动镇域经济可持续发展、镇村环境面貌持续改善、社会治理日益增强、群众幸福感日益增强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2022年牛头山镇观山村生鲜冷库项目支出绩效自评表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2022年牛头山镇观山村生鲜冷库项目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49.22%</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申请财政资金45万元，用于观山村生鲜冷冻项目，带动脱贫户稳定增收，增加村集体经济收入。</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申请财政资金45万元，用于观山村生鲜冷冻项目，带动脱贫户稳定增收，增加村集体经济收入。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新建冻库面积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＝100平方米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配备冻库设备数量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带动脱贫户数量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冷库验收合格率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设备达标率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按照《池州市市级财政衔接推进乡村振兴补助资金管理实施细则》要求使用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项目验收合格按合同时间拨付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2022年终审计未完成，2023年初已完成审计并结算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对村集体经济收入增加产生的积极影响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通过发展观山村生鲜产业，增加村集体经济收入</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对脱贫户庭收入保障产生的积极影响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通过发展观山村生鲜产业，带动脱贫户稳定增收。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通过发展观山村生鲜产业，保障生鲜食品品质，提升群众生活质量。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对增强群众生态环保理念的积极影响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通过发展观山村生鲜产业，有效改善群众健康饮食习惯，增强生态环保理念。</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对改善当地人居环境积极影响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通过发展观山村生鲜产业，减少农产品腐烂，有效改善当地人居环境。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通过发展观山村生鲜冷冻产业，促进乡村振兴可持续发展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89.92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3"/>
        <w:gridCol w:w="1317"/>
        <w:gridCol w:w="2050"/>
        <w:gridCol w:w="1790"/>
        <w:gridCol w:w="1542"/>
        <w:gridCol w:w="1475"/>
        <w:gridCol w:w="1177"/>
        <w:gridCol w:w="1199"/>
        <w:gridCol w:w="2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牛头山镇长林河环境综合整治项目支出绩效自评表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牛头山镇长林河环境综合整治项目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0.67%</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申请财政资金600万元，用于牛头山镇长林河环境综合整治建设工程，改善流域内生态环境，推动牛头山镇长江经济带的绿色发展。</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申请财政资金600万元，用于牛头山镇长林河环境综合整治建设工程，改善流域内生态环境，推动牛头山镇长江经济带的绿色发展。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长林河环境综合整治项目工程数量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河道清淤长度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新建混凝土护坡长度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新建蓄水闸</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改造长林河沿线堤上道路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建设项目验收达标率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按照《安徽省水清岸绿产业优美丽长江（安徽）经济带财政专项引导资金管理暂行办法》、《池州市水清岸绿产业优美丽长江（池州）经济带财政专项引导资金管理暂行办法的通知》要求使用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按工程进度拨付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项目完成竣工验收时间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部分达成预期指标并具有一定效果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项目开工延迟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项目未完工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对促进区域内经济发展的积极影响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通过实施长林河环境综合整治项目，有助于推动牛头山镇长江经济带的绿色发展，为区域经济发展提供有效保障。</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对保障农民旱季灌溉的积极影响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通过实施实施长林河环境综合整治项目，提高区域防洪除涝能力，有效保障旱季灌溉。</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对保障群众生活质量积极影响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通过实施长林河环境综合整治项目，完善基础设施，提升群众生活质量。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对提高公众环境保护意识及健康水平等方面的积极影响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通过实施实施长林河环境综合整治项目，提高公众环境保护意识和健康水平。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对改善流域内生态环境积极影响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通过实施实施长林河环境综合整治项目，有效提升长林河区域水生态环境质量。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对水土资源可持续利用、生态环境可持续维护、经济社会可持续发展的积极影响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通过实施长林河环境综合整治项目，实现水更清、岸更绿、天更蓝蓝、产业更优，促进水土资源可持续利用、生态环境可持续维护、经济社会可持续发展。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办公大楼租金、办公设备购置经费项目支出绩效自评表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办公大楼租金、办公设备购置经费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65.24%</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申报项目资金455万元，用于办公楼租金205万元，用于购置办公设备250万元，维持正常办公运转。</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申报项目资金455万元，用于办公楼租金205万元，用于购置办公设备250万元，维持正常办公运转。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购置办公设备数量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办公用品质量合格率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2968443.87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对公共服务体系进一步健全完善的影响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对机构持续稳定运转、持续发挥职能的改善或提升程度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明显提升或改善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96.52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95"/>
        <w:gridCol w:w="1314"/>
        <w:gridCol w:w="2101"/>
        <w:gridCol w:w="1769"/>
        <w:gridCol w:w="1537"/>
        <w:gridCol w:w="1472"/>
        <w:gridCol w:w="1196"/>
        <w:gridCol w:w="1219"/>
        <w:gridCol w:w="22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党建、团建专项工作经费项目支出绩效自评表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党建、团建专项工作经费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申请项目资金10万元，用于单位开展团委、党建等职工活动方面的工作，不断提升职工的整体素质和提升职工的凝聚力和战斗力。</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申请项目资金10万元，用于单位开展团委、党建等职工活动方面的工作，不断提升职工的整体素质和提升职工的凝聚力和战斗力。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举办主题活动场次</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≥10次</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经费支出的合规性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提升职工的整体素质和提升职工的凝聚力和战斗力</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对党建工作和团建工作进一步健全完善的影响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促进职工身心健康影响的持续性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对党建工作和团建工作持续稳定运转、持续发挥职能的改善或提升程度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明显改善或提升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59"/>
        <w:gridCol w:w="1492"/>
        <w:gridCol w:w="1467"/>
        <w:gridCol w:w="1196"/>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专项工作考核经费项目支出绩效自评表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专项工作考核经费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428.801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87.87%</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428.801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申报项目资金614.8万元，用于综合目标考核408万元，创城、秸秆禁烧考核80万，，进一步调动乡镇干事创业、争先树优积极性。</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申报项目资金614.8万元，用于综合目标考核408万元，创城、秸秆禁烧考核80万，，进一步调动乡镇干事创业、争先树优积极性。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专项工作考核数量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428.8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对专项工作进一步健全完善的影响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对专项工作持续稳定运转、持续发挥职能的改善或提升程度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98.79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7"/>
        <w:gridCol w:w="1319"/>
        <w:gridCol w:w="2016"/>
        <w:gridCol w:w="1814"/>
        <w:gridCol w:w="1537"/>
        <w:gridCol w:w="1477"/>
        <w:gridCol w:w="1203"/>
        <w:gridCol w:w="1219"/>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镇街综合工作经费项目支出绩效自评表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镇街综合工作经费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99.89%</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644.09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申请项目资金614.8万元，用于本镇综合工作，保证镇政府工作正常运行。</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申请项目资金614.8万元，用于本镇综合工作，保证镇政府工作正常运行。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综合工作项目数量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≤572.8万元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572.8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对乡镇工作进一步健全完善的影响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对乡镇工作持续稳定运转、持续发挥职能的改善或提升程度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305"/>
        <w:gridCol w:w="1318"/>
        <w:gridCol w:w="2016"/>
        <w:gridCol w:w="1818"/>
        <w:gridCol w:w="1542"/>
        <w:gridCol w:w="1476"/>
        <w:gridCol w:w="1198"/>
        <w:gridCol w:w="1219"/>
        <w:gridCol w:w="2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牛头山镇土地出让分成项目支出绩效自评表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牛头山镇土地出让分成项目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申报财政资金431.76万元，用于征地和拆迁补偿、基础设施建设等支出，保障被被拆迁、征地居民合法权益，维护社会稳定和谐，完善基础设施配套，提高农民生活质量和水平。</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申报财政资金431.76万元，用于征地和拆迁补偿、基础设施建设等支出，保障被被拆迁、征地居民合法权益，维护社会稳定和谐，完善基础设施配套，提高农民生活质量和水平。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基础设施建设工程数量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≥3项</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完成土地补偿面积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根据《土地使用权出让收支管理办法》规定使用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基础设施项目根据合同规定时间拨付，征地补偿根据协议规定时间发放补偿</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431.76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对维护社会和谐稳定的积极作用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通过实施本项目，有效保障被被拆迁、征地居民合法权益，维护社会稳定和谐。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对改善农民居住环境的积极影响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通过实施本项目，有效改善农民居住环境。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对乡村振兴发展的持续影响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通过项目实施，优化农村基础设施建设，提升带动相关物流、信息流涌入，促进本镇乡村振兴可持续发展。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居民满意度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206"/>
        <w:gridCol w:w="1746"/>
        <w:gridCol w:w="1505"/>
        <w:gridCol w:w="1467"/>
        <w:gridCol w:w="1191"/>
        <w:gridCol w:w="1219"/>
        <w:gridCol w:w="2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2022年牛头山镇农业生产和水利救灾资金项目支出绩效自评表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2022年牛头山镇农业生产和水利救灾资金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申请财政资金20万元，用于抗旱应急水源工程建设、设备购置、运行费用补助等抗旱急需，优先保证人畜饮水安全，保障农作物适时灌溉用水</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申请财政资金20万元，用于抗旱应急水源工程建设、设备购置、运行费用补助等抗旱急需，优先保证人畜饮水安全，保障农作物适时灌溉用水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购置水泵数量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围堰长度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设备达标率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按照《农业生产和水利救灾资金管理办法》使用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资金拨付及时性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按规定时间拨付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对农民旱期农作物不受严重影响的积极作用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通过实施农业生产和水利救灾项目，保障农作物适时灌溉用水不受影响。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对保障群众基本生活用水的积极影响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通过实施农业生产和水利救灾项目，保证旱期群众基本生活用水。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对农民农业生产便利的积极影响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通过实施农业生产和水利救灾项目，为农民农业生产提供便利。</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对保障当地生态环境的积极影响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通过实施农业生产和水利救灾项目，保障农田灌溉面积，保护当地生态环境。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对镇域社会稳定的可持续性影响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通过实施农业生产和水利救灾项目，保证人畜饮水安全，保障农作物适时灌溉用水。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农民满意度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8"/>
        <w:gridCol w:w="1219"/>
        <w:gridCol w:w="22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铜锣湾商场化解专项经费项目支出绩效自评表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铜锣湾商场化解专项经费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92.13%</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申请财政资金1.5万元，用于铜锣湾商场信访事项化解工作经费补助，维持信访工作秩序。</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申请财政资金1.5万元，用于铜锣湾商场信访事项化解工作经费补助，维持信访工作秩序。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受理信访案件数量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信访案件涉及群众数量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符合财经法规和制度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按规定及时拨付资金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对维持正常信访工作秩序的积极影响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通过实施项目，维持正常信访工作秩序。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通过项目实施，促进社会和谐发展有一定的积极作用。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通过项目实施，维护社会稳定和谐发展。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信访对象满意度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4"/>
        <w:gridCol w:w="1219"/>
        <w:gridCol w:w="22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临时救助补助资金项目支出绩效自评表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临时救助补助资金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214001-池州市贵池区牛头山镇人民政府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申请财政资金3.5万元，用于发放特殊困难群众应急性、过渡性临时救助，帮助困难群众的解决突发事件保障基本生活。</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申请财政资金3.5万元，用于发放特殊困难群众应急性、过渡性临时救助，帮助困难群众的解决突发事件保障基本生活。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救助人员数量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救助资金使用标准符合《安徽省临时救助工作操作规程》相关规定</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救助对象标准合规性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救助对象审核标准符合《安徽省临时救助工作操作规程》相关规定</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救助任务完成时间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2022年底前完成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按照《安徽省临时救助工作操作规程》规定时间进行拨付和使用</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对救助对象家庭收入保障产生的积极影响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通过对特殊困难群众实行临时救助，提高困难群众家庭基本收入，保障群众基本生活。</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对保障特殊困难群众基本生活的积极影响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通过对特殊困难群众实行临时救助，帮助困难群众应对遭遇突发性、紧迫性、灾难性困难危机，保障群众基本生活。</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对满足特殊困难群众基本生活需要，完善社会救助体系的可持续影响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特殊困难群众实行临时救助，对遭遇突发性、紧迫性、灾难性困难或者其他特殊困难导致基本生活陷入困境，靠自身和家庭无力解决，其他社会救助制度暂时无法覆盖或者救助之后基本生活仍有困难的家庭或者个人给予的应急性、过渡性救助，进一步完善社会救助体系。</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救助人员满意度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3"/>
        <w:gridCol w:w="1308"/>
        <w:gridCol w:w="2101"/>
        <w:gridCol w:w="1761"/>
        <w:gridCol w:w="1515"/>
        <w:gridCol w:w="1456"/>
        <w:gridCol w:w="1135"/>
        <w:gridCol w:w="1159"/>
        <w:gridCol w:w="24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办公设备采购项目支出绩效自评表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办公设备采购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214002-池州市贵池区财政局牛头山分局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申请项目资金1.5万元，其中其中计划使用资金1.15万元用于购置办公设备；使用资金0.35万元用于购置办公家具，用以保障各项工作正常运行。</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请项目资金1.5万元，其中其中计划使用资金1.15万元用于购置办公设备；使用资金0.35万元用于购置办公家具，用以保障各项工作正常运行。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办公桌椅采购数量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≥1套</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台式计算机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便携式计算机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票据打印机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设备利用率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设备购置验收合格率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台式计算机单价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便携式计算机单价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办公桌椅单价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票据打印机单价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采购计划总成本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提高工作效率，减少不必要费用支出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不必要费用明显减少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对保障各项业务工作正常开展，促进公共服务效率的提升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公共服务效率明显提高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对单位业务管理水平的提升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管理水平明显提升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对单位能源消耗减少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能源消耗节能明显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建立合理科学的资产配置制度，健全资产管护机制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资产配置制度科学合理</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设备的投入运行对单位管理水平的持续影响程度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管理水平持续影响程度提高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群众满意度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pPr>
        <w:numPr>
          <w:ilvl w:val="0"/>
          <w:numId w:val="0"/>
        </w:numPr>
        <w:ind w:leftChars="0"/>
        <w:jc w:val="both"/>
        <w:rPr>
          <w:rFonts w:hint="eastAsia" w:ascii="宋体" w:hAnsi="宋体" w:eastAsia="宋体" w:cs="宋体"/>
          <w:b/>
          <w:bCs/>
          <w:i w:val="0"/>
          <w:iCs w:val="0"/>
          <w:color w:val="000000"/>
          <w:kern w:val="0"/>
          <w:sz w:val="32"/>
          <w:szCs w:val="32"/>
          <w:u w:val="none"/>
          <w:lang w:val="en-US" w:eastAsia="zh-CN" w:bidi="ar"/>
        </w:rPr>
      </w:pPr>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67"/>
        <w:gridCol w:w="1303"/>
        <w:gridCol w:w="2275"/>
        <w:gridCol w:w="1739"/>
        <w:gridCol w:w="1474"/>
        <w:gridCol w:w="1463"/>
        <w:gridCol w:w="1194"/>
        <w:gridCol w:w="1219"/>
        <w:gridCol w:w="22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综合目标考核经费项目支出绩效自评表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综合目标考核经费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214002-池州市贵池区财政局牛头山分局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52.40%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申报项目资金30万元，用于综合目标考核，调动工作积极性。</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申报项目资金30万元，用于综合目标考核，调动工作积极性。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综合目标考核数量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对综合目标考核工作进一步健全完善的影响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对综合目标考核工作持续稳定运转、持续发挥职能的改善或提升程度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明显提升改善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职工满意度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95.24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pPr>
        <w:numPr>
          <w:ilvl w:val="0"/>
          <w:numId w:val="0"/>
        </w:numPr>
        <w:ind w:leftChars="0"/>
        <w:jc w:val="both"/>
        <w:rPr>
          <w:rFonts w:hint="eastAsia" w:ascii="宋体" w:hAnsi="宋体" w:eastAsia="宋体" w:cs="宋体"/>
          <w:b/>
          <w:bCs/>
          <w:i w:val="0"/>
          <w:iCs w:val="0"/>
          <w:color w:val="000000"/>
          <w:kern w:val="0"/>
          <w:sz w:val="32"/>
          <w:szCs w:val="32"/>
          <w:u w:val="none"/>
          <w:lang w:val="en-US" w:eastAsia="zh-CN" w:bidi="ar"/>
        </w:rPr>
      </w:pPr>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86"/>
        <w:gridCol w:w="1310"/>
        <w:gridCol w:w="2153"/>
        <w:gridCol w:w="1769"/>
        <w:gridCol w:w="1510"/>
        <w:gridCol w:w="1470"/>
        <w:gridCol w:w="1197"/>
        <w:gridCol w:w="1219"/>
        <w:gridCol w:w="22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乡镇财政资金监管经费项目支出绩效自评表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乡镇财政资金监管经费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214002-池州市贵池区财政局牛头山分局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申请财政资金1.5万元，用于加强惠农补助“一卡通发放和管理、乡镇财政资金监管工作绩效评价、乡镇财政信息化建设、乡镇财政办公和服务设施建设”、乡镇财政资金人员培训与乡镇财政资金监管工作。</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申请财政资金1.5万元，用于加强惠农补助“一卡通发放和管理、乡镇财政资金监管工作绩效评价、乡镇财政信息化建设、乡镇财政办公和服务设施建设”、乡镇财政资金人员培训与乡镇财政资金监管工作。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维护“一卡通”管理系统数量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开展乡镇财政资金监管工作绩效评价活动次数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≥1次</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维护乡镇财政管理信息系统数量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购置乡镇财政办公设备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乡镇财政资金使用合规性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符合《安徽省乡镇财政资金监管经费使用管理办法》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购置设施设备验收合格率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一卡通系统正常运行率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资金支付及时性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按照项目合同、协议等约定时间支及时拨付。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对保障财政工作正常高效运行的积极影响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通过实施乡镇财政监管经费补助项目，有利于缓解乡镇财政监管经费压力，保障各项软硬件设施的正常投入使用，加强人员专业培训，保障乡镇财政工作正常开展。</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对提高乡镇财政监管综合能力的可持续影响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通过实施乡镇财政监管经费补助项目，保障乡镇各项财政资金监管工作的必要支出，能够持续提升乡镇财政管理能力和水平。</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8"/>
        <w:gridCol w:w="1307"/>
        <w:gridCol w:w="2153"/>
        <w:gridCol w:w="1746"/>
        <w:gridCol w:w="1515"/>
        <w:gridCol w:w="1455"/>
        <w:gridCol w:w="1128"/>
        <w:gridCol w:w="1151"/>
        <w:gridCol w:w="24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办公设备购置项目支出绩效自评表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办公设备购置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214003-池州市贵池区万兴电力排灌站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申请项目资金1万元，用于购置办公设备及办公家具，保障各项工作正常运行。</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申请项目资金1万元，用于购置办公设备及办公家具，保障各项工作正常运行。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台式电脑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办公桌椅</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≥1套</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设备利用率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未完成预期指标且效果较差</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台式电脑单价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办公家具单价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设备购置总成本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提供运维效率，减少不必要的开支</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不必要费用明显减少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部分达成预期指标并具有一定效果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对单位业务管理水平的提升或影响程度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管理水平提升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部分达成预期指标并具有一定效果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对保障各项业务工作正常开展，促进公共服务效率的提升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公共服务效率提升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部分达成预期指标并具有一定效果</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对单位能源消耗程度减少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能源消耗明显减少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台式电脑使用年限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办公桌椅使用年限</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设备的投入运行对行业管理水平的持续影响程度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积极影响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本年度未完成采购业务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pPr>
        <w:numPr>
          <w:ilvl w:val="0"/>
          <w:numId w:val="0"/>
        </w:numPr>
        <w:jc w:val="both"/>
        <w:rPr>
          <w:rFonts w:hint="eastAsia" w:ascii="宋体" w:hAnsi="宋体" w:eastAsia="宋体" w:cs="宋体"/>
          <w:b/>
          <w:bCs/>
          <w:i w:val="0"/>
          <w:iCs w:val="0"/>
          <w:color w:val="000000"/>
          <w:kern w:val="0"/>
          <w:sz w:val="32"/>
          <w:szCs w:val="32"/>
          <w:u w:val="none"/>
          <w:lang w:val="en-US" w:eastAsia="zh-CN" w:bidi="ar"/>
        </w:rPr>
      </w:pPr>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9"/>
        <w:gridCol w:w="1140"/>
        <w:gridCol w:w="1109"/>
        <w:gridCol w:w="3488"/>
        <w:gridCol w:w="1329"/>
        <w:gridCol w:w="1329"/>
        <w:gridCol w:w="1330"/>
        <w:gridCol w:w="1080"/>
        <w:gridCol w:w="1080"/>
        <w:gridCol w:w="20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综合目标考核经费项目支出绩效自评表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174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综合目标考核经费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61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42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214003-池州市贵池区万兴电力排灌站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34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4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76.50%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4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4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349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33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33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33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申报项目资金44万元，用于综合目标考核，调动职工工作积极性。</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申报项目资金44万元，用于综合目标考核，调动职工工作积极性。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补助排灌站人员数量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总体支出成本 </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对排灌站日常工作进一步健全完善的影响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对排灌站日常工作持续稳定运转、持续发挥职能的改善或提升程度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职工满意度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13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97.65</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1"/>
        <w:gridCol w:w="1305"/>
        <w:gridCol w:w="2275"/>
        <w:gridCol w:w="1746"/>
        <w:gridCol w:w="1480"/>
        <w:gridCol w:w="1465"/>
        <w:gridCol w:w="1185"/>
        <w:gridCol w:w="1219"/>
        <w:gridCol w:w="2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新建木闸一站工作经费项目支出绩效自评表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新建木闸一站工作经费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214004-池州市贵池区木闸电力排灌站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申报项目资金56万元，用于新建木闸一站工作经费，保证排灌站日常运行。</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申报项目资金56万元，用于新建木闸一站工作经费，保证排灌站日常运行。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新建排灌站数量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补助排灌站人员数量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经费支出及时性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对排灌站日常工作进一步健全完善的影响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对排灌站日常工作持续稳定运转、持续发挥职能的改善或提升程度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71"/>
        <w:gridCol w:w="1305"/>
        <w:gridCol w:w="2275"/>
        <w:gridCol w:w="1746"/>
        <w:gridCol w:w="1480"/>
        <w:gridCol w:w="1465"/>
        <w:gridCol w:w="1185"/>
        <w:gridCol w:w="1219"/>
        <w:gridCol w:w="2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综合目标考核经费项目支出绩效自评表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综合目标考核经费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214004-池州市贵池区木闸电力排灌站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65.46%</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申报项目资金70万元，用于文明单位、双拥单位及综合目标考核，激发职工工作积极性，提高服务水平。</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申报项目资金70万元，用于文明单位、双拥单位及综合目标考核，激发职工工作积极性，提高服务水平。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考核项目数量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≥1个</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≤70万元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对考核项目工作进一步健全完善的影响</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明显</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对单位持续稳定运转、持续发挥职能的改善或提升程度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较高</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职工满意度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96.55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tbl>
      <w:tblPr>
        <w:tblStyle w:val="4"/>
        <w:tblW w:w="14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290"/>
        <w:gridCol w:w="1312"/>
        <w:gridCol w:w="2152"/>
        <w:gridCol w:w="1764"/>
        <w:gridCol w:w="1526"/>
        <w:gridCol w:w="1471"/>
        <w:gridCol w:w="1190"/>
        <w:gridCol w:w="1219"/>
        <w:gridCol w:w="2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4720"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办公设备购置项目支出绩效自评表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办公设备购置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214-池州市贵池区牛头山镇人民政府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214004-池州市贵池区木闸电力排灌站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                    （万元）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全年预算数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全年执行数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分值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执行率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年度资金总额：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其中：本年财政拨款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上年结转资金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2980" w:type="dxa"/>
            <w:gridSpan w:val="3"/>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年度总体目标</w:t>
            </w: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预期目标</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84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申请项目资金1万元，用于购置办公设备及办公家具，保障各项工作正常运行。</w:t>
            </w:r>
          </w:p>
        </w:tc>
        <w:tc>
          <w:tcPr>
            <w:tcW w:w="55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申请项目资金1万元，用于购置办公设备及办公家具，保障各项工作正常运行。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绩效指标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年度指标值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实际完成值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分值</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得分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产出指标(50分)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台式电脑采购数量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办公座椅购置数量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≥1套</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质量指标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设备购置验收合格率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设备利用率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经费支出合规性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时效指标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经费支出时效性</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采购计划完成时间</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及时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项目总成本</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台式电脑单价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办公桌椅单价</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≤2000元</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效益指标(30分)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提高办公效率，减少不必要支出</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不必要支出明显减少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对保障各项业务工作正常开展，促进公共服务效率的提升或改善程度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公共效率明显提升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对项目单位业务管理水平的提升或影响程度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业务管理水平明显提升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对单位能源消耗减少程度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能源消耗明显减少</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设备的投入运行对行业管理水平的持续影响程度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可持续影响程度提升</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建立合理科学的资产配置制度，健全资产管护机制</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制度完善</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达成预期指标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满意度指标(10分)</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满意度指标</w:t>
            </w: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服务对象满意度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jc w:val="center"/>
              <w:rPr>
                <w:rFonts w:hint="eastAsia" w:ascii="宋体" w:hAnsi="宋体" w:eastAsia="宋体" w:cs="宋体"/>
                <w:i w:val="0"/>
                <w:iCs w:val="0"/>
                <w:color w:val="000000"/>
                <w:sz w:val="20"/>
                <w:szCs w:val="20"/>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48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公众满意度</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＝100百分比</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99.60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0"/>
                <w:szCs w:val="20"/>
                <w:u w:val="none"/>
              </w:rPr>
            </w:pPr>
          </w:p>
        </w:tc>
      </w:tr>
    </w:tbl>
    <w:p/>
    <w:p/>
    <w:p>
      <w:pPr>
        <w:numPr>
          <w:ilvl w:val="0"/>
          <w:numId w:val="1"/>
        </w:numPr>
        <w:ind w:left="0" w:leftChars="0" w:firstLine="0" w:firstLineChars="0"/>
        <w:jc w:val="center"/>
        <w:rPr>
          <w:rFonts w:hint="eastAsia" w:ascii="宋体" w:hAnsi="宋体" w:eastAsia="宋体" w:cs="宋体"/>
          <w:b/>
          <w:bCs/>
          <w:i w:val="0"/>
          <w:iCs w:val="0"/>
          <w:color w:val="000000"/>
          <w:kern w:val="0"/>
          <w:sz w:val="32"/>
          <w:szCs w:val="32"/>
          <w:u w:val="none"/>
          <w:lang w:val="en-US" w:eastAsia="zh-CN" w:bidi="ar"/>
        </w:rPr>
      </w:pPr>
      <w:r>
        <w:rPr>
          <w:rFonts w:hint="eastAsia" w:ascii="宋体" w:hAnsi="宋体" w:eastAsia="宋体" w:cs="宋体"/>
          <w:b/>
          <w:bCs/>
          <w:i w:val="0"/>
          <w:iCs w:val="0"/>
          <w:color w:val="000000"/>
          <w:kern w:val="0"/>
          <w:sz w:val="32"/>
          <w:szCs w:val="32"/>
          <w:u w:val="none"/>
          <w:lang w:val="en-US" w:eastAsia="zh-CN" w:bidi="ar"/>
        </w:rPr>
        <w:t>贵池区牛头山镇人民政府部门评价报告</w:t>
      </w:r>
    </w:p>
    <w:p>
      <w:pPr>
        <w:numPr>
          <w:ilvl w:val="0"/>
          <w:numId w:val="0"/>
        </w:numPr>
        <w:ind w:leftChars="0" w:firstLine="640" w:firstLineChars="200"/>
        <w:rPr>
          <w:rFonts w:hint="eastAsia" w:ascii="仿宋" w:hAnsi="仿宋" w:eastAsia="仿宋" w:cs="仿宋"/>
          <w:sz w:val="32"/>
          <w:szCs w:val="32"/>
        </w:rPr>
      </w:pPr>
    </w:p>
    <w:tbl>
      <w:tblPr>
        <w:tblW w:w="1045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72"/>
        <w:gridCol w:w="874"/>
        <w:gridCol w:w="706"/>
        <w:gridCol w:w="1446"/>
        <w:gridCol w:w="1064"/>
        <w:gridCol w:w="976"/>
        <w:gridCol w:w="1075"/>
        <w:gridCol w:w="853"/>
        <w:gridCol w:w="537"/>
        <w:gridCol w:w="984"/>
        <w:gridCol w:w="1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95" w:hRule="atLeast"/>
        </w:trPr>
        <w:tc>
          <w:tcPr>
            <w:tcW w:w="10455" w:type="dxa"/>
            <w:gridSpan w:val="11"/>
            <w:tcBorders>
              <w:top w:val="nil"/>
              <w:left w:val="nil"/>
              <w:bottom w:val="nil"/>
              <w:right w:val="nil"/>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部门（单位）整体支出绩效自评表</w:t>
            </w:r>
            <w:r>
              <w:rPr>
                <w:rFonts w:hint="eastAsia" w:ascii="宋体" w:hAnsi="宋体" w:eastAsia="宋体" w:cs="宋体"/>
                <w:i w:val="0"/>
                <w:iCs w:val="0"/>
                <w:color w:val="000000"/>
                <w:kern w:val="0"/>
                <w:sz w:val="28"/>
                <w:szCs w:val="28"/>
                <w:u w:val="none"/>
                <w:bdr w:val="none" w:color="auto" w:sz="0" w:space="0"/>
                <w:lang w:val="en-US" w:eastAsia="zh-CN" w:bidi="ar"/>
              </w:rPr>
              <w:br w:type="textWrapping"/>
            </w:r>
            <w:r>
              <w:rPr>
                <w:rFonts w:hint="eastAsia" w:ascii="宋体" w:hAnsi="宋体" w:eastAsia="宋体" w:cs="宋体"/>
                <w:i w:val="0"/>
                <w:iCs w:val="0"/>
                <w:color w:val="000000"/>
                <w:kern w:val="0"/>
                <w:sz w:val="28"/>
                <w:szCs w:val="28"/>
                <w:u w:val="none"/>
                <w:bdr w:val="none" w:color="auto" w:sz="0" w:space="0"/>
                <w:lang w:val="en-US" w:eastAsia="zh-CN" w:bidi="ar"/>
              </w:rPr>
              <w:t>（2022年度）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1770" w:type="dxa"/>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部门（单位）名称</w:t>
            </w:r>
          </w:p>
        </w:tc>
        <w:tc>
          <w:tcPr>
            <w:tcW w:w="8685" w:type="dxa"/>
            <w:gridSpan w:val="9"/>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214-池州市贵池区牛头山镇人民政府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主要</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任务</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情况</w:t>
            </w:r>
          </w:p>
        </w:tc>
        <w:tc>
          <w:tcPr>
            <w:tcW w:w="100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任务名称</w:t>
            </w:r>
          </w:p>
        </w:tc>
        <w:tc>
          <w:tcPr>
            <w:tcW w:w="2535"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完成情况</w:t>
            </w:r>
          </w:p>
        </w:tc>
        <w:tc>
          <w:tcPr>
            <w:tcW w:w="108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全年预算数</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（A，万元）</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109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全年执行数</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（B，万元）</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58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103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执行率</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（B/A)</w:t>
            </w:r>
          </w:p>
        </w:tc>
        <w:tc>
          <w:tcPr>
            <w:tcW w:w="46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2535"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其中：</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财政拨款</w:t>
            </w:r>
          </w:p>
        </w:tc>
        <w:tc>
          <w:tcPr>
            <w:tcW w:w="109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其中：</w:t>
            </w:r>
            <w:r>
              <w:rPr>
                <w:rFonts w:hint="default" w:ascii="Times New Roman" w:hAnsi="Times New Roman" w:eastAsia="宋体" w:cs="Times New Roman"/>
                <w:i w:val="0"/>
                <w:iCs w:val="0"/>
                <w:color w:val="000000"/>
                <w:kern w:val="0"/>
                <w:sz w:val="20"/>
                <w:szCs w:val="20"/>
                <w:u w:val="none"/>
                <w:bdr w:val="none" w:color="auto" w:sz="0" w:space="0"/>
                <w:lang w:val="en-US" w:eastAsia="zh-CN" w:bidi="ar"/>
              </w:rPr>
              <w:br w:type="textWrapping"/>
            </w:r>
            <w:r>
              <w:rPr>
                <w:rFonts w:hint="default" w:ascii="Times New Roman" w:hAnsi="Times New Roman" w:eastAsia="宋体" w:cs="Times New Roman"/>
                <w:i w:val="0"/>
                <w:iCs w:val="0"/>
                <w:color w:val="000000"/>
                <w:kern w:val="0"/>
                <w:sz w:val="20"/>
                <w:szCs w:val="20"/>
                <w:u w:val="none"/>
                <w:bdr w:val="none" w:color="auto" w:sz="0" w:space="0"/>
                <w:lang w:val="en-US" w:eastAsia="zh-CN" w:bidi="ar"/>
              </w:rPr>
              <w:t>财政拨款</w:t>
            </w:r>
          </w:p>
        </w:tc>
        <w:tc>
          <w:tcPr>
            <w:tcW w:w="58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default" w:ascii="Times New Roman" w:hAnsi="Times New Roman" w:cs="Times New Roman"/>
                <w:i w:val="0"/>
                <w:iCs w:val="0"/>
                <w:color w:val="000000"/>
                <w:sz w:val="20"/>
                <w:szCs w:val="20"/>
                <w:u w:val="none"/>
              </w:rPr>
            </w:pPr>
          </w:p>
        </w:tc>
        <w:tc>
          <w:tcPr>
            <w:tcW w:w="4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本级财政拨款</w:t>
            </w:r>
          </w:p>
        </w:tc>
        <w:tc>
          <w:tcPr>
            <w:tcW w:w="2535" w:type="dxa"/>
            <w:gridSpan w:val="2"/>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4790.373</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3387.446</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jc w:val="center"/>
              <w:rPr>
                <w:rFonts w:hint="eastAsia" w:ascii="宋体" w:hAnsi="宋体" w:eastAsia="宋体" w:cs="宋体"/>
                <w:i w:val="0"/>
                <w:iCs w:val="0"/>
                <w:color w:val="000000"/>
                <w:sz w:val="18"/>
                <w:szCs w:val="18"/>
                <w:u w:val="none"/>
              </w:rPr>
            </w:pPr>
          </w:p>
        </w:tc>
        <w:tc>
          <w:tcPr>
            <w:tcW w:w="46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3540" w:type="dxa"/>
            <w:gridSpan w:val="3"/>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金额合计</w:t>
            </w:r>
          </w:p>
        </w:tc>
        <w:tc>
          <w:tcPr>
            <w:tcW w:w="108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4790.373</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3387.446</w:t>
            </w:r>
          </w:p>
        </w:tc>
        <w:tc>
          <w:tcPr>
            <w:tcW w:w="91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w:t>
            </w:r>
          </w:p>
        </w:tc>
        <w:tc>
          <w:tcPr>
            <w:tcW w:w="58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70.71%</w:t>
            </w:r>
          </w:p>
        </w:tc>
        <w:tc>
          <w:tcPr>
            <w:tcW w:w="4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7.071361666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765" w:type="dxa"/>
            <w:vMerge w:val="restart"/>
            <w:tcBorders>
              <w:top w:val="single" w:color="000000" w:sz="4" w:space="0"/>
              <w:left w:val="single" w:color="000000" w:sz="4" w:space="0"/>
              <w:bottom w:val="nil"/>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情况</w:t>
            </w:r>
          </w:p>
        </w:tc>
        <w:tc>
          <w:tcPr>
            <w:tcW w:w="5595"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年初设定目标</w:t>
            </w:r>
          </w:p>
        </w:tc>
        <w:tc>
          <w:tcPr>
            <w:tcW w:w="4095" w:type="dxa"/>
            <w:gridSpan w:val="5"/>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年度总体目标完成情况综述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35" w:hRule="atLeast"/>
        </w:trPr>
        <w:tc>
          <w:tcPr>
            <w:tcW w:w="765" w:type="dxa"/>
            <w:vMerge w:val="continue"/>
            <w:tcBorders>
              <w:top w:val="single" w:color="000000" w:sz="4" w:space="0"/>
              <w:left w:val="single" w:color="000000" w:sz="4" w:space="0"/>
              <w:bottom w:val="nil"/>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5595" w:type="dxa"/>
            <w:gridSpan w:val="5"/>
            <w:vMerge w:val="restart"/>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目标1：申请资金777.41万元，用于保障单位人员经费支出；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目标2：申请资金103.66万元，用于保障单位正常运转，工作顺利开展；</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目标3：申请办公大楼租金、办公设备购置经费458.5万元，支付办公楼租金，购置必要办公设备，维持正常办公运转；</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目标4：申请村级组织补助及运转经费612万元，用于保障村级组织运转、村民组长及党小组基本报酬、村级补助等支出；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目标5：申请城乡人居环境治理工作经费240万元，保障人居环境工作开展，积极完成示范村推进工作；</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目标6：申请社会治安治理工作经费44万元, 用于保障群众生命及财产安全，建设平安乡村，提高群众安全感幸福感;</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目标7：申请党建、团建专项工作经费10万元, 用于开展基层党建、团建工作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目标8：申请综合工作经费644.8万元，用于保障养老院补助、聘用人员工资、茶场退休人员补助、基层人员激励奖励补贴等经费；</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目标9：申请乡村振兴项目962万元， 保障乡村振兴工作开展，对农民专业合作社、家庭农场等扶持；</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目标10：申请集镇提升项目250万元， 用于镇史馆建设；</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目标11：申请新建木闸一站工作经费56万元,用于保障木闸一站人员工资、办公费用、食堂费用；</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目标12：申请政分局、万兴站、木闸专项工作考核经费632万元。</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w:t>
            </w:r>
          </w:p>
        </w:tc>
        <w:tc>
          <w:tcPr>
            <w:tcW w:w="4095" w:type="dxa"/>
            <w:gridSpan w:val="5"/>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目标1：申请资金777.41万元，用于保障单位人员经费支出；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目标2：申请资金103.66万元，用于保障单位正常运转，工作顺利开展；</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目标3：申请办公大楼租金、办公设备购置经费458.5万元，支付办公楼租金，购置必要办公设备，维持正常办公运转；</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目标4：申请村级组织补助及运转经费612万元，用于保障村级组织运转、村民组长及党小组基本报酬、村级补助等支出；</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目标5：申请城乡人居环境治理工作经费240万元，保障人居环境工作开展，积极完成示范村推进工作；</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目标6：申请社会治安治理工作经费44万元, 用于保障群众生命及财产安全，建设平安乡村，提高群众安全感幸福感;</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目标7：申请党建、团建专项工作经费10万元, 用于开展基层党建、团建工作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目标8：申请综合工作经费644.8万元，用于保障养老院补助、聘用人员工资、茶场退休人员补助、基层人员激励奖励补贴等经费；</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目标9：申请乡村振兴项目962万元， 保障乡村振兴工作开展，对农民专业合作社、家庭农场等扶持；</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目标10：申请集镇提升项目250万元， 用于镇史馆建设；</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目标11：申请新建木闸一站工作经费56万元,用于保障木闸一站人员工资、办公费用、食堂费用；</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目标12：申请政分局、万兴站、木闸专项工作考核经费632万元。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425" w:hRule="atLeast"/>
        </w:trPr>
        <w:tc>
          <w:tcPr>
            <w:tcW w:w="765" w:type="dxa"/>
            <w:vMerge w:val="continue"/>
            <w:tcBorders>
              <w:top w:val="single" w:color="000000" w:sz="4" w:space="0"/>
              <w:left w:val="single" w:color="000000" w:sz="4" w:space="0"/>
              <w:bottom w:val="nil"/>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5595" w:type="dxa"/>
            <w:gridSpan w:val="5"/>
            <w:vMerge w:val="continue"/>
            <w:tcBorders>
              <w:top w:val="single" w:color="000000" w:sz="4" w:space="0"/>
              <w:left w:val="single" w:color="000000" w:sz="4" w:space="0"/>
              <w:bottom w:val="single" w:color="000000" w:sz="4" w:space="0"/>
              <w:right w:val="single" w:color="000000" w:sz="4" w:space="0"/>
            </w:tcBorders>
            <w:shd w:val="clear"/>
            <w:vAlign w:val="top"/>
          </w:tcPr>
          <w:p>
            <w:pPr>
              <w:jc w:val="left"/>
              <w:rPr>
                <w:rFonts w:hint="eastAsia" w:ascii="宋体" w:hAnsi="宋体" w:eastAsia="宋体" w:cs="宋体"/>
                <w:i w:val="0"/>
                <w:iCs w:val="0"/>
                <w:color w:val="000000"/>
                <w:sz w:val="18"/>
                <w:szCs w:val="18"/>
                <w:u w:val="none"/>
              </w:rPr>
            </w:pPr>
          </w:p>
        </w:tc>
        <w:tc>
          <w:tcPr>
            <w:tcW w:w="4095" w:type="dxa"/>
            <w:gridSpan w:val="5"/>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整改的措施与建议: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绩效</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情况</w:t>
            </w:r>
          </w:p>
        </w:tc>
        <w:tc>
          <w:tcPr>
            <w:tcW w:w="100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8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17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三级指标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年度指标值</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全年实际值</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评价得分说明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产出指标(50分)</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财税任务计划完成金额</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≥3680万元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3374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扶持自然村建设数</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乡村配套建设</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村庄规划数</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敬老院改造提升工程</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镇史馆建设</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实施环境整治的村居数量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村居改厕</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≥290户</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补助村级组织数量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＝12个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12</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组织党建、团建活动完成数量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≥10次</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受理信访数量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司法调节数量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审结案件数量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制定突发事件的应急方案</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专项工作考核数量</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≥2个</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税收任务完成比率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扶持自然村建设验收合格率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乡村配套建设验收合格率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敬老院改造提升工程验收合格率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镇史馆建设验收合格率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≥95%</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70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0.6</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未完工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示范村推进面积完成率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村居改厕完成率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党建、团建活动参与人员覆盖率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受理信访案件、司法调解程序是否合规</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合规</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全镇病虫害防治覆盖率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基层人员经费保障覆盖率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年度自然灾害和突发公共卫生事件处置率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重大疫情事件控制有效率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经费拨付使用流程合规性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资金支付及时性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及时支付</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项目计划完成时间</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项目计划时间完成</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应急物资购置及时性</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在规定期限内按需购置</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项目总成本</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≤4793.87万元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3387</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办公大楼租金、办公设备购置经费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≤458.5万元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296.84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城乡人居环境治理工作经费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≤240万元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指标未下达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乡村振兴工作经费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≤962万元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253</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0.6</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未完工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社会治安工作经费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≤44万元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44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集镇提升项目经费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≤250万元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114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0.6</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镇史馆项目未完工，按照进度支付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党建、团建专项工作经费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综合保障工作经费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≤644.8万元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644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村级组织补助及运转经费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≤612万元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612</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专项工作考核经费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≤632万元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524</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木闸一站工作经费</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≤56万元</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8.57</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效益指标(30分)</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乡镇道路、基础设施建设对振兴乡村经济的影响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扶持全镇规模以上企业对企业生产力的影响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对帮扶人员提升经济收入的影响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程度较高</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对降低集体经济自然灾害损失影响程度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对降低人民群众财产损失的影响程度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对保障政府正常发挥社会职能的影响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保障正常运转</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对保障基层人员工作积极性的影响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城乡人居环境整治工作对美丽乡村建设的推动力</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乡村振兴工作经费对助力当地企业发展的影响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农村居民对交通建设需求的满足程度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对乡村发展环境的改善程度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对贫困群众提高生活水平的影响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对当地老人关怀，乡村养老工作保障的影响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对维护社会稳定、人民群众生命安全的促进作用</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秸秆禁烧对农村空气质量的改善程度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农村改厕工作对村镇居住环境的改善或提升的影响</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对乡村自然环境、生物栖息条件、生态健康等改善和提升程度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可持续影响指标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对机构持续稳定运转、持续发挥职能的改善或提升程度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对农村生活质量提升的持续影响程度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对乡村发展的可持续影响程度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对基层工作持续正常运转的改善和提升</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default" w:ascii="Times New Roman" w:hAnsi="Times New Roman" w:cs="Times New Roman"/>
                <w:i w:val="0"/>
                <w:iCs w:val="0"/>
                <w:color w:val="000000"/>
                <w:sz w:val="20"/>
                <w:szCs w:val="20"/>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left"/>
              <w:rPr>
                <w:rFonts w:hint="eastAsia" w:ascii="宋体" w:hAnsi="宋体" w:eastAsia="宋体" w:cs="宋体"/>
                <w:i w:val="0"/>
                <w:iCs w:val="0"/>
                <w:color w:val="000000"/>
                <w:sz w:val="18"/>
                <w:szCs w:val="18"/>
                <w:u w:val="none"/>
              </w:rPr>
            </w:pP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对乡镇可持续发展的影响程对提升抵御自然灾害综合防范能力、疫情防控能力的持续影响程度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效果显著</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达成预期指标</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1.5</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宋体" w:hAnsi="宋体" w:eastAsia="宋体" w:cs="宋体"/>
                <w:i w:val="0"/>
                <w:iCs w:val="0"/>
                <w:color w:val="000000"/>
                <w:sz w:val="18"/>
                <w:szCs w:val="18"/>
                <w:u w:val="none"/>
              </w:rPr>
            </w:pPr>
          </w:p>
        </w:tc>
        <w:tc>
          <w:tcPr>
            <w:tcW w:w="100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满意度指标(10分)</w:t>
            </w:r>
          </w:p>
        </w:tc>
        <w:tc>
          <w:tcPr>
            <w:tcW w:w="8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72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服务对象满意度</w:t>
            </w:r>
          </w:p>
        </w:tc>
        <w:tc>
          <w:tcPr>
            <w:tcW w:w="10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9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109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90</w:t>
            </w: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bdr w:val="none" w:color="auto" w:sz="0" w:space="0"/>
                <w:lang w:val="en-US" w:eastAsia="zh-CN" w:bidi="ar"/>
              </w:rPr>
              <w:t>10</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05" w:type="dxa"/>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总分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100</w:t>
            </w:r>
          </w:p>
        </w:tc>
        <w:tc>
          <w:tcPr>
            <w:tcW w:w="975" w:type="dxa"/>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1095" w:type="dxa"/>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bdr w:val="none" w:color="auto" w:sz="0" w:space="0"/>
                <w:lang w:val="en-US" w:eastAsia="zh-CN" w:bidi="ar"/>
              </w:rPr>
              <w:t>94.87</w:t>
            </w:r>
          </w:p>
        </w:tc>
        <w:tc>
          <w:tcPr>
            <w:tcW w:w="2085" w:type="dxa"/>
            <w:gridSpan w:val="3"/>
            <w:tcBorders>
              <w:top w:val="single" w:color="000000" w:sz="4" w:space="0"/>
              <w:left w:val="single" w:color="000000" w:sz="4" w:space="0"/>
              <w:bottom w:val="single" w:color="000000" w:sz="4" w:space="0"/>
              <w:right w:val="single" w:color="000000" w:sz="4" w:space="0"/>
            </w:tcBorders>
            <w:shd w:val="clear"/>
            <w:vAlign w:val="bottom"/>
          </w:tcPr>
          <w:p>
            <w:pPr>
              <w:jc w:val="left"/>
              <w:rPr>
                <w:rFonts w:hint="default" w:ascii="Times New Roman" w:hAnsi="Times New Roman" w:cs="Times New Roman"/>
                <w:i w:val="0"/>
                <w:iCs w:val="0"/>
                <w:color w:val="000000"/>
                <w:sz w:val="20"/>
                <w:szCs w:val="20"/>
                <w:u w:val="none"/>
              </w:rPr>
            </w:pPr>
          </w:p>
        </w:tc>
      </w:tr>
    </w:tbl>
    <w:p>
      <w:pPr>
        <w:numPr>
          <w:ilvl w:val="0"/>
          <w:numId w:val="0"/>
        </w:numPr>
        <w:ind w:leftChars="0" w:firstLine="640" w:firstLineChars="200"/>
        <w:rPr>
          <w:rFonts w:hint="eastAsia" w:ascii="仿宋" w:hAnsi="仿宋" w:eastAsia="仿宋" w:cs="仿宋"/>
          <w:sz w:val="32"/>
          <w:szCs w:val="32"/>
        </w:rPr>
      </w:pPr>
    </w:p>
    <w:p>
      <w:pPr>
        <w:numPr>
          <w:ilvl w:val="0"/>
          <w:numId w:val="0"/>
        </w:numPr>
        <w:ind w:leftChars="0" w:firstLine="640" w:firstLineChars="200"/>
        <w:rPr>
          <w:rFonts w:hint="eastAsia" w:ascii="仿宋" w:hAnsi="仿宋" w:eastAsia="仿宋" w:cs="仿宋"/>
          <w:sz w:val="32"/>
          <w:szCs w:val="32"/>
        </w:rPr>
      </w:pPr>
    </w:p>
    <w:p>
      <w:pPr>
        <w:numPr>
          <w:ilvl w:val="0"/>
          <w:numId w:val="0"/>
        </w:numPr>
        <w:ind w:leftChars="0" w:firstLine="640" w:firstLineChars="200"/>
        <w:rPr>
          <w:rFonts w:hint="eastAsia" w:ascii="仿宋" w:hAnsi="仿宋" w:eastAsia="仿宋" w:cs="仿宋"/>
          <w:kern w:val="2"/>
          <w:sz w:val="32"/>
          <w:szCs w:val="32"/>
          <w:lang w:eastAsia="zh-CN"/>
        </w:rPr>
      </w:pPr>
      <w:r>
        <w:rPr>
          <w:rFonts w:hint="eastAsia" w:ascii="仿宋" w:hAnsi="仿宋" w:eastAsia="仿宋" w:cs="仿宋"/>
          <w:sz w:val="32"/>
          <w:szCs w:val="32"/>
        </w:rPr>
        <w:t>根据预算绩效管理要求，</w:t>
      </w:r>
      <w:r>
        <w:rPr>
          <w:rFonts w:hint="eastAsia" w:ascii="仿宋" w:hAnsi="仿宋" w:eastAsia="仿宋" w:cs="仿宋"/>
          <w:sz w:val="32"/>
          <w:szCs w:val="32"/>
          <w:u w:val="none"/>
        </w:rPr>
        <w:t>本部门组织对202</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年度纳入部门预算的项目支出全面开展了绩效自评，共</w:t>
      </w:r>
      <w:r>
        <w:rPr>
          <w:rFonts w:hint="eastAsia" w:ascii="仿宋" w:hAnsi="仿宋" w:eastAsia="仿宋" w:cs="仿宋"/>
          <w:sz w:val="32"/>
          <w:szCs w:val="32"/>
          <w:u w:val="none"/>
          <w:lang w:val="en-US" w:eastAsia="zh-CN"/>
        </w:rPr>
        <w:t>29</w:t>
      </w:r>
      <w:r>
        <w:rPr>
          <w:rFonts w:hint="eastAsia" w:ascii="仿宋" w:hAnsi="仿宋" w:eastAsia="仿宋" w:cs="仿宋"/>
          <w:sz w:val="32"/>
          <w:szCs w:val="32"/>
          <w:u w:val="none"/>
        </w:rPr>
        <w:t>个项目，涉及资金</w:t>
      </w:r>
      <w:r>
        <w:rPr>
          <w:rFonts w:hint="eastAsia" w:ascii="仿宋" w:hAnsi="仿宋" w:eastAsia="仿宋" w:cs="仿宋"/>
          <w:sz w:val="32"/>
          <w:szCs w:val="32"/>
          <w:u w:val="none"/>
          <w:lang w:val="en-US" w:eastAsia="zh-CN"/>
        </w:rPr>
        <w:t>6482.56</w:t>
      </w:r>
      <w:r>
        <w:rPr>
          <w:rFonts w:hint="eastAsia" w:ascii="仿宋" w:hAnsi="仿宋" w:eastAsia="仿宋" w:cs="仿宋"/>
          <w:sz w:val="32"/>
          <w:szCs w:val="32"/>
          <w:u w:val="none"/>
        </w:rPr>
        <w:t>万元，占项目预算总额的</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%。从评价情况看</w:t>
      </w: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自评等级为“优”的项目22个，等级为“良”的项目3个,等级为“中”的项目0个，等级为“差”的项目4个。以上项目总体立项程序规范完整，绩效目标设置合理科学，</w:t>
      </w:r>
      <w:r>
        <w:rPr>
          <w:rFonts w:hint="eastAsia" w:ascii="仿宋" w:hAnsi="仿宋" w:eastAsia="仿宋" w:cs="仿宋"/>
          <w:color w:val="000000"/>
          <w:kern w:val="0"/>
          <w:sz w:val="32"/>
          <w:szCs w:val="32"/>
          <w:u w:val="none"/>
          <w:lang w:val="en-US" w:eastAsia="zh-CN" w:bidi="ar"/>
        </w:rPr>
        <w:t>预算资金在产出、效益和满意度绩效指标方面均取得较好的执行效果，项目支出管理规范性整体较</w:t>
      </w:r>
      <w:r>
        <w:rPr>
          <w:rFonts w:hint="eastAsia" w:ascii="仿宋" w:hAnsi="仿宋" w:eastAsia="仿宋" w:cs="仿宋"/>
          <w:color w:val="000000"/>
          <w:kern w:val="0"/>
          <w:sz w:val="32"/>
          <w:szCs w:val="32"/>
          <w:lang w:val="en-US" w:eastAsia="zh-CN" w:bidi="ar"/>
        </w:rPr>
        <w:t>好，达到了预期绩效目标</w:t>
      </w:r>
      <w:r>
        <w:rPr>
          <w:rFonts w:hint="eastAsia" w:ascii="仿宋" w:hAnsi="仿宋" w:eastAsia="仿宋" w:cs="仿宋"/>
          <w:kern w:val="2"/>
          <w:sz w:val="32"/>
          <w:szCs w:val="32"/>
        </w:rPr>
        <w:t>根据预算绩效管理要求</w:t>
      </w:r>
      <w:r>
        <w:rPr>
          <w:rFonts w:hint="eastAsia" w:ascii="仿宋" w:hAnsi="仿宋" w:eastAsia="仿宋" w:cs="仿宋"/>
          <w:kern w:val="2"/>
          <w:sz w:val="32"/>
          <w:szCs w:val="32"/>
          <w:lang w:eastAsia="zh-CN"/>
        </w:rPr>
        <w:t>。</w:t>
      </w:r>
    </w:p>
    <w:p>
      <w:pPr>
        <w:keepNext w:val="0"/>
        <w:keepLines w:val="0"/>
        <w:widowControl/>
        <w:suppressLineNumbers w:val="0"/>
        <w:ind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rPr>
        <w:t>组织对202</w:t>
      </w:r>
      <w:r>
        <w:rPr>
          <w:rFonts w:hint="eastAsia" w:ascii="仿宋" w:hAnsi="仿宋" w:eastAsia="仿宋" w:cs="仿宋"/>
          <w:sz w:val="32"/>
          <w:szCs w:val="32"/>
          <w:lang w:val="en-US" w:eastAsia="zh-CN"/>
        </w:rPr>
        <w:t>2</w:t>
      </w:r>
      <w:r>
        <w:rPr>
          <w:rFonts w:hint="eastAsia" w:ascii="仿宋" w:hAnsi="仿宋" w:eastAsia="仿宋" w:cs="仿宋"/>
          <w:sz w:val="32"/>
          <w:szCs w:val="32"/>
        </w:rPr>
        <w:t>年度部门整体支</w:t>
      </w:r>
      <w:r>
        <w:rPr>
          <w:rFonts w:hint="eastAsia" w:ascii="仿宋" w:hAnsi="仿宋" w:eastAsia="仿宋" w:cs="仿宋"/>
          <w:color w:val="auto"/>
          <w:sz w:val="32"/>
          <w:szCs w:val="32"/>
        </w:rPr>
        <w:t>出开展</w:t>
      </w:r>
      <w:r>
        <w:rPr>
          <w:rFonts w:hint="eastAsia" w:ascii="仿宋" w:hAnsi="仿宋" w:eastAsia="仿宋" w:cs="仿宋"/>
          <w:color w:val="auto"/>
          <w:sz w:val="32"/>
          <w:szCs w:val="32"/>
          <w:lang w:eastAsia="zh-CN"/>
        </w:rPr>
        <w:t>了</w:t>
      </w:r>
      <w:r>
        <w:rPr>
          <w:rFonts w:hint="eastAsia" w:ascii="仿宋" w:hAnsi="仿宋" w:eastAsia="仿宋" w:cs="仿宋"/>
          <w:sz w:val="32"/>
          <w:szCs w:val="32"/>
        </w:rPr>
        <w:t>绩效自评。</w:t>
      </w:r>
      <w:r>
        <w:rPr>
          <w:rFonts w:hint="eastAsia" w:ascii="仿宋" w:hAnsi="仿宋" w:eastAsia="仿宋" w:cs="仿宋"/>
          <w:sz w:val="32"/>
          <w:szCs w:val="32"/>
          <w:lang w:val="en-US" w:eastAsia="zh-CN"/>
        </w:rPr>
        <w:t>自评</w:t>
      </w:r>
      <w:r>
        <w:rPr>
          <w:rFonts w:hint="eastAsia" w:ascii="仿宋" w:hAnsi="仿宋" w:eastAsia="仿宋" w:cs="仿宋"/>
          <w:sz w:val="32"/>
          <w:szCs w:val="32"/>
          <w:u w:val="none"/>
          <w:lang w:val="en-US" w:eastAsia="zh-CN"/>
        </w:rPr>
        <w:t>得分94.87</w:t>
      </w:r>
      <w:bookmarkStart w:id="0" w:name="_GoBack"/>
      <w:bookmarkEnd w:id="0"/>
      <w:r>
        <w:rPr>
          <w:rFonts w:hint="eastAsia" w:ascii="仿宋" w:hAnsi="仿宋" w:eastAsia="仿宋" w:cs="仿宋"/>
          <w:sz w:val="32"/>
          <w:szCs w:val="32"/>
          <w:u w:val="none"/>
          <w:lang w:val="en-US" w:eastAsia="zh-CN"/>
        </w:rPr>
        <w:t>分，自评等级为“优”。</w:t>
      </w:r>
      <w:r>
        <w:rPr>
          <w:rFonts w:hint="eastAsia" w:ascii="仿宋" w:hAnsi="仿宋" w:eastAsia="仿宋" w:cs="仿宋"/>
          <w:sz w:val="32"/>
          <w:szCs w:val="32"/>
        </w:rPr>
        <w:t>评价结果显示</w:t>
      </w:r>
      <w:r>
        <w:rPr>
          <w:rFonts w:hint="eastAsia" w:ascii="仿宋" w:hAnsi="仿宋" w:eastAsia="仿宋" w:cs="仿宋"/>
          <w:sz w:val="32"/>
          <w:szCs w:val="32"/>
          <w:lang w:eastAsia="zh-CN"/>
        </w:rPr>
        <w:t>：</w:t>
      </w:r>
    </w:p>
    <w:p>
      <w:pPr>
        <w:keepNext w:val="0"/>
        <w:keepLines w:val="0"/>
        <w:widowControl/>
        <w:suppressLineNumbers w:val="0"/>
        <w:ind w:firstLine="643" w:firstLineChars="200"/>
        <w:jc w:val="left"/>
        <w:rPr>
          <w:rFonts w:hint="eastAsia" w:ascii="仿宋" w:hAnsi="仿宋" w:eastAsia="仿宋" w:cs="仿宋"/>
          <w:kern w:val="2"/>
          <w:sz w:val="32"/>
          <w:szCs w:val="32"/>
        </w:rPr>
      </w:pPr>
      <w:r>
        <w:rPr>
          <w:rFonts w:hint="eastAsia" w:ascii="仿宋" w:hAnsi="仿宋" w:eastAsia="仿宋" w:cs="仿宋"/>
          <w:b/>
          <w:bCs/>
          <w:sz w:val="32"/>
          <w:szCs w:val="32"/>
          <w:u w:val="none"/>
          <w:lang w:val="en-US" w:eastAsia="zh-CN"/>
        </w:rPr>
        <w:t>部门整体绩效目标完成情况：</w:t>
      </w:r>
      <w:r>
        <w:rPr>
          <w:rFonts w:hint="eastAsia" w:ascii="仿宋" w:hAnsi="仿宋" w:eastAsia="仿宋" w:cs="仿宋"/>
          <w:kern w:val="2"/>
          <w:sz w:val="32"/>
          <w:szCs w:val="32"/>
        </w:rPr>
        <w:t>一是进一步健全完善综合目标考核工作</w:t>
      </w:r>
      <w:r>
        <w:rPr>
          <w:rFonts w:hint="eastAsia" w:ascii="仿宋" w:hAnsi="仿宋" w:eastAsia="仿宋" w:cs="仿宋"/>
          <w:kern w:val="2"/>
          <w:sz w:val="32"/>
          <w:szCs w:val="32"/>
          <w:lang w:eastAsia="zh-CN"/>
        </w:rPr>
        <w:t>制度，科学分解任务，量化工作目标，推进政府各项工作落到实处</w:t>
      </w:r>
      <w:r>
        <w:rPr>
          <w:rFonts w:hint="eastAsia" w:ascii="仿宋" w:hAnsi="仿宋" w:eastAsia="仿宋" w:cs="仿宋"/>
          <w:kern w:val="2"/>
          <w:sz w:val="32"/>
          <w:szCs w:val="32"/>
        </w:rPr>
        <w:t>。二是</w:t>
      </w:r>
      <w:r>
        <w:rPr>
          <w:rFonts w:hint="eastAsia" w:ascii="仿宋" w:hAnsi="仿宋" w:eastAsia="仿宋" w:cs="仿宋"/>
          <w:kern w:val="2"/>
          <w:sz w:val="32"/>
          <w:szCs w:val="32"/>
          <w:lang w:eastAsia="zh-CN"/>
        </w:rPr>
        <w:t>改善和提升</w:t>
      </w:r>
      <w:r>
        <w:rPr>
          <w:rFonts w:hint="eastAsia" w:ascii="仿宋" w:hAnsi="仿宋" w:eastAsia="仿宋" w:cs="仿宋"/>
          <w:kern w:val="2"/>
          <w:sz w:val="32"/>
          <w:szCs w:val="32"/>
        </w:rPr>
        <w:t>综合目标考核工作</w:t>
      </w:r>
      <w:r>
        <w:rPr>
          <w:rFonts w:hint="eastAsia" w:ascii="仿宋" w:hAnsi="仿宋" w:eastAsia="仿宋" w:cs="仿宋"/>
          <w:kern w:val="2"/>
          <w:sz w:val="32"/>
          <w:szCs w:val="32"/>
          <w:lang w:eastAsia="zh-CN"/>
        </w:rPr>
        <w:t>效能，健全激励机制，量化考核目标，明确各项工作的任务要求、时限要求。</w:t>
      </w:r>
      <w:r>
        <w:rPr>
          <w:rFonts w:hint="eastAsia" w:ascii="仿宋" w:hAnsi="仿宋" w:eastAsia="仿宋" w:cs="仿宋"/>
          <w:kern w:val="2"/>
          <w:sz w:val="32"/>
          <w:szCs w:val="32"/>
        </w:rPr>
        <w:t>三是</w:t>
      </w:r>
      <w:r>
        <w:rPr>
          <w:rFonts w:hint="eastAsia" w:ascii="仿宋" w:hAnsi="仿宋" w:eastAsia="仿宋" w:cs="仿宋"/>
          <w:kern w:val="2"/>
          <w:sz w:val="32"/>
          <w:szCs w:val="32"/>
          <w:lang w:eastAsia="zh-CN"/>
        </w:rPr>
        <w:t>进一步强化考核，严格管理，将主要工作任务进行认真分解，落实主体责任，促进各项工作顺利开展。四</w:t>
      </w:r>
      <w:r>
        <w:rPr>
          <w:rFonts w:hint="eastAsia" w:ascii="仿宋" w:hAnsi="仿宋" w:eastAsia="仿宋" w:cs="仿宋"/>
          <w:kern w:val="2"/>
          <w:sz w:val="32"/>
          <w:szCs w:val="32"/>
        </w:rPr>
        <w:t>是</w:t>
      </w:r>
      <w:r>
        <w:rPr>
          <w:rFonts w:hint="eastAsia" w:ascii="仿宋" w:hAnsi="仿宋" w:eastAsia="仿宋" w:cs="仿宋"/>
          <w:kern w:val="2"/>
          <w:sz w:val="32"/>
          <w:szCs w:val="32"/>
          <w:lang w:eastAsia="zh-CN"/>
        </w:rPr>
        <w:t>有效推动</w:t>
      </w:r>
      <w:r>
        <w:rPr>
          <w:rFonts w:hint="eastAsia" w:ascii="仿宋" w:hAnsi="仿宋" w:eastAsia="仿宋" w:cs="仿宋"/>
          <w:kern w:val="2"/>
          <w:sz w:val="32"/>
          <w:szCs w:val="32"/>
        </w:rPr>
        <w:t>村级工作持续稳定运转</w:t>
      </w:r>
      <w:r>
        <w:rPr>
          <w:rFonts w:hint="eastAsia" w:ascii="仿宋" w:hAnsi="仿宋" w:eastAsia="仿宋" w:cs="仿宋"/>
          <w:kern w:val="2"/>
          <w:sz w:val="32"/>
          <w:szCs w:val="32"/>
          <w:lang w:eastAsia="zh-CN"/>
        </w:rPr>
        <w:t>，极大的改善和提升村委会</w:t>
      </w:r>
      <w:r>
        <w:rPr>
          <w:rFonts w:hint="eastAsia" w:ascii="仿宋" w:hAnsi="仿宋" w:eastAsia="仿宋" w:cs="仿宋"/>
          <w:kern w:val="2"/>
          <w:sz w:val="32"/>
          <w:szCs w:val="32"/>
        </w:rPr>
        <w:t>职能。</w:t>
      </w:r>
      <w:r>
        <w:rPr>
          <w:rFonts w:hint="eastAsia" w:ascii="仿宋" w:hAnsi="仿宋" w:eastAsia="仿宋" w:cs="仿宋"/>
          <w:kern w:val="2"/>
          <w:sz w:val="32"/>
          <w:szCs w:val="32"/>
          <w:lang w:eastAsia="zh-CN"/>
        </w:rPr>
        <w:t>五</w:t>
      </w:r>
      <w:r>
        <w:rPr>
          <w:rFonts w:hint="eastAsia" w:ascii="仿宋" w:hAnsi="仿宋" w:eastAsia="仿宋" w:cs="仿宋"/>
          <w:kern w:val="2"/>
          <w:sz w:val="32"/>
          <w:szCs w:val="32"/>
        </w:rPr>
        <w:t>是</w:t>
      </w:r>
      <w:r>
        <w:rPr>
          <w:rFonts w:hint="eastAsia" w:ascii="仿宋" w:hAnsi="仿宋" w:eastAsia="仿宋" w:cs="仿宋"/>
          <w:kern w:val="2"/>
          <w:sz w:val="32"/>
          <w:szCs w:val="32"/>
          <w:lang w:eastAsia="zh-CN"/>
        </w:rPr>
        <w:t>进一步</w:t>
      </w:r>
      <w:r>
        <w:rPr>
          <w:rFonts w:hint="eastAsia" w:ascii="仿宋" w:hAnsi="仿宋" w:eastAsia="仿宋" w:cs="仿宋"/>
          <w:kern w:val="2"/>
          <w:sz w:val="32"/>
          <w:szCs w:val="32"/>
        </w:rPr>
        <w:t>完善公共基础设施，为村民农业生</w:t>
      </w:r>
      <w:r>
        <w:rPr>
          <w:rFonts w:hint="eastAsia" w:ascii="仿宋" w:hAnsi="仿宋" w:eastAsia="仿宋" w:cs="仿宋"/>
          <w:sz w:val="32"/>
          <w:szCs w:val="32"/>
          <w:u w:val="none"/>
        </w:rPr>
        <w:t>产提供便</w:t>
      </w:r>
      <w:r>
        <w:rPr>
          <w:rFonts w:hint="eastAsia" w:ascii="仿宋" w:hAnsi="仿宋" w:eastAsia="仿宋" w:cs="仿宋"/>
          <w:kern w:val="2"/>
          <w:sz w:val="32"/>
          <w:szCs w:val="32"/>
        </w:rPr>
        <w:t>利，带动脱贫户受益。</w:t>
      </w:r>
      <w:r>
        <w:rPr>
          <w:rFonts w:hint="eastAsia" w:ascii="仿宋" w:hAnsi="仿宋" w:eastAsia="仿宋" w:cs="仿宋"/>
          <w:kern w:val="2"/>
          <w:sz w:val="32"/>
          <w:szCs w:val="32"/>
          <w:lang w:eastAsia="zh-CN"/>
        </w:rPr>
        <w:t>六</w:t>
      </w:r>
      <w:r>
        <w:rPr>
          <w:rFonts w:hint="eastAsia" w:ascii="仿宋" w:hAnsi="仿宋" w:eastAsia="仿宋" w:cs="仿宋"/>
          <w:kern w:val="2"/>
          <w:sz w:val="32"/>
          <w:szCs w:val="32"/>
        </w:rPr>
        <w:t>是</w:t>
      </w:r>
      <w:r>
        <w:rPr>
          <w:rFonts w:hint="eastAsia" w:ascii="仿宋" w:hAnsi="仿宋" w:eastAsia="仿宋" w:cs="仿宋"/>
          <w:kern w:val="2"/>
          <w:sz w:val="32"/>
          <w:szCs w:val="32"/>
          <w:lang w:eastAsia="zh-CN"/>
        </w:rPr>
        <w:t>通过</w:t>
      </w:r>
      <w:r>
        <w:rPr>
          <w:rFonts w:hint="eastAsia" w:ascii="仿宋" w:hAnsi="仿宋" w:eastAsia="仿宋" w:cs="仿宋"/>
          <w:kern w:val="2"/>
          <w:sz w:val="32"/>
          <w:szCs w:val="32"/>
        </w:rPr>
        <w:t>征地和拆迁补偿、基础设施建设等支出，保障被被拆迁、征地居民合法权益，维护社会稳定和谐，完善基础设施配套，提高农民生活质量和水平。</w:t>
      </w:r>
      <w:r>
        <w:rPr>
          <w:rFonts w:hint="eastAsia" w:ascii="仿宋" w:hAnsi="仿宋" w:eastAsia="仿宋" w:cs="仿宋"/>
          <w:kern w:val="2"/>
          <w:sz w:val="32"/>
          <w:szCs w:val="32"/>
          <w:lang w:eastAsia="zh-CN"/>
        </w:rPr>
        <w:t>七</w:t>
      </w:r>
      <w:r>
        <w:rPr>
          <w:rFonts w:hint="eastAsia" w:ascii="仿宋" w:hAnsi="仿宋" w:eastAsia="仿宋" w:cs="仿宋"/>
          <w:kern w:val="2"/>
          <w:sz w:val="32"/>
          <w:szCs w:val="32"/>
        </w:rPr>
        <w:t>是调动镇域经济发展的积极性和主动性，加快推进镇域经济高质量发展，提升</w:t>
      </w:r>
      <w:r>
        <w:rPr>
          <w:rFonts w:hint="eastAsia" w:ascii="仿宋" w:hAnsi="仿宋" w:eastAsia="仿宋" w:cs="仿宋"/>
          <w:kern w:val="2"/>
          <w:sz w:val="32"/>
          <w:szCs w:val="32"/>
          <w:lang w:eastAsia="zh-CN"/>
        </w:rPr>
        <w:t>人民</w:t>
      </w:r>
      <w:r>
        <w:rPr>
          <w:rFonts w:hint="eastAsia" w:ascii="仿宋" w:hAnsi="仿宋" w:eastAsia="仿宋" w:cs="仿宋"/>
          <w:kern w:val="2"/>
          <w:sz w:val="32"/>
          <w:szCs w:val="32"/>
        </w:rPr>
        <w:t>群众获得感、幸福感。</w:t>
      </w:r>
    </w:p>
    <w:p>
      <w:pPr>
        <w:keepNext w:val="0"/>
        <w:keepLines w:val="0"/>
        <w:widowControl/>
        <w:suppressLineNumbers w:val="0"/>
        <w:ind w:firstLine="643" w:firstLineChars="200"/>
        <w:jc w:val="left"/>
        <w:rPr>
          <w:rFonts w:hint="eastAsia" w:ascii="仿宋" w:hAnsi="仿宋" w:eastAsia="仿宋" w:cs="仿宋"/>
          <w:kern w:val="2"/>
          <w:sz w:val="32"/>
          <w:szCs w:val="32"/>
        </w:rPr>
      </w:pPr>
      <w:r>
        <w:rPr>
          <w:rFonts w:hint="eastAsia" w:ascii="仿宋" w:hAnsi="仿宋" w:eastAsia="仿宋" w:cs="仿宋"/>
          <w:b/>
          <w:bCs/>
          <w:sz w:val="32"/>
          <w:szCs w:val="32"/>
          <w:u w:val="none"/>
          <w:lang w:val="en-US" w:eastAsia="zh-CN"/>
        </w:rPr>
        <w:t>发现的主要问题及原因：</w:t>
      </w:r>
      <w:r>
        <w:rPr>
          <w:rFonts w:hint="eastAsia" w:ascii="仿宋" w:hAnsi="仿宋" w:eastAsia="仿宋" w:cs="仿宋"/>
          <w:kern w:val="2"/>
          <w:sz w:val="32"/>
          <w:szCs w:val="32"/>
        </w:rPr>
        <w:t>一是财政增收的基础过于薄弱，收入结构不合理；二是可用财力有限，刚性支出压力沉重，可供财政统筹安排的财力较少,以保运转、保稳定、保民生为主；三是预算编制、预算执行管理、绩效评价的水平有待进一步提高。</w:t>
      </w:r>
    </w:p>
    <w:p>
      <w:pPr>
        <w:numPr>
          <w:ilvl w:val="0"/>
          <w:numId w:val="0"/>
        </w:numPr>
        <w:ind w:leftChars="0" w:firstLine="643" w:firstLineChars="200"/>
        <w:rPr>
          <w:rFonts w:hint="eastAsia" w:ascii="仿宋" w:hAnsi="仿宋" w:eastAsia="仿宋" w:cs="仿宋"/>
          <w:kern w:val="2"/>
          <w:sz w:val="32"/>
          <w:szCs w:val="32"/>
          <w:lang w:val="en-US" w:eastAsia="zh-CN"/>
        </w:rPr>
      </w:pPr>
      <w:r>
        <w:rPr>
          <w:rFonts w:hint="eastAsia" w:ascii="仿宋" w:hAnsi="仿宋" w:eastAsia="仿宋" w:cs="仿宋"/>
          <w:b/>
          <w:bCs/>
          <w:sz w:val="32"/>
          <w:szCs w:val="32"/>
          <w:u w:val="none"/>
          <w:lang w:val="en-US" w:eastAsia="zh-CN"/>
        </w:rPr>
        <w:t>下一步改进措施：</w:t>
      </w:r>
      <w:r>
        <w:rPr>
          <w:rFonts w:hint="eastAsia" w:ascii="仿宋" w:hAnsi="仿宋" w:eastAsia="仿宋" w:cs="仿宋"/>
          <w:kern w:val="2"/>
          <w:sz w:val="32"/>
          <w:szCs w:val="32"/>
        </w:rPr>
        <w:t>一</w:t>
      </w:r>
      <w:r>
        <w:rPr>
          <w:rFonts w:hint="eastAsia" w:ascii="仿宋" w:hAnsi="仿宋" w:eastAsia="仿宋" w:cs="仿宋"/>
          <w:kern w:val="2"/>
          <w:sz w:val="32"/>
          <w:szCs w:val="32"/>
          <w:lang w:eastAsia="zh-CN"/>
        </w:rPr>
        <w:t>是</w:t>
      </w:r>
      <w:r>
        <w:rPr>
          <w:rFonts w:hint="eastAsia" w:ascii="仿宋" w:hAnsi="仿宋" w:eastAsia="仿宋" w:cs="仿宋"/>
          <w:kern w:val="2"/>
          <w:sz w:val="32"/>
          <w:szCs w:val="32"/>
        </w:rPr>
        <w:t>要进</w:t>
      </w:r>
      <w:r>
        <w:rPr>
          <w:rFonts w:hint="eastAsia" w:ascii="仿宋" w:hAnsi="仿宋" w:eastAsia="仿宋" w:cs="仿宋"/>
          <w:color w:val="000000"/>
          <w:kern w:val="2"/>
          <w:sz w:val="30"/>
          <w:szCs w:val="30"/>
          <w:shd w:val="clear" w:fill="FFFFFF"/>
        </w:rPr>
        <w:t>一步强化预算绩效宣传，提升绩效管理理念；二</w:t>
      </w:r>
      <w:r>
        <w:rPr>
          <w:rFonts w:hint="eastAsia" w:ascii="仿宋" w:hAnsi="仿宋" w:eastAsia="仿宋" w:cs="仿宋"/>
          <w:color w:val="000000"/>
          <w:kern w:val="2"/>
          <w:sz w:val="30"/>
          <w:szCs w:val="30"/>
          <w:shd w:val="clear" w:fill="FFFFFF"/>
          <w:lang w:eastAsia="zh-CN"/>
        </w:rPr>
        <w:t>是</w:t>
      </w:r>
      <w:r>
        <w:rPr>
          <w:rFonts w:hint="eastAsia" w:ascii="仿宋" w:hAnsi="仿宋" w:eastAsia="仿宋" w:cs="仿宋"/>
          <w:color w:val="000000"/>
          <w:kern w:val="2"/>
          <w:sz w:val="30"/>
          <w:szCs w:val="30"/>
          <w:shd w:val="clear" w:fill="FFFFFF"/>
        </w:rPr>
        <w:t>要进一步加强绩效动态管理，完善绩效指标设定；三</w:t>
      </w:r>
      <w:r>
        <w:rPr>
          <w:rFonts w:hint="eastAsia" w:ascii="仿宋" w:hAnsi="仿宋" w:eastAsia="仿宋" w:cs="仿宋"/>
          <w:color w:val="000000"/>
          <w:kern w:val="2"/>
          <w:sz w:val="30"/>
          <w:szCs w:val="30"/>
          <w:shd w:val="clear" w:fill="FFFFFF"/>
          <w:lang w:eastAsia="zh-CN"/>
        </w:rPr>
        <w:t>是</w:t>
      </w:r>
      <w:r>
        <w:rPr>
          <w:rFonts w:hint="eastAsia" w:ascii="仿宋" w:hAnsi="仿宋" w:eastAsia="仿宋" w:cs="仿宋"/>
          <w:color w:val="000000"/>
          <w:kern w:val="2"/>
          <w:sz w:val="30"/>
          <w:szCs w:val="30"/>
          <w:shd w:val="clear" w:fill="FFFFFF"/>
        </w:rPr>
        <w:t>要进一步提高项目组织管理水平。</w:t>
      </w: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187BEC"/>
    <w:multiLevelType w:val="singleLevel"/>
    <w:tmpl w:val="92187BEC"/>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wMDVmZDhlMzY4Mjk3NzhkY2ZhMmY5OWQyMmZmZDQifQ=="/>
  </w:docVars>
  <w:rsids>
    <w:rsidRoot w:val="00000000"/>
    <w:rsid w:val="004A1407"/>
    <w:rsid w:val="019A039E"/>
    <w:rsid w:val="06CF5F77"/>
    <w:rsid w:val="08867DCF"/>
    <w:rsid w:val="0E5B51A4"/>
    <w:rsid w:val="13983373"/>
    <w:rsid w:val="148B26E4"/>
    <w:rsid w:val="198B5744"/>
    <w:rsid w:val="19E14ED7"/>
    <w:rsid w:val="1EBA524D"/>
    <w:rsid w:val="1F44167B"/>
    <w:rsid w:val="206B3D3B"/>
    <w:rsid w:val="2F7D225C"/>
    <w:rsid w:val="32501EA9"/>
    <w:rsid w:val="3445105A"/>
    <w:rsid w:val="366F3EA6"/>
    <w:rsid w:val="370F794A"/>
    <w:rsid w:val="3D84365E"/>
    <w:rsid w:val="42425F6A"/>
    <w:rsid w:val="43920647"/>
    <w:rsid w:val="4D3F20CF"/>
    <w:rsid w:val="55A16308"/>
    <w:rsid w:val="56401C4A"/>
    <w:rsid w:val="61747E53"/>
    <w:rsid w:val="6AB164E1"/>
    <w:rsid w:val="7ACE2B8A"/>
    <w:rsid w:val="7AE00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16320</Words>
  <Characters>18266</Characters>
  <Lines>0</Lines>
  <Paragraphs>0</Paragraphs>
  <TotalTime>3</TotalTime>
  <ScaleCrop>false</ScaleCrop>
  <LinksUpToDate>false</LinksUpToDate>
  <CharactersWithSpaces>19094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2023-11-22T07:32:00Z</dcterms:created>
  <dc:creator>Administrator</dc:creator>
  <cp:lastModifiedBy>冰封de绝恋</cp:lastModifiedBy>
  <dcterms:modified xsi:type="dcterms:W3CDTF">2023-12-27T06:43:34Z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4E0AA6F2BB4346C1B12CBFAC4BACDE2C_12</vt:lpwstr>
  </property>
</Properties>
</file>