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3FE342">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sz w:val="44"/>
          <w:szCs w:val="24"/>
        </w:rPr>
      </w:pPr>
      <w:bookmarkStart w:id="0" w:name="_GoBack"/>
      <w:bookmarkEnd w:id="0"/>
    </w:p>
    <w:p w14:paraId="490263DF">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sz w:val="44"/>
          <w:szCs w:val="24"/>
        </w:rPr>
      </w:pPr>
    </w:p>
    <w:p w14:paraId="24864B8E">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spacing w:val="-11"/>
          <w:kern w:val="2"/>
          <w:sz w:val="44"/>
          <w:szCs w:val="24"/>
        </w:rPr>
      </w:pPr>
      <w:r>
        <w:rPr>
          <w:rFonts w:hint="eastAsia" w:ascii="方正小标宋_GBK" w:hAnsi="方正小标宋_GBK" w:eastAsia="方正小标宋_GBK" w:cs="方正小标宋_GBK"/>
          <w:snapToGrid/>
          <w:spacing w:val="-11"/>
          <w:kern w:val="2"/>
          <w:sz w:val="44"/>
          <w:szCs w:val="24"/>
        </w:rPr>
        <w:t>池州市贵池区人民政府关于印发《贵池区渔业资源与水域生态环境保护中长期规划》的通知</w:t>
      </w:r>
    </w:p>
    <w:p w14:paraId="2FAB54F6">
      <w:pPr>
        <w:kinsoku/>
        <w:autoSpaceDE/>
        <w:autoSpaceDN/>
        <w:adjustRightInd/>
        <w:snapToGrid/>
        <w:spacing w:beforeLines="0" w:afterLines="0" w:line="240" w:lineRule="auto"/>
        <w:jc w:val="center"/>
        <w:textAlignment w:val="auto"/>
        <w:rPr>
          <w:rFonts w:hint="eastAsia" w:ascii="Times New Roman" w:hAnsi="Times New Roman" w:eastAsia="方正仿宋_GBK" w:cs="Times New Roman"/>
          <w:snapToGrid/>
          <w:kern w:val="2"/>
          <w:sz w:val="32"/>
          <w:szCs w:val="32"/>
          <w:lang w:eastAsia="zh-CN"/>
        </w:rPr>
      </w:pPr>
      <w:r>
        <w:rPr>
          <w:rFonts w:hint="default" w:ascii="Times New Roman" w:hAnsi="Times New Roman" w:eastAsia="方正仿宋_GBK" w:cs="Times New Roman"/>
          <w:snapToGrid/>
          <w:kern w:val="2"/>
          <w:sz w:val="32"/>
          <w:szCs w:val="24"/>
        </w:rPr>
        <w:t>贵政秘〔2007〕30号</w:t>
      </w:r>
    </w:p>
    <w:p w14:paraId="4436A4E1">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sz w:val="44"/>
          <w:szCs w:val="24"/>
        </w:rPr>
      </w:pPr>
    </w:p>
    <w:p w14:paraId="079E4B45">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各镇人民政府，街道办事处，区政府各部门、各直属机构：</w:t>
      </w:r>
    </w:p>
    <w:p w14:paraId="05662BAA">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现将《贵池区渔业资源与水域生态环境保护中长期规划》印发给你们，请认真组织实施。</w:t>
      </w:r>
    </w:p>
    <w:p w14:paraId="78C7901C">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24"/>
        </w:rPr>
      </w:pPr>
    </w:p>
    <w:p w14:paraId="4F977521">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24"/>
        </w:rPr>
      </w:pPr>
    </w:p>
    <w:p w14:paraId="1D95CA18">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24"/>
        </w:rPr>
      </w:pPr>
    </w:p>
    <w:p w14:paraId="230466D5">
      <w:pPr>
        <w:keepNext w:val="0"/>
        <w:keepLines w:val="0"/>
        <w:pageBreakBefore w:val="0"/>
        <w:widowControl/>
        <w:kinsoku/>
        <w:wordWrap w:val="0"/>
        <w:overflowPunct/>
        <w:topLinePunct w:val="0"/>
        <w:autoSpaceDE/>
        <w:autoSpaceDN/>
        <w:bidi w:val="0"/>
        <w:adjustRightInd/>
        <w:snapToGrid/>
        <w:spacing w:line="590" w:lineRule="exact"/>
        <w:jc w:val="right"/>
        <w:textAlignment w:val="auto"/>
        <w:rPr>
          <w:rFonts w:hint="default" w:ascii="宋体" w:hAnsi="宋体" w:eastAsia="方正仿宋_GBK" w:cs="宋体"/>
          <w:sz w:val="157"/>
          <w:szCs w:val="157"/>
          <w:lang w:val="en-US" w:eastAsia="zh-CN"/>
        </w:rPr>
      </w:pPr>
      <w:r>
        <w:rPr>
          <w:rFonts w:hint="default" w:ascii="Times New Roman" w:hAnsi="Times New Roman" w:eastAsia="方正仿宋_GBK" w:cs="Times New Roman"/>
          <w:snapToGrid/>
          <w:kern w:val="2"/>
          <w:sz w:val="32"/>
          <w:szCs w:val="24"/>
        </w:rPr>
        <w:t>池州市贵池区人民政府</w:t>
      </w:r>
    </w:p>
    <w:p w14:paraId="5C935A9A">
      <w:pPr>
        <w:keepNext w:val="0"/>
        <w:keepLines w:val="0"/>
        <w:pageBreakBefore w:val="0"/>
        <w:widowControl/>
        <w:kinsoku/>
        <w:wordWrap w:val="0"/>
        <w:overflowPunct/>
        <w:topLinePunct w:val="0"/>
        <w:autoSpaceDE/>
        <w:autoSpaceDN/>
        <w:bidi w:val="0"/>
        <w:adjustRightInd/>
        <w:snapToGrid/>
        <w:spacing w:line="590" w:lineRule="exact"/>
        <w:ind w:firstLine="640" w:firstLineChars="200"/>
        <w:jc w:val="right"/>
        <w:textAlignment w:val="auto"/>
        <w:rPr>
          <w:rFonts w:hint="default" w:ascii="Times New Roman" w:hAnsi="Times New Roman" w:eastAsia="方正仿宋_GBK" w:cs="Times New Roman"/>
          <w:sz w:val="32"/>
          <w:szCs w:val="24"/>
          <w:lang w:val="en-US" w:eastAsia="zh-CN"/>
        </w:rPr>
      </w:pPr>
      <w:r>
        <w:rPr>
          <w:rFonts w:hint="default" w:ascii="Times New Roman" w:hAnsi="Times New Roman" w:eastAsia="方正仿宋_GBK" w:cs="Times New Roman"/>
          <w:snapToGrid/>
          <w:kern w:val="2"/>
          <w:sz w:val="32"/>
          <w:szCs w:val="24"/>
        </w:rPr>
        <w:t>二</w:t>
      </w:r>
      <w:r>
        <w:rPr>
          <w:rFonts w:hint="eastAsia" w:ascii="Times New Roman" w:hAnsi="Times New Roman" w:eastAsia="方正仿宋_GBK" w:cs="Times New Roman"/>
          <w:snapToGrid/>
          <w:kern w:val="2"/>
          <w:sz w:val="32"/>
          <w:szCs w:val="24"/>
          <w:lang w:eastAsia="zh-CN"/>
        </w:rPr>
        <w:t>〇〇</w:t>
      </w:r>
      <w:r>
        <w:rPr>
          <w:rFonts w:hint="default" w:ascii="Times New Roman" w:hAnsi="Times New Roman" w:eastAsia="方正仿宋_GBK" w:cs="Times New Roman"/>
          <w:snapToGrid/>
          <w:kern w:val="2"/>
          <w:sz w:val="32"/>
          <w:szCs w:val="24"/>
        </w:rPr>
        <w:t>七年三月五</w:t>
      </w:r>
      <w:r>
        <w:rPr>
          <w:rFonts w:hint="eastAsia" w:ascii="Times New Roman" w:hAnsi="Times New Roman" w:eastAsia="方正仿宋_GBK" w:cs="Times New Roman"/>
          <w:snapToGrid/>
          <w:kern w:val="2"/>
          <w:sz w:val="32"/>
          <w:szCs w:val="24"/>
          <w:lang w:eastAsia="zh-CN"/>
        </w:rPr>
        <w:t>日</w:t>
      </w:r>
    </w:p>
    <w:p w14:paraId="159522E6">
      <w:pPr>
        <w:keepNext w:val="0"/>
        <w:keepLines w:val="0"/>
        <w:pageBreakBefore w:val="0"/>
        <w:widowControl/>
        <w:kinsoku/>
        <w:wordWrap/>
        <w:overflowPunct/>
        <w:topLinePunct w:val="0"/>
        <w:autoSpaceDE/>
        <w:autoSpaceDN/>
        <w:bidi w:val="0"/>
        <w:adjustRightInd/>
        <w:snapToGrid/>
        <w:spacing w:line="240" w:lineRule="auto"/>
        <w:ind w:firstLine="640" w:firstLineChars="200"/>
        <w:textAlignment w:val="auto"/>
        <w:rPr>
          <w:rFonts w:hint="eastAsia" w:ascii="Times New Roman" w:hAnsi="Times New Roman" w:eastAsia="方正仿宋_GBK" w:cs="Times New Roman"/>
          <w:sz w:val="32"/>
          <w:szCs w:val="24"/>
          <w:lang w:eastAsia="zh-CN"/>
        </w:rPr>
      </w:pPr>
      <w:r>
        <w:rPr>
          <w:rFonts w:hint="default" w:ascii="Times New Roman" w:hAnsi="Times New Roman" w:eastAsia="方正仿宋_GBK" w:cs="Times New Roman"/>
          <w:sz w:val="32"/>
          <w:szCs w:val="24"/>
        </w:rPr>
        <w:br w:type="page"/>
      </w:r>
    </w:p>
    <w:p w14:paraId="0C4D7A25">
      <w:pPr>
        <w:keepNext w:val="0"/>
        <w:keepLines w:val="0"/>
        <w:pageBreakBefore w:val="0"/>
        <w:widowControl/>
        <w:kinsoku/>
        <w:wordWrap/>
        <w:overflowPunct/>
        <w:topLinePunct w:val="0"/>
        <w:autoSpaceDE/>
        <w:autoSpaceDN/>
        <w:bidi w:val="0"/>
        <w:adjustRightInd/>
        <w:snapToGrid/>
        <w:spacing w:line="590" w:lineRule="exact"/>
        <w:ind w:firstLine="880" w:firstLineChars="200"/>
        <w:jc w:val="left"/>
        <w:textAlignment w:val="auto"/>
        <w:rPr>
          <w:rFonts w:hint="default" w:ascii="Times New Roman" w:hAnsi="Times New Roman" w:eastAsia="方正仿宋_GBK" w:cs="Times New Roman"/>
          <w:sz w:val="44"/>
          <w:szCs w:val="24"/>
        </w:rPr>
      </w:pPr>
    </w:p>
    <w:p w14:paraId="5B0995D7">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贵池区渔业资源与水域生态环境</w:t>
      </w:r>
    </w:p>
    <w:p w14:paraId="2808879B">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保护中长期规划</w:t>
      </w:r>
    </w:p>
    <w:p w14:paraId="0BC54120">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snapToGrid/>
          <w:kern w:val="2"/>
          <w:sz w:val="32"/>
          <w:szCs w:val="24"/>
        </w:rPr>
      </w:pPr>
    </w:p>
    <w:p w14:paraId="1870F110">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snapToGrid/>
          <w:kern w:val="2"/>
          <w:sz w:val="32"/>
          <w:szCs w:val="24"/>
        </w:rPr>
      </w:pPr>
    </w:p>
    <w:p w14:paraId="0488E9A1">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我区地处暖温带与亚热带的</w:t>
      </w:r>
      <w:r>
        <w:rPr>
          <w:rFonts w:hint="eastAsia" w:ascii="Times New Roman" w:hAnsi="Times New Roman" w:eastAsia="方正仿宋_GBK" w:cs="Times New Roman"/>
          <w:snapToGrid/>
          <w:kern w:val="2"/>
          <w:sz w:val="32"/>
          <w:szCs w:val="24"/>
          <w:lang w:eastAsia="zh-CN"/>
        </w:rPr>
        <w:t>过渡地带</w:t>
      </w:r>
      <w:r>
        <w:rPr>
          <w:rFonts w:hint="default" w:ascii="Times New Roman" w:hAnsi="Times New Roman" w:eastAsia="方正仿宋_GBK" w:cs="Times New Roman"/>
          <w:snapToGrid/>
          <w:kern w:val="2"/>
          <w:sz w:val="32"/>
          <w:szCs w:val="24"/>
        </w:rPr>
        <w:t>，气候温和，雨量适中，光照充足，四季分明，季风明显，适宜多种水生生物的生长、繁育、栖息，是四大家鱼天然产卵场和栖息地，为渔业的快速发展提供了有利的气候条件。为进一步加强我区水生生物资源养护工作，认真落实《中国水生生物资源养护行动纲要》精神，大力推进我区渔业资源与水域生态环境保护工作，促进我区渔业健康持续发展，特制定本规划。</w:t>
      </w:r>
    </w:p>
    <w:p w14:paraId="582F9C7A">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eastAsia" w:ascii="方正黑体_GBK" w:hAnsi="方正黑体_GBK" w:eastAsia="方正黑体_GBK" w:cs="方正黑体_GBK"/>
          <w:snapToGrid/>
          <w:kern w:val="2"/>
          <w:sz w:val="32"/>
          <w:szCs w:val="24"/>
        </w:rPr>
      </w:pPr>
      <w:r>
        <w:rPr>
          <w:rFonts w:hint="eastAsia" w:ascii="方正黑体_GBK" w:hAnsi="方正黑体_GBK" w:eastAsia="方正黑体_GBK" w:cs="方正黑体_GBK"/>
          <w:snapToGrid/>
          <w:kern w:val="2"/>
          <w:sz w:val="32"/>
          <w:szCs w:val="24"/>
        </w:rPr>
        <w:t>一、全区渔业资源与水域生态环境现状</w:t>
      </w:r>
    </w:p>
    <w:p w14:paraId="40F98899">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eastAsia" w:ascii="方正楷体简体" w:hAnsi="方正楷体简体" w:eastAsia="方正楷体简体" w:cs="方正楷体简体"/>
          <w:snapToGrid/>
          <w:kern w:val="2"/>
          <w:sz w:val="32"/>
          <w:szCs w:val="24"/>
        </w:rPr>
      </w:pPr>
      <w:r>
        <w:rPr>
          <w:rFonts w:hint="eastAsia" w:ascii="方正楷体简体" w:hAnsi="方正楷体简体" w:eastAsia="方正楷体简体" w:cs="方正楷体简体"/>
          <w:snapToGrid/>
          <w:kern w:val="2"/>
          <w:sz w:val="32"/>
          <w:szCs w:val="24"/>
          <w:lang w:eastAsia="zh-CN"/>
        </w:rPr>
        <w:t>（</w:t>
      </w:r>
      <w:r>
        <w:rPr>
          <w:rFonts w:hint="eastAsia" w:ascii="方正楷体简体" w:hAnsi="方正楷体简体" w:eastAsia="方正楷体简体" w:cs="方正楷体简体"/>
          <w:snapToGrid/>
          <w:kern w:val="2"/>
          <w:sz w:val="32"/>
          <w:szCs w:val="24"/>
        </w:rPr>
        <w:t>一</w:t>
      </w:r>
      <w:r>
        <w:rPr>
          <w:rFonts w:hint="eastAsia" w:ascii="方正楷体简体" w:hAnsi="方正楷体简体" w:eastAsia="方正楷体简体" w:cs="方正楷体简体"/>
          <w:snapToGrid/>
          <w:kern w:val="2"/>
          <w:sz w:val="32"/>
          <w:szCs w:val="24"/>
          <w:lang w:eastAsia="zh-CN"/>
        </w:rPr>
        <w:t>）</w:t>
      </w:r>
      <w:r>
        <w:rPr>
          <w:rFonts w:hint="eastAsia" w:ascii="方正楷体_GBK" w:hAnsi="方正楷体_GBK" w:eastAsia="方正楷体_GBK" w:cs="方正楷体_GBK"/>
          <w:snapToGrid/>
          <w:kern w:val="2"/>
          <w:sz w:val="32"/>
          <w:szCs w:val="24"/>
        </w:rPr>
        <w:t>自然资源与生态环境情况</w:t>
      </w:r>
    </w:p>
    <w:p w14:paraId="4E4A4DDB">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我区地处国家级生态经济示范区，素有“鱼米之乡”的美誉。区内江河众多，水域总面积37万亩，其中可养水面21万亩，已养水面17.8万亩。水生生物资源丰富，品种多样，水生动物主要有四大家鱼、鲤、鲫、鳊、鲂、三角帆蚌、鳜鱼、甲鱼、青虾、黄鳝等；水生植物主要有莲、菱、茭白等，目前，全区水产品已形成十大水产养殖和鳜鱼、珍珠、小龙虾三大主导产品。</w:t>
      </w:r>
    </w:p>
    <w:p w14:paraId="1B4DB151">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方正楷体简体" w:hAnsi="方正楷体简体" w:eastAsia="方正楷体简体" w:cs="方正楷体简体"/>
          <w:snapToGrid/>
          <w:kern w:val="2"/>
          <w:sz w:val="32"/>
          <w:szCs w:val="24"/>
          <w:lang w:eastAsia="zh-CN"/>
        </w:rPr>
      </w:pPr>
      <w:r>
        <w:rPr>
          <w:rFonts w:hint="eastAsia" w:ascii="方正楷体简体" w:hAnsi="方正楷体简体" w:eastAsia="方正楷体简体" w:cs="方正楷体简体"/>
          <w:snapToGrid/>
          <w:kern w:val="2"/>
          <w:sz w:val="32"/>
          <w:szCs w:val="24"/>
          <w:lang w:eastAsia="zh-CN"/>
        </w:rPr>
        <w:t>（</w:t>
      </w:r>
      <w:r>
        <w:rPr>
          <w:rFonts w:hint="default" w:ascii="方正楷体简体" w:hAnsi="方正楷体简体" w:eastAsia="方正楷体简体" w:cs="方正楷体简体"/>
          <w:snapToGrid/>
          <w:kern w:val="2"/>
          <w:sz w:val="32"/>
          <w:szCs w:val="24"/>
          <w:lang w:eastAsia="zh-CN"/>
        </w:rPr>
        <w:t>二</w:t>
      </w:r>
      <w:r>
        <w:rPr>
          <w:rFonts w:hint="eastAsia" w:ascii="方正楷体简体" w:hAnsi="方正楷体简体" w:eastAsia="方正楷体简体" w:cs="方正楷体简体"/>
          <w:snapToGrid/>
          <w:kern w:val="2"/>
          <w:sz w:val="32"/>
          <w:szCs w:val="24"/>
          <w:lang w:eastAsia="zh-CN"/>
        </w:rPr>
        <w:t>）</w:t>
      </w:r>
      <w:r>
        <w:rPr>
          <w:rFonts w:hint="default" w:ascii="方正楷体_GBK" w:hAnsi="方正楷体_GBK" w:eastAsia="方正楷体_GBK" w:cs="方正楷体_GBK"/>
          <w:snapToGrid/>
          <w:kern w:val="2"/>
          <w:sz w:val="32"/>
          <w:szCs w:val="24"/>
          <w:lang w:eastAsia="zh-CN"/>
        </w:rPr>
        <w:t>外界因素对水生生物生存的影响</w:t>
      </w:r>
    </w:p>
    <w:p w14:paraId="58F22E9D">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过度捕捞、水体污染、围湖造田、堤坝建设、新养殖品种引进以及自然天敌等外界因素，造成自然水体中水生生物种类锐减、部分物种面临灭绝</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如鲥鱼</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、个体渐小、生物性成熟期提前、生长缓慢以及越冬、摄食场所破坏，近年来影响日益严重。</w:t>
      </w:r>
    </w:p>
    <w:p w14:paraId="6887212E">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方正楷体简体" w:hAnsi="方正楷体简体" w:eastAsia="方正楷体简体" w:cs="方正楷体简体"/>
          <w:snapToGrid/>
          <w:kern w:val="2"/>
          <w:sz w:val="32"/>
          <w:szCs w:val="24"/>
          <w:lang w:eastAsia="zh-CN"/>
        </w:rPr>
      </w:pPr>
      <w:r>
        <w:rPr>
          <w:rFonts w:hint="eastAsia" w:ascii="方正楷体简体" w:hAnsi="方正楷体简体" w:eastAsia="方正楷体简体" w:cs="方正楷体简体"/>
          <w:snapToGrid/>
          <w:kern w:val="2"/>
          <w:sz w:val="32"/>
          <w:szCs w:val="24"/>
          <w:lang w:eastAsia="zh-CN"/>
        </w:rPr>
        <w:t>（</w:t>
      </w:r>
      <w:r>
        <w:rPr>
          <w:rFonts w:hint="default" w:ascii="方正楷体简体" w:hAnsi="方正楷体简体" w:eastAsia="方正楷体简体" w:cs="方正楷体简体"/>
          <w:snapToGrid/>
          <w:kern w:val="2"/>
          <w:sz w:val="32"/>
          <w:szCs w:val="24"/>
          <w:lang w:eastAsia="zh-CN"/>
        </w:rPr>
        <w:t>三</w:t>
      </w:r>
      <w:r>
        <w:rPr>
          <w:rFonts w:hint="eastAsia" w:ascii="方正楷体简体" w:hAnsi="方正楷体简体" w:eastAsia="方正楷体简体" w:cs="方正楷体简体"/>
          <w:snapToGrid/>
          <w:kern w:val="2"/>
          <w:sz w:val="32"/>
          <w:szCs w:val="24"/>
          <w:lang w:eastAsia="zh-CN"/>
        </w:rPr>
        <w:t>）</w:t>
      </w:r>
      <w:r>
        <w:rPr>
          <w:rFonts w:hint="default" w:ascii="方正楷体_GBK" w:hAnsi="方正楷体_GBK" w:eastAsia="方正楷体_GBK" w:cs="方正楷体_GBK"/>
          <w:snapToGrid/>
          <w:kern w:val="2"/>
          <w:sz w:val="32"/>
          <w:szCs w:val="24"/>
          <w:lang w:eastAsia="zh-CN"/>
        </w:rPr>
        <w:t>养殖水域环境日趋恶化</w:t>
      </w:r>
    </w:p>
    <w:p w14:paraId="732FC4BB">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由于重养殖、轻管护的体制性因素，导致池塘改造资金投入不足，池塘淤泥沉积过厚，塘埂倒塌严重，有效水体和水质下降；养殖用水也不同程度受农业用药、施肥、城镇生活污水和工业“三废”污染；养殖湖泊、河流等大水面生态系统遭到一定程度破坏，部分湖泊因渔农掠夺性生产导致向藻型湖泊转化，富营养化程度加剧，这些都严重制约了养殖效益、水产品质量和产量进一步提高。</w:t>
      </w:r>
    </w:p>
    <w:p w14:paraId="4C23C60D">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方正楷体简体" w:hAnsi="方正楷体简体" w:eastAsia="方正楷体简体" w:cs="方正楷体简体"/>
          <w:snapToGrid/>
          <w:kern w:val="2"/>
          <w:sz w:val="32"/>
          <w:szCs w:val="24"/>
          <w:lang w:eastAsia="zh-CN"/>
        </w:rPr>
      </w:pPr>
      <w:r>
        <w:rPr>
          <w:rFonts w:hint="eastAsia" w:ascii="方正楷体简体" w:hAnsi="方正楷体简体" w:eastAsia="方正楷体简体" w:cs="方正楷体简体"/>
          <w:snapToGrid/>
          <w:kern w:val="2"/>
          <w:sz w:val="32"/>
          <w:szCs w:val="24"/>
          <w:lang w:eastAsia="zh-CN"/>
        </w:rPr>
        <w:t>（</w:t>
      </w:r>
      <w:r>
        <w:rPr>
          <w:rFonts w:hint="default" w:ascii="方正楷体简体" w:hAnsi="方正楷体简体" w:eastAsia="方正楷体简体" w:cs="方正楷体简体"/>
          <w:snapToGrid/>
          <w:kern w:val="2"/>
          <w:sz w:val="32"/>
          <w:szCs w:val="24"/>
          <w:lang w:eastAsia="zh-CN"/>
        </w:rPr>
        <w:t>四</w:t>
      </w:r>
      <w:r>
        <w:rPr>
          <w:rFonts w:hint="eastAsia" w:ascii="方正楷体简体" w:hAnsi="方正楷体简体" w:eastAsia="方正楷体简体" w:cs="方正楷体简体"/>
          <w:snapToGrid/>
          <w:kern w:val="2"/>
          <w:sz w:val="32"/>
          <w:szCs w:val="24"/>
          <w:lang w:eastAsia="zh-CN"/>
        </w:rPr>
        <w:t>）</w:t>
      </w:r>
      <w:r>
        <w:rPr>
          <w:rFonts w:hint="default" w:ascii="方正楷体_GBK" w:hAnsi="方正楷体_GBK" w:eastAsia="方正楷体_GBK" w:cs="方正楷体_GBK"/>
          <w:snapToGrid/>
          <w:kern w:val="2"/>
          <w:sz w:val="32"/>
          <w:szCs w:val="24"/>
          <w:lang w:eastAsia="zh-CN"/>
        </w:rPr>
        <w:t>渔业资源破坏和种质退化严重</w:t>
      </w:r>
    </w:p>
    <w:p w14:paraId="70D4A2F0">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近年来，因受经济利益的驱动，造成天然水域鱼类如刀</w:t>
      </w:r>
      <w:r>
        <w:rPr>
          <w:rFonts w:hint="eastAsia" w:ascii="Times New Roman" w:hAnsi="Times New Roman" w:eastAsia="方正仿宋_GBK" w:cs="Times New Roman"/>
          <w:snapToGrid/>
          <w:kern w:val="2"/>
          <w:sz w:val="32"/>
          <w:szCs w:val="24"/>
          <w:lang w:eastAsia="zh-CN"/>
        </w:rPr>
        <w:t>鲚</w:t>
      </w:r>
      <w:r>
        <w:rPr>
          <w:rFonts w:hint="default" w:ascii="Times New Roman" w:hAnsi="Times New Roman" w:eastAsia="方正仿宋_GBK" w:cs="Times New Roman"/>
          <w:snapToGrid/>
          <w:kern w:val="2"/>
          <w:sz w:val="32"/>
          <w:szCs w:val="24"/>
        </w:rPr>
        <w:t>的过度捕捞和生态环境严重衰退。天然水域鱼类群体趋向低龄化、小型化，形成不了鱼汛。传统的四大家鱼及鲤、鲫、鲂鱼等种质退化也相当严重，呈现性成熟早、个体小的趋势。</w:t>
      </w:r>
    </w:p>
    <w:p w14:paraId="3A13FAF5">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二、指导思想和奋斗目标</w:t>
      </w:r>
    </w:p>
    <w:p w14:paraId="16222A15">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方正楷体简体" w:hAnsi="方正楷体简体" w:eastAsia="方正楷体简体" w:cs="方正楷体简体"/>
          <w:snapToGrid/>
          <w:kern w:val="2"/>
          <w:sz w:val="32"/>
          <w:szCs w:val="24"/>
          <w:lang w:eastAsia="zh-CN"/>
        </w:rPr>
      </w:pPr>
      <w:r>
        <w:rPr>
          <w:rFonts w:hint="eastAsia" w:ascii="方正楷体简体" w:hAnsi="方正楷体简体" w:eastAsia="方正楷体简体" w:cs="方正楷体简体"/>
          <w:snapToGrid/>
          <w:kern w:val="2"/>
          <w:sz w:val="32"/>
          <w:szCs w:val="24"/>
          <w:lang w:eastAsia="zh-CN"/>
        </w:rPr>
        <w:t>（</w:t>
      </w:r>
      <w:r>
        <w:rPr>
          <w:rFonts w:hint="default" w:ascii="方正楷体简体" w:hAnsi="方正楷体简体" w:eastAsia="方正楷体简体" w:cs="方正楷体简体"/>
          <w:snapToGrid/>
          <w:kern w:val="2"/>
          <w:sz w:val="32"/>
          <w:szCs w:val="24"/>
          <w:lang w:eastAsia="zh-CN"/>
        </w:rPr>
        <w:t>一</w:t>
      </w:r>
      <w:r>
        <w:rPr>
          <w:rFonts w:hint="eastAsia" w:ascii="方正楷体简体" w:hAnsi="方正楷体简体" w:eastAsia="方正楷体简体" w:cs="方正楷体简体"/>
          <w:snapToGrid/>
          <w:kern w:val="2"/>
          <w:sz w:val="32"/>
          <w:szCs w:val="24"/>
          <w:lang w:eastAsia="zh-CN"/>
        </w:rPr>
        <w:t>）</w:t>
      </w:r>
      <w:r>
        <w:rPr>
          <w:rFonts w:hint="default" w:ascii="方正楷体_GBK" w:hAnsi="方正楷体_GBK" w:eastAsia="方正楷体_GBK" w:cs="方正楷体_GBK"/>
          <w:snapToGrid/>
          <w:kern w:val="2"/>
          <w:sz w:val="32"/>
          <w:szCs w:val="24"/>
          <w:lang w:eastAsia="zh-CN"/>
        </w:rPr>
        <w:t>指导思想</w:t>
      </w:r>
    </w:p>
    <w:p w14:paraId="1BFD7653">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以邓小平理论和“三个代表”重要思想为指导，认真贯彻党的十六大和十六届五中、六中全会精神，全面落实科学发展观，坚持科技创新，完善管理制度与措施，养护和利用水生生物资源相结合，改善水域生态环境，维护水生生物多样性，促进人与自然和谐，实现渔业可持续发展。</w:t>
      </w:r>
    </w:p>
    <w:p w14:paraId="785142EE">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方正楷体简体" w:hAnsi="方正楷体简体" w:eastAsia="方正楷体简体" w:cs="方正楷体简体"/>
          <w:snapToGrid/>
          <w:kern w:val="2"/>
          <w:sz w:val="32"/>
          <w:szCs w:val="24"/>
          <w:lang w:eastAsia="zh-CN"/>
        </w:rPr>
      </w:pPr>
      <w:r>
        <w:rPr>
          <w:rFonts w:hint="eastAsia" w:ascii="方正楷体简体" w:hAnsi="方正楷体简体" w:eastAsia="方正楷体简体" w:cs="方正楷体简体"/>
          <w:snapToGrid/>
          <w:kern w:val="2"/>
          <w:sz w:val="32"/>
          <w:szCs w:val="24"/>
          <w:lang w:eastAsia="zh-CN"/>
        </w:rPr>
        <w:t>（</w:t>
      </w:r>
      <w:r>
        <w:rPr>
          <w:rFonts w:hint="default" w:ascii="方正楷体简体" w:hAnsi="方正楷体简体" w:eastAsia="方正楷体简体" w:cs="方正楷体简体"/>
          <w:snapToGrid/>
          <w:kern w:val="2"/>
          <w:sz w:val="32"/>
          <w:szCs w:val="24"/>
          <w:lang w:eastAsia="zh-CN"/>
        </w:rPr>
        <w:t>二</w:t>
      </w:r>
      <w:r>
        <w:rPr>
          <w:rFonts w:hint="eastAsia" w:ascii="方正楷体简体" w:hAnsi="方正楷体简体" w:eastAsia="方正楷体简体" w:cs="方正楷体简体"/>
          <w:snapToGrid/>
          <w:kern w:val="2"/>
          <w:sz w:val="32"/>
          <w:szCs w:val="24"/>
          <w:lang w:eastAsia="zh-CN"/>
        </w:rPr>
        <w:t>）</w:t>
      </w:r>
      <w:r>
        <w:rPr>
          <w:rFonts w:hint="default" w:ascii="方正楷体_GBK" w:hAnsi="方正楷体_GBK" w:eastAsia="方正楷体_GBK" w:cs="方正楷体_GBK"/>
          <w:snapToGrid/>
          <w:kern w:val="2"/>
          <w:sz w:val="32"/>
          <w:szCs w:val="24"/>
          <w:lang w:eastAsia="zh-CN"/>
        </w:rPr>
        <w:t>奋斗目标</w:t>
      </w:r>
    </w:p>
    <w:p w14:paraId="6CBFD749">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1、近期目标：到2010年，水域生态环境恶化、渔业资源衰退的趋势得到明显改善，濒危物种数逐步减少；在2006年基础上，年捕捞产量的增幅控制在2%以下，每年增殖重要渔业资源品种的苗种数量达到2亿尾以上；水生野生动物保护区的数量达到2个以上，渔业水域污染事故处理率达9%以上。</w:t>
      </w:r>
    </w:p>
    <w:p w14:paraId="71F8E8F4">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2、中期目标：到2015年，实现水域生态环境良好、渔业资源丰富的目标。在2010年的基础上，年捕捞产量的增幅控制在5%以内；每年增殖重要渔业资源品种的苗种数量达到5亿尾以上；水生野生动物保护区的数量达到5个以上，渔业水域污染事故处理率达95%以上。</w:t>
      </w:r>
    </w:p>
    <w:p w14:paraId="50937BF6">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3、远景目标：到2020年，水域生态环境优良，水生生物资源丰富并得到高度利用，生物多样性得到有效保护，水生生态系统实现自然、良性循环。在2015年的基础上，年捕捞产量的增幅控制在8%以内，每年增殖重要渔业资源品种的苗种数量达到10亿尾以上；水生动物保护区的数量达到8个以上，渔业水域污染事故处理率达100%。</w:t>
      </w:r>
    </w:p>
    <w:p w14:paraId="34203F88">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三、主要内容</w:t>
      </w:r>
    </w:p>
    <w:p w14:paraId="00E771D3">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方正楷体简体" w:hAnsi="方正楷体简体" w:eastAsia="方正楷体简体" w:cs="方正楷体简体"/>
          <w:snapToGrid/>
          <w:kern w:val="2"/>
          <w:sz w:val="32"/>
          <w:szCs w:val="24"/>
          <w:lang w:eastAsia="zh-CN"/>
        </w:rPr>
      </w:pPr>
      <w:r>
        <w:rPr>
          <w:rFonts w:hint="eastAsia" w:ascii="方正楷体简体" w:hAnsi="方正楷体简体" w:eastAsia="方正楷体简体" w:cs="方正楷体简体"/>
          <w:snapToGrid/>
          <w:kern w:val="2"/>
          <w:sz w:val="32"/>
          <w:szCs w:val="24"/>
          <w:lang w:eastAsia="zh-CN"/>
        </w:rPr>
        <w:t>（</w:t>
      </w:r>
      <w:r>
        <w:rPr>
          <w:rFonts w:hint="default" w:ascii="方正楷体简体" w:hAnsi="方正楷体简体" w:eastAsia="方正楷体简体" w:cs="方正楷体简体"/>
          <w:snapToGrid/>
          <w:kern w:val="2"/>
          <w:sz w:val="32"/>
          <w:szCs w:val="24"/>
          <w:lang w:eastAsia="zh-CN"/>
        </w:rPr>
        <w:t>一</w:t>
      </w:r>
      <w:r>
        <w:rPr>
          <w:rFonts w:hint="eastAsia" w:ascii="方正楷体简体" w:hAnsi="方正楷体简体" w:eastAsia="方正楷体简体" w:cs="方正楷体简体"/>
          <w:snapToGrid/>
          <w:kern w:val="2"/>
          <w:sz w:val="32"/>
          <w:szCs w:val="24"/>
          <w:lang w:eastAsia="zh-CN"/>
        </w:rPr>
        <w:t>）</w:t>
      </w:r>
      <w:r>
        <w:rPr>
          <w:rFonts w:hint="default" w:ascii="方正楷体_GBK" w:hAnsi="方正楷体_GBK" w:eastAsia="方正楷体_GBK" w:cs="方正楷体_GBK"/>
          <w:snapToGrid/>
          <w:kern w:val="2"/>
          <w:sz w:val="32"/>
          <w:szCs w:val="24"/>
          <w:lang w:eastAsia="zh-CN"/>
        </w:rPr>
        <w:t>兴建渔业增殖基地</w:t>
      </w:r>
    </w:p>
    <w:p w14:paraId="292B8048">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区渔业行政主管部门在各大中型渔业水域建设天然鱼类产卵场和人工繁殖基地，增加天然水域经济鱼类苗种投放量，提高优质经济鱼类比例，增殖、恢复渔业资源。</w:t>
      </w:r>
    </w:p>
    <w:p w14:paraId="668512C5">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方正楷体简体" w:hAnsi="方正楷体简体" w:eastAsia="方正楷体简体" w:cs="方正楷体简体"/>
          <w:snapToGrid/>
          <w:kern w:val="2"/>
          <w:sz w:val="32"/>
          <w:szCs w:val="24"/>
          <w:lang w:eastAsia="zh-CN"/>
        </w:rPr>
      </w:pPr>
      <w:r>
        <w:rPr>
          <w:rFonts w:hint="eastAsia" w:ascii="方正楷体简体" w:hAnsi="方正楷体简体" w:eastAsia="方正楷体简体" w:cs="方正楷体简体"/>
          <w:snapToGrid/>
          <w:kern w:val="2"/>
          <w:sz w:val="32"/>
          <w:szCs w:val="24"/>
          <w:lang w:eastAsia="zh-CN"/>
        </w:rPr>
        <w:t>（</w:t>
      </w:r>
      <w:r>
        <w:rPr>
          <w:rFonts w:hint="default" w:ascii="方正楷体简体" w:hAnsi="方正楷体简体" w:eastAsia="方正楷体简体" w:cs="方正楷体简体"/>
          <w:snapToGrid/>
          <w:kern w:val="2"/>
          <w:sz w:val="32"/>
          <w:szCs w:val="24"/>
          <w:lang w:eastAsia="zh-CN"/>
        </w:rPr>
        <w:t>二</w:t>
      </w:r>
      <w:r>
        <w:rPr>
          <w:rFonts w:hint="eastAsia" w:ascii="方正楷体简体" w:hAnsi="方正楷体简体" w:eastAsia="方正楷体简体" w:cs="方正楷体简体"/>
          <w:snapToGrid/>
          <w:kern w:val="2"/>
          <w:sz w:val="32"/>
          <w:szCs w:val="24"/>
          <w:lang w:eastAsia="zh-CN"/>
        </w:rPr>
        <w:t>）</w:t>
      </w:r>
      <w:r>
        <w:rPr>
          <w:rFonts w:hint="default" w:ascii="方正楷体_GBK" w:hAnsi="方正楷体_GBK" w:eastAsia="方正楷体_GBK" w:cs="方正楷体_GBK"/>
          <w:snapToGrid/>
          <w:kern w:val="2"/>
          <w:sz w:val="32"/>
          <w:szCs w:val="24"/>
          <w:lang w:eastAsia="zh-CN"/>
        </w:rPr>
        <w:t>发展天然水面增殖</w:t>
      </w:r>
    </w:p>
    <w:p w14:paraId="3301E040">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我区可养水面有21万亩，各有关部门要抓好大中型水面渔业综合开发，通过开展网箱养殖、围拦育种、小水面人工精养、半精养，大幅度增加水产品的产量。大力发展水产品加工业、流通服务业、休闲渔业及其他相关产业，提高渔业在二、三产业中的比重。</w:t>
      </w:r>
    </w:p>
    <w:p w14:paraId="2E701B28">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方正楷体简体" w:hAnsi="方正楷体简体" w:eastAsia="方正楷体简体" w:cs="方正楷体简体"/>
          <w:snapToGrid/>
          <w:kern w:val="2"/>
          <w:sz w:val="32"/>
          <w:szCs w:val="24"/>
          <w:lang w:eastAsia="zh-CN"/>
        </w:rPr>
      </w:pPr>
      <w:r>
        <w:rPr>
          <w:rFonts w:hint="eastAsia" w:ascii="方正楷体简体" w:hAnsi="方正楷体简体" w:eastAsia="方正楷体简体" w:cs="方正楷体简体"/>
          <w:snapToGrid/>
          <w:kern w:val="2"/>
          <w:sz w:val="32"/>
          <w:szCs w:val="24"/>
          <w:lang w:eastAsia="zh-CN"/>
        </w:rPr>
        <w:t>（</w:t>
      </w:r>
      <w:r>
        <w:rPr>
          <w:rFonts w:hint="default" w:ascii="方正楷体简体" w:hAnsi="方正楷体简体" w:eastAsia="方正楷体简体" w:cs="方正楷体简体"/>
          <w:snapToGrid/>
          <w:kern w:val="2"/>
          <w:sz w:val="32"/>
          <w:szCs w:val="24"/>
          <w:lang w:eastAsia="zh-CN"/>
        </w:rPr>
        <w:t>三</w:t>
      </w:r>
      <w:r>
        <w:rPr>
          <w:rFonts w:hint="eastAsia" w:ascii="方正楷体简体" w:hAnsi="方正楷体简体" w:eastAsia="方正楷体简体" w:cs="方正楷体简体"/>
          <w:snapToGrid/>
          <w:kern w:val="2"/>
          <w:sz w:val="32"/>
          <w:szCs w:val="24"/>
          <w:lang w:eastAsia="zh-CN"/>
        </w:rPr>
        <w:t>）</w:t>
      </w:r>
      <w:r>
        <w:rPr>
          <w:rFonts w:hint="default" w:ascii="方正楷体_GBK" w:hAnsi="方正楷体_GBK" w:eastAsia="方正楷体_GBK" w:cs="方正楷体_GBK"/>
          <w:snapToGrid/>
          <w:kern w:val="2"/>
          <w:sz w:val="32"/>
          <w:szCs w:val="24"/>
          <w:lang w:eastAsia="zh-CN"/>
        </w:rPr>
        <w:t>开展人工增殖放流活动</w:t>
      </w:r>
    </w:p>
    <w:p w14:paraId="019379A3">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制定完善的人工增殖放流规划，建立增殖计划申报、审批、增殖苗种检疫及增殖放流监督制度，在做好生态安全风险评估的基础上，重点抓好长江贵池段、秋浦河、九华河、升金湖等重要渔业水域的大规模人工增殖放流活动，增殖鱼类资源。</w:t>
      </w:r>
    </w:p>
    <w:p w14:paraId="1B0689E1">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方正楷体简体" w:hAnsi="方正楷体简体" w:eastAsia="方正楷体简体" w:cs="方正楷体简体"/>
          <w:snapToGrid/>
          <w:kern w:val="2"/>
          <w:sz w:val="32"/>
          <w:szCs w:val="24"/>
          <w:lang w:eastAsia="zh-CN"/>
        </w:rPr>
      </w:pPr>
      <w:r>
        <w:rPr>
          <w:rFonts w:hint="eastAsia" w:ascii="方正楷体简体" w:hAnsi="方正楷体简体" w:eastAsia="方正楷体简体" w:cs="方正楷体简体"/>
          <w:snapToGrid/>
          <w:kern w:val="2"/>
          <w:sz w:val="32"/>
          <w:szCs w:val="24"/>
          <w:lang w:eastAsia="zh-CN"/>
        </w:rPr>
        <w:t>（</w:t>
      </w:r>
      <w:r>
        <w:rPr>
          <w:rFonts w:hint="default" w:ascii="方正楷体简体" w:hAnsi="方正楷体简体" w:eastAsia="方正楷体简体" w:cs="方正楷体简体"/>
          <w:snapToGrid/>
          <w:kern w:val="2"/>
          <w:sz w:val="32"/>
          <w:szCs w:val="24"/>
          <w:lang w:eastAsia="zh-CN"/>
        </w:rPr>
        <w:t>四</w:t>
      </w:r>
      <w:r>
        <w:rPr>
          <w:rFonts w:hint="eastAsia" w:ascii="方正楷体简体" w:hAnsi="方正楷体简体" w:eastAsia="方正楷体简体" w:cs="方正楷体简体"/>
          <w:snapToGrid/>
          <w:kern w:val="2"/>
          <w:sz w:val="32"/>
          <w:szCs w:val="24"/>
          <w:lang w:eastAsia="zh-CN"/>
        </w:rPr>
        <w:t>）</w:t>
      </w:r>
      <w:r>
        <w:rPr>
          <w:rFonts w:hint="default" w:ascii="方正楷体_GBK" w:hAnsi="方正楷体_GBK" w:eastAsia="方正楷体_GBK" w:cs="方正楷体_GBK"/>
          <w:snapToGrid/>
          <w:kern w:val="2"/>
          <w:sz w:val="32"/>
          <w:szCs w:val="24"/>
          <w:lang w:eastAsia="zh-CN"/>
        </w:rPr>
        <w:t>保护水产种质资源</w:t>
      </w:r>
    </w:p>
    <w:p w14:paraId="57D0C705">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在具有较高经济价值和遗传育种价值以及水产种质资源主要生长繁殖区域建立水产种质资源保护区，并制定相应的管理办法，规范保护区的管理。建立水产种质资源基因库，加强对水产遗传种质资源特别是珍稀水产遗传育种资源的保护，把长江作为长江经济鱼类保护区，秋浦河作为秋浦花鳜种质资源保护区，促进水产种质资源的可持续利用。</w:t>
      </w:r>
    </w:p>
    <w:p w14:paraId="3E35B89B">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方正楷体简体" w:hAnsi="方正楷体简体" w:eastAsia="方正楷体简体" w:cs="方正楷体简体"/>
          <w:snapToGrid/>
          <w:kern w:val="2"/>
          <w:sz w:val="32"/>
          <w:szCs w:val="24"/>
          <w:lang w:eastAsia="zh-CN"/>
        </w:rPr>
      </w:pPr>
      <w:r>
        <w:rPr>
          <w:rFonts w:hint="eastAsia" w:ascii="方正楷体简体" w:hAnsi="方正楷体简体" w:eastAsia="方正楷体简体" w:cs="方正楷体简体"/>
          <w:snapToGrid/>
          <w:kern w:val="2"/>
          <w:sz w:val="32"/>
          <w:szCs w:val="24"/>
          <w:lang w:eastAsia="zh-CN"/>
        </w:rPr>
        <w:t>（</w:t>
      </w:r>
      <w:r>
        <w:rPr>
          <w:rFonts w:hint="default" w:ascii="方正楷体简体" w:hAnsi="方正楷体简体" w:eastAsia="方正楷体简体" w:cs="方正楷体简体"/>
          <w:snapToGrid/>
          <w:kern w:val="2"/>
          <w:sz w:val="32"/>
          <w:szCs w:val="24"/>
          <w:lang w:eastAsia="zh-CN"/>
        </w:rPr>
        <w:t>五</w:t>
      </w:r>
      <w:r>
        <w:rPr>
          <w:rFonts w:hint="eastAsia" w:ascii="方正楷体简体" w:hAnsi="方正楷体简体" w:eastAsia="方正楷体简体" w:cs="方正楷体简体"/>
          <w:snapToGrid/>
          <w:kern w:val="2"/>
          <w:sz w:val="32"/>
          <w:szCs w:val="24"/>
          <w:lang w:eastAsia="zh-CN"/>
        </w:rPr>
        <w:t>）</w:t>
      </w:r>
      <w:r>
        <w:rPr>
          <w:rFonts w:hint="default" w:ascii="方正楷体_GBK" w:hAnsi="方正楷体_GBK" w:eastAsia="方正楷体_GBK" w:cs="方正楷体_GBK"/>
          <w:snapToGrid/>
          <w:kern w:val="2"/>
          <w:sz w:val="32"/>
          <w:szCs w:val="24"/>
          <w:lang w:eastAsia="zh-CN"/>
        </w:rPr>
        <w:t>加强对渔业水域生态环境的监督管理</w:t>
      </w:r>
    </w:p>
    <w:p w14:paraId="70074956">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以水生野生动物检疫站建设为契机，加快基础设施建设步伐，建立覆盖全区的渔业环境监测网，建立突发性水域污染事故调查处理快速反应机制，严格按照渔业水域污染事故处理应急预案的有关规定，及时确认污染主体，科学评估渔业资源和渔业生产者损失，依法对渔业污染事故进行调查处理。</w:t>
      </w:r>
    </w:p>
    <w:p w14:paraId="3D6ACF19">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方正楷体简体" w:hAnsi="方正楷体简体" w:eastAsia="方正楷体简体" w:cs="方正楷体简体"/>
          <w:snapToGrid/>
          <w:kern w:val="2"/>
          <w:sz w:val="32"/>
          <w:szCs w:val="24"/>
          <w:lang w:eastAsia="zh-CN"/>
        </w:rPr>
      </w:pPr>
      <w:r>
        <w:rPr>
          <w:rFonts w:hint="eastAsia" w:ascii="方正楷体简体" w:hAnsi="方正楷体简体" w:eastAsia="方正楷体简体" w:cs="方正楷体简体"/>
          <w:snapToGrid/>
          <w:kern w:val="2"/>
          <w:sz w:val="32"/>
          <w:szCs w:val="24"/>
          <w:lang w:eastAsia="zh-CN"/>
        </w:rPr>
        <w:t>（</w:t>
      </w:r>
      <w:r>
        <w:rPr>
          <w:rFonts w:hint="default" w:ascii="方正楷体简体" w:hAnsi="方正楷体简体" w:eastAsia="方正楷体简体" w:cs="方正楷体简体"/>
          <w:snapToGrid/>
          <w:kern w:val="2"/>
          <w:sz w:val="32"/>
          <w:szCs w:val="24"/>
          <w:lang w:eastAsia="zh-CN"/>
        </w:rPr>
        <w:t>六</w:t>
      </w:r>
      <w:r>
        <w:rPr>
          <w:rFonts w:hint="eastAsia" w:ascii="方正楷体简体" w:hAnsi="方正楷体简体" w:eastAsia="方正楷体简体" w:cs="方正楷体简体"/>
          <w:snapToGrid/>
          <w:kern w:val="2"/>
          <w:sz w:val="32"/>
          <w:szCs w:val="24"/>
          <w:lang w:eastAsia="zh-CN"/>
        </w:rPr>
        <w:t>）</w:t>
      </w:r>
      <w:r>
        <w:rPr>
          <w:rFonts w:hint="default" w:ascii="方正楷体_GBK" w:hAnsi="方正楷体_GBK" w:eastAsia="方正楷体_GBK" w:cs="方正楷体_GBK"/>
          <w:snapToGrid/>
          <w:kern w:val="2"/>
          <w:sz w:val="32"/>
          <w:szCs w:val="24"/>
          <w:lang w:eastAsia="zh-CN"/>
        </w:rPr>
        <w:t>开展健康养殖和生态养殖</w:t>
      </w:r>
    </w:p>
    <w:p w14:paraId="3F519E2A">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建立健全水生动物防疫、检疫和渔业病害防治体系，配备技术人员和检测设施，按照《水产养殖质量安全管理规定》</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实施养殖水质监测、环境监控和投入品使用等各项制度，抓好养殖水产品从生产到餐桌的全程监控。积极探索传统方法与现代技术相结合的生态养殖模式，大力推广“渔业+种植业+畜禽养殖业”、池塘上粮下鱼、稻田养殖等健康、生态养殖技术，建立健康养殖和生态养殖示范区，减少水产养殖造成的污染。做好无公害水产品产地认定和无公害、绿色、有机水产品认证工作，严格执行水产品市场准入制度，确保水产品质量安全。</w:t>
      </w:r>
    </w:p>
    <w:p w14:paraId="72BD1EFB">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四、保障措施</w:t>
      </w:r>
    </w:p>
    <w:p w14:paraId="2D735E97">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方正楷体简体" w:hAnsi="方正楷体简体" w:eastAsia="方正楷体简体" w:cs="方正楷体简体"/>
          <w:snapToGrid/>
          <w:kern w:val="2"/>
          <w:sz w:val="32"/>
          <w:szCs w:val="24"/>
          <w:lang w:eastAsia="zh-CN"/>
        </w:rPr>
      </w:pPr>
      <w:r>
        <w:rPr>
          <w:rFonts w:hint="eastAsia" w:ascii="方正楷体简体" w:hAnsi="方正楷体简体" w:eastAsia="方正楷体简体" w:cs="方正楷体简体"/>
          <w:snapToGrid/>
          <w:kern w:val="2"/>
          <w:sz w:val="32"/>
          <w:szCs w:val="24"/>
          <w:lang w:eastAsia="zh-CN"/>
        </w:rPr>
        <w:t>（</w:t>
      </w:r>
      <w:r>
        <w:rPr>
          <w:rFonts w:hint="default" w:ascii="方正楷体简体" w:hAnsi="方正楷体简体" w:eastAsia="方正楷体简体" w:cs="方正楷体简体"/>
          <w:snapToGrid/>
          <w:kern w:val="2"/>
          <w:sz w:val="32"/>
          <w:szCs w:val="24"/>
          <w:lang w:eastAsia="zh-CN"/>
        </w:rPr>
        <w:t>一</w:t>
      </w:r>
      <w:r>
        <w:rPr>
          <w:rFonts w:hint="eastAsia" w:ascii="方正楷体简体" w:hAnsi="方正楷体简体" w:eastAsia="方正楷体简体" w:cs="方正楷体简体"/>
          <w:snapToGrid/>
          <w:kern w:val="2"/>
          <w:sz w:val="32"/>
          <w:szCs w:val="24"/>
          <w:lang w:eastAsia="zh-CN"/>
        </w:rPr>
        <w:t>）</w:t>
      </w:r>
      <w:r>
        <w:rPr>
          <w:rFonts w:hint="default" w:ascii="方正楷体_GBK" w:hAnsi="方正楷体_GBK" w:eastAsia="方正楷体_GBK" w:cs="方正楷体_GBK"/>
          <w:snapToGrid/>
          <w:kern w:val="2"/>
          <w:sz w:val="32"/>
          <w:szCs w:val="24"/>
          <w:lang w:eastAsia="zh-CN"/>
        </w:rPr>
        <w:t>建立执法协调机制</w:t>
      </w:r>
    </w:p>
    <w:p w14:paraId="454E20D1">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区环保、水务、工商、交通、公安、水产等部门要明确职责，加强沟通，密切合作，不断加大综合执法力度，完善以渔业行政主管部门为主体，各有关部门和单位共同参与的渔业资源和水生生态环境养护体系，确保《中国水生生物资源养护行动纲要》贯彻落实到位。</w:t>
      </w:r>
    </w:p>
    <w:p w14:paraId="11659AB3">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方正楷体简体" w:hAnsi="方正楷体简体" w:eastAsia="方正楷体简体" w:cs="方正楷体简体"/>
          <w:snapToGrid/>
          <w:kern w:val="2"/>
          <w:sz w:val="32"/>
          <w:szCs w:val="24"/>
          <w:lang w:eastAsia="zh-CN"/>
        </w:rPr>
      </w:pPr>
      <w:r>
        <w:rPr>
          <w:rFonts w:hint="eastAsia" w:ascii="方正楷体简体" w:hAnsi="方正楷体简体" w:eastAsia="方正楷体简体" w:cs="方正楷体简体"/>
          <w:snapToGrid/>
          <w:kern w:val="2"/>
          <w:sz w:val="32"/>
          <w:szCs w:val="24"/>
          <w:lang w:eastAsia="zh-CN"/>
        </w:rPr>
        <w:t>（</w:t>
      </w:r>
      <w:r>
        <w:rPr>
          <w:rFonts w:hint="default" w:ascii="方正楷体简体" w:hAnsi="方正楷体简体" w:eastAsia="方正楷体简体" w:cs="方正楷体简体"/>
          <w:snapToGrid/>
          <w:kern w:val="2"/>
          <w:sz w:val="32"/>
          <w:szCs w:val="24"/>
          <w:lang w:eastAsia="zh-CN"/>
        </w:rPr>
        <w:t>二</w:t>
      </w:r>
      <w:r>
        <w:rPr>
          <w:rFonts w:hint="eastAsia" w:ascii="方正楷体简体" w:hAnsi="方正楷体简体" w:eastAsia="方正楷体简体" w:cs="方正楷体简体"/>
          <w:snapToGrid/>
          <w:kern w:val="2"/>
          <w:sz w:val="32"/>
          <w:szCs w:val="24"/>
          <w:lang w:eastAsia="zh-CN"/>
        </w:rPr>
        <w:t>）</w:t>
      </w:r>
      <w:r>
        <w:rPr>
          <w:rFonts w:hint="default" w:ascii="方正楷体_GBK" w:hAnsi="方正楷体_GBK" w:eastAsia="方正楷体_GBK" w:cs="方正楷体_GBK"/>
          <w:snapToGrid/>
          <w:kern w:val="2"/>
          <w:sz w:val="32"/>
          <w:szCs w:val="24"/>
          <w:lang w:eastAsia="zh-CN"/>
        </w:rPr>
        <w:t>加大投入力度</w:t>
      </w:r>
    </w:p>
    <w:p w14:paraId="3C3BEFA3">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渔业资源与水域生态环境养护工作是一项社会公益性事业，区财政、科技、水产等部门要在政策、资金、技术上加大对渔业资源和水域生态环境养护工作的支持力度。财政部门要在加大资金投入的同时，合理整合资源保护有关经费并统筹使用。要建立多元化的投入机制，将政府投入、银行贷款、企业资金及个人捐助结合起来，为渔业资源与水域生态环境保护工作提供资金保障。要建立健全水生生物资源有偿使用制度，完善资源与生态补偿机制，按照“谁开发谁保护、谁受益谁补偿、谁损害谁修复”的原则，做好资源增殖保护费和补偿金的收缴工作，并专项用于水生生物资源养护。</w:t>
      </w:r>
    </w:p>
    <w:p w14:paraId="30C95829">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方正楷体简体" w:hAnsi="方正楷体简体" w:eastAsia="方正楷体简体" w:cs="方正楷体简体"/>
          <w:snapToGrid/>
          <w:kern w:val="2"/>
          <w:sz w:val="32"/>
          <w:szCs w:val="24"/>
          <w:lang w:eastAsia="zh-CN"/>
        </w:rPr>
      </w:pPr>
      <w:r>
        <w:rPr>
          <w:rFonts w:hint="eastAsia" w:ascii="方正楷体简体" w:hAnsi="方正楷体简体" w:eastAsia="方正楷体简体" w:cs="方正楷体简体"/>
          <w:snapToGrid/>
          <w:kern w:val="2"/>
          <w:sz w:val="32"/>
          <w:szCs w:val="24"/>
          <w:lang w:eastAsia="zh-CN"/>
        </w:rPr>
        <w:t>（</w:t>
      </w:r>
      <w:r>
        <w:rPr>
          <w:rFonts w:hint="default" w:ascii="方正楷体简体" w:hAnsi="方正楷体简体" w:eastAsia="方正楷体简体" w:cs="方正楷体简体"/>
          <w:snapToGrid/>
          <w:kern w:val="2"/>
          <w:sz w:val="32"/>
          <w:szCs w:val="24"/>
          <w:lang w:eastAsia="zh-CN"/>
        </w:rPr>
        <w:t>三</w:t>
      </w:r>
      <w:r>
        <w:rPr>
          <w:rFonts w:hint="eastAsia" w:ascii="方正楷体简体" w:hAnsi="方正楷体简体" w:eastAsia="方正楷体简体" w:cs="方正楷体简体"/>
          <w:snapToGrid/>
          <w:kern w:val="2"/>
          <w:sz w:val="32"/>
          <w:szCs w:val="24"/>
          <w:lang w:eastAsia="zh-CN"/>
        </w:rPr>
        <w:t>）</w:t>
      </w:r>
      <w:r>
        <w:rPr>
          <w:rFonts w:hint="default" w:ascii="方正楷体_GBK" w:hAnsi="方正楷体_GBK" w:eastAsia="方正楷体_GBK" w:cs="方正楷体_GBK"/>
          <w:snapToGrid/>
          <w:kern w:val="2"/>
          <w:sz w:val="32"/>
          <w:szCs w:val="24"/>
          <w:lang w:eastAsia="zh-CN"/>
        </w:rPr>
        <w:t>建立监督机制</w:t>
      </w:r>
    </w:p>
    <w:p w14:paraId="73564F4C">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各有关部门在处理好水生生物资源养护与渔业生产开发的关系和抓好渔业资源和水域生态环境保护的前提下，有计划、有步骤地抓好渔业生产开发。同时，要建立完善的监督机制，加强对无序开发和破坏资源行为的监督管理，打击一切破坏渔业资源和渔业水域环境的行为，维护正常的渔业生产秩序。</w:t>
      </w:r>
    </w:p>
    <w:p w14:paraId="59D97A10">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方正楷体简体" w:hAnsi="方正楷体简体" w:eastAsia="方正楷体简体" w:cs="方正楷体简体"/>
          <w:snapToGrid/>
          <w:kern w:val="2"/>
          <w:sz w:val="32"/>
          <w:szCs w:val="24"/>
          <w:lang w:eastAsia="zh-CN"/>
        </w:rPr>
      </w:pPr>
      <w:r>
        <w:rPr>
          <w:rFonts w:hint="eastAsia" w:ascii="方正楷体简体" w:hAnsi="方正楷体简体" w:eastAsia="方正楷体简体" w:cs="方正楷体简体"/>
          <w:snapToGrid/>
          <w:kern w:val="2"/>
          <w:sz w:val="32"/>
          <w:szCs w:val="24"/>
          <w:lang w:eastAsia="zh-CN"/>
        </w:rPr>
        <w:t>（</w:t>
      </w:r>
      <w:r>
        <w:rPr>
          <w:rFonts w:hint="default" w:ascii="方正楷体简体" w:hAnsi="方正楷体简体" w:eastAsia="方正楷体简体" w:cs="方正楷体简体"/>
          <w:snapToGrid/>
          <w:kern w:val="2"/>
          <w:sz w:val="32"/>
          <w:szCs w:val="24"/>
          <w:lang w:eastAsia="zh-CN"/>
        </w:rPr>
        <w:t>四</w:t>
      </w:r>
      <w:r>
        <w:rPr>
          <w:rFonts w:hint="eastAsia" w:ascii="方正楷体简体" w:hAnsi="方正楷体简体" w:eastAsia="方正楷体简体" w:cs="方正楷体简体"/>
          <w:snapToGrid/>
          <w:kern w:val="2"/>
          <w:sz w:val="32"/>
          <w:szCs w:val="24"/>
          <w:lang w:eastAsia="zh-CN"/>
        </w:rPr>
        <w:t>）</w:t>
      </w:r>
      <w:r>
        <w:rPr>
          <w:rFonts w:hint="default" w:ascii="方正楷体_GBK" w:hAnsi="方正楷体_GBK" w:eastAsia="方正楷体_GBK" w:cs="方正楷体_GBK"/>
          <w:snapToGrid/>
          <w:kern w:val="2"/>
          <w:sz w:val="32"/>
          <w:szCs w:val="24"/>
          <w:lang w:eastAsia="zh-CN"/>
        </w:rPr>
        <w:t>严格执行各项渔政管理制度</w:t>
      </w:r>
    </w:p>
    <w:p w14:paraId="016ADCC5">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1、严格执行禁渔期、禁渔区制度</w:t>
      </w:r>
    </w:p>
    <w:p w14:paraId="27191F8B">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按照《中华人民共和国渔业法》和《安徽省实施〈中华人民共和国渔业法〉办法》的有关规定，禁止在禁渔期、禁渔区内进行非法捕捞或者收购、运输、储藏、销售非法捕捞的渔获物。在目前对长江贵池段、秋浦河贵池段实行全面禁渔的基础上，要进一步对九华河、青通河、升金湖实行禁渔期制度。</w:t>
      </w:r>
    </w:p>
    <w:p w14:paraId="13E7534E">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2、严格执行渔业捕捞许可制度</w:t>
      </w:r>
    </w:p>
    <w:p w14:paraId="27270FCB">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根据《渔业捕捞许可证管理规定》</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严格渔业捕捞许可证申办条件和程序，加强对渔业捕捞许可证的管理，严格控制捕捞渔船、网具的数量和规格，强化渔船检验和报废制度，确保渔业安全生产。</w:t>
      </w:r>
    </w:p>
    <w:p w14:paraId="428F6751">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3、严格执行捕捞限额制度</w:t>
      </w:r>
    </w:p>
    <w:p w14:paraId="5E2AC2B8">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区渔业行政主管部门要加大执法监督力度，确保捕捞限额制度的有效执行。对于没有开展渔业资源调查评估的水面，区渔业行政主管部门要按照《渔业法》的规定，限期组织有关部门进行调查评估，确定捕捞限额。</w:t>
      </w:r>
    </w:p>
    <w:p w14:paraId="0AC8E090">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4、强化和规范捕捞渔船船员持证上岗制度</w:t>
      </w:r>
    </w:p>
    <w:p w14:paraId="5CA085E8">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区渔业行政主管部门要加强对渔船船员法律法规和专业技能的培训，逐步实行捕捞从业人员资格准入制度，严格控制捕捞从业人员的数量。</w:t>
      </w:r>
    </w:p>
    <w:p w14:paraId="5A485435">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5、建立渔业资源和水域生态环境保护长效机制</w:t>
      </w:r>
    </w:p>
    <w:p w14:paraId="5C71E4DB">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各地各部门要根据我区渔业资源养护行动的近期、中期和远景目标，立足现实，着眼未来，建立健全开展渔业资源和水域生态环境保护工作的长效运行机制，使渔业资源与水域生态环境保护工作做到常抓不懈。</w:t>
      </w:r>
    </w:p>
    <w:p w14:paraId="2EF5F0C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6、加强水产品质量监控工作</w:t>
      </w:r>
    </w:p>
    <w:p w14:paraId="507D6BBC">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加快水生动物检疫检测站建设步伐，建立水产品病害防治体系和检验检疫体系，搞好鱼病防治和水产品质量监控工作。</w:t>
      </w:r>
    </w:p>
    <w:p w14:paraId="7B5B7838">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p>
    <w:p w14:paraId="5DA6535C">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24"/>
        </w:rPr>
      </w:pPr>
    </w:p>
    <w:p w14:paraId="36B99035">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24"/>
        </w:rPr>
      </w:pPr>
    </w:p>
    <w:p w14:paraId="049CE18C">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24"/>
        </w:rPr>
      </w:pPr>
    </w:p>
    <w:sectPr>
      <w:headerReference r:id="rId3" w:type="default"/>
      <w:footerReference r:id="rId4" w:type="default"/>
      <w:pgSz w:w="11905" w:h="16838"/>
      <w:pgMar w:top="1440" w:right="1701" w:bottom="1440" w:left="1701" w:header="720" w:footer="1417" w:gutter="0"/>
      <w:lnNumType w:countBy="0" w:distance="36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embedRegular r:id="rId1" w:fontKey="{D9A295B6-FD77-4DF8-823C-33F4425D245C}"/>
  </w:font>
  <w:font w:name="方正小标宋_GBK">
    <w:panose1 w:val="02000000000000000000"/>
    <w:charset w:val="86"/>
    <w:family w:val="auto"/>
    <w:pitch w:val="default"/>
    <w:sig w:usb0="A00002BF" w:usb1="38CF7CFA" w:usb2="00082016" w:usb3="00000000" w:csb0="00040001" w:csb1="00000000"/>
    <w:embedRegular r:id="rId2" w:fontKey="{10B2EBD9-D058-404C-956E-C4668A912B29}"/>
  </w:font>
  <w:font w:name="方正仿宋_GBK">
    <w:panose1 w:val="02000000000000000000"/>
    <w:charset w:val="86"/>
    <w:family w:val="auto"/>
    <w:pitch w:val="default"/>
    <w:sig w:usb0="A00002BF" w:usb1="38CF7CFA" w:usb2="00082016" w:usb3="00000000" w:csb0="00040001" w:csb1="00000000"/>
    <w:embedRegular r:id="rId3" w:fontKey="{9206DC33-6F9C-4CEB-B78A-4F5CE33F65E5}"/>
  </w:font>
  <w:font w:name="方正黑体_GBK">
    <w:panose1 w:val="02010600010101010101"/>
    <w:charset w:val="86"/>
    <w:family w:val="auto"/>
    <w:pitch w:val="default"/>
    <w:sig w:usb0="00000001" w:usb1="080E0000" w:usb2="00000000" w:usb3="00000000" w:csb0="00040000" w:csb1="00000000"/>
    <w:embedRegular r:id="rId4" w:fontKey="{E0E1456A-879D-4D26-9677-DAC826365DF1}"/>
  </w:font>
  <w:font w:name="方正楷体简体">
    <w:panose1 w:val="02000000000000000000"/>
    <w:charset w:val="86"/>
    <w:family w:val="auto"/>
    <w:pitch w:val="default"/>
    <w:sig w:usb0="A00002BF" w:usb1="184F6CFA" w:usb2="00000012" w:usb3="00000000" w:csb0="00040001" w:csb1="00000000"/>
    <w:embedRegular r:id="rId5" w:fontKey="{54580BA5-AFCF-42BD-A299-042EB6D0888F}"/>
  </w:font>
  <w:font w:name="方正楷体_GBK">
    <w:panose1 w:val="02000000000000000000"/>
    <w:charset w:val="86"/>
    <w:family w:val="auto"/>
    <w:pitch w:val="default"/>
    <w:sig w:usb0="800002BF" w:usb1="38CF7CFA" w:usb2="00000016" w:usb3="00000000" w:csb0="00040000" w:csb1="00000000"/>
    <w:embedRegular r:id="rId6" w:fontKey="{9E02ED88-6DEE-4507-8077-3E3453E99500}"/>
  </w:font>
  <w:font w:name="WPSEMBED1">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FC781">
    <w:pPr>
      <w:pStyle w:val="2"/>
      <w:keepNext w:val="0"/>
      <w:keepLines w:val="0"/>
      <w:pageBreakBefore w:val="0"/>
      <w:widowControl/>
      <w:kinsoku/>
      <w:wordWrap/>
      <w:overflowPunct/>
      <w:topLinePunct w:val="0"/>
      <w:autoSpaceDE/>
      <w:autoSpaceDN/>
      <w:bidi w:val="0"/>
      <w:adjustRightInd/>
      <w:snapToGrid w:val="0"/>
      <w:spacing w:line="400" w:lineRule="exact"/>
      <w:textAlignment w:val="auto"/>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26DB55">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026DB55">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28"/>
        <w:szCs w:val="28"/>
      </w:rPr>
      <mc:AlternateContent>
        <mc:Choice Requires="wps">
          <w:drawing>
            <wp:anchor distT="0" distB="0" distL="114300" distR="114300" simplePos="0" relativeHeight="251661312" behindDoc="0" locked="0" layoutInCell="1" allowOverlap="1">
              <wp:simplePos x="0" y="0"/>
              <wp:positionH relativeFrom="column">
                <wp:posOffset>22225</wp:posOffset>
              </wp:positionH>
              <wp:positionV relativeFrom="paragraph">
                <wp:posOffset>219710</wp:posOffset>
              </wp:positionV>
              <wp:extent cx="5587365" cy="0"/>
              <wp:effectExtent l="0" t="0" r="0" b="0"/>
              <wp:wrapNone/>
              <wp:docPr id="7" name="直接连接符 7"/>
              <wp:cNvGraphicFramePr/>
              <a:graphic xmlns:a="http://schemas.openxmlformats.org/drawingml/2006/main">
                <a:graphicData uri="http://schemas.microsoft.com/office/word/2010/wordprocessingShape">
                  <wps:wsp>
                    <wps:cNvCnPr/>
                    <wps:spPr>
                      <a:xfrm>
                        <a:off x="1102360" y="9399905"/>
                        <a:ext cx="5587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pt;margin-top:17.3pt;height:0pt;width:439.95pt;z-index:251661312;mso-width-relative:page;mso-height-relative:page;" filled="f" stroked="t" coordsize="21600,21600" o:gfxdata="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H8Ia49QAAAAHAQAADwAAAAAAAAABACAAAAAiAAAAZHJzL2Rvd25yZXYueG1sUEsBAhQAFAAA&#10;AAgAh07iQM4HocrzAQAAvQMAAA4AAAAAAAAAAQAgAAAAIwEAAGRycy9lMm9Eb2MueG1sUEsFBgAA&#10;AAAGAAYAWQEAAIgFAAAAAA==&#10;">
              <v:fill on="f" focussize="0,0"/>
              <v:stroke weight="0.5pt" color="#000000 [3200]" miterlimit="8" joinstyle="miter"/>
              <v:imagedata o:title=""/>
              <o:lock v:ext="edit" aspectratio="f"/>
            </v:line>
          </w:pict>
        </mc:Fallback>
      </mc:AlternateContent>
    </w:r>
  </w:p>
  <w:p w14:paraId="2C5F388C">
    <w:pPr>
      <w:pStyle w:val="2"/>
      <w:keepNext w:val="0"/>
      <w:keepLines w:val="0"/>
      <w:pageBreakBefore w:val="0"/>
      <w:widowControl/>
      <w:kinsoku/>
      <w:wordWrap/>
      <w:overflowPunct/>
      <w:topLinePunct w:val="0"/>
      <w:autoSpaceDE/>
      <w:autoSpaceDN/>
      <w:bidi w:val="0"/>
      <w:adjustRightInd/>
      <w:snapToGrid w:val="0"/>
      <w:spacing w:line="400" w:lineRule="exact"/>
      <w:jc w:val="right"/>
      <w:textAlignment w:val="auto"/>
      <w:rPr>
        <w:rFonts w:hint="eastAsia" w:eastAsia="宋体"/>
        <w:sz w:val="28"/>
        <w:szCs w:val="28"/>
        <w:lang w:val="en-US" w:eastAsia="zh-CN"/>
      </w:rPr>
    </w:pPr>
    <w:r>
      <w:rPr>
        <w:sz w:val="28"/>
        <w:szCs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B43D75">
                          <w:pPr>
                            <w:pStyle w:val="2"/>
                            <w:rPr>
                              <w:rFonts w:hint="default" w:ascii="Times New Roman" w:hAnsi="Times New Roman" w:cs="Times New Roman"/>
                              <w:sz w:val="21"/>
                              <w:szCs w:val="21"/>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4B43D75">
                    <w:pPr>
                      <w:pStyle w:val="2"/>
                      <w:rPr>
                        <w:rFonts w:hint="default" w:ascii="Times New Roman" w:hAnsi="Times New Roman" w:cs="Times New Roman"/>
                        <w:sz w:val="21"/>
                        <w:szCs w:val="21"/>
                      </w:rPr>
                    </w:pPr>
                  </w:p>
                </w:txbxContent>
              </v:textbox>
            </v:shape>
          </w:pict>
        </mc:Fallback>
      </mc:AlternateContent>
    </w:r>
    <w:r>
      <w:rPr>
        <w:rFonts w:hint="eastAsia"/>
        <w:sz w:val="28"/>
        <w:szCs w:val="28"/>
        <w:lang w:eastAsia="zh-CN"/>
      </w:rPr>
      <w:t>贵池区人民政府发布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9DC65">
    <w:pPr>
      <w:pStyle w:val="3"/>
      <w:pBdr>
        <w:bottom w:val="single" w:color="auto" w:sz="4" w:space="1"/>
      </w:pBdr>
      <w:ind w:firstLine="540" w:firstLineChars="300"/>
      <w:rPr>
        <w:rFonts w:hint="eastAsia"/>
        <w:sz w:val="32"/>
        <w:szCs w:val="32"/>
      </w:rPr>
    </w:pPr>
    <w:r>
      <w:rPr>
        <w:rFonts w:hint="eastAsia" w:eastAsia="宋体"/>
        <w:lang w:eastAsia="zh-CN"/>
      </w:rPr>
      <w:drawing>
        <wp:anchor distT="0" distB="0" distL="114300" distR="114300" simplePos="0" relativeHeight="251660288" behindDoc="1" locked="0" layoutInCell="1" allowOverlap="1">
          <wp:simplePos x="0" y="0"/>
          <wp:positionH relativeFrom="column">
            <wp:posOffset>23495</wp:posOffset>
          </wp:positionH>
          <wp:positionV relativeFrom="paragraph">
            <wp:posOffset>203200</wp:posOffset>
          </wp:positionV>
          <wp:extent cx="276860" cy="290195"/>
          <wp:effectExtent l="0" t="0" r="8890" b="14605"/>
          <wp:wrapTight wrapText="bothSides">
            <wp:wrapPolygon>
              <wp:start x="0" y="0"/>
              <wp:lineTo x="0" y="19851"/>
              <wp:lineTo x="20114" y="19851"/>
              <wp:lineTo x="20114" y="0"/>
              <wp:lineTo x="0" y="0"/>
            </wp:wrapPolygon>
          </wp:wrapTight>
          <wp:docPr id="6" name="图片 6"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
                  <pic:cNvPicPr>
                    <a:picLocks noChangeAspect="1"/>
                  </pic:cNvPicPr>
                </pic:nvPicPr>
                <pic:blipFill>
                  <a:blip r:embed="rId1"/>
                  <a:stretch>
                    <a:fillRect/>
                  </a:stretch>
                </pic:blipFill>
                <pic:spPr>
                  <a:xfrm>
                    <a:off x="0" y="0"/>
                    <a:ext cx="276860" cy="290195"/>
                  </a:xfrm>
                  <a:prstGeom prst="rect">
                    <a:avLst/>
                  </a:prstGeom>
                </pic:spPr>
              </pic:pic>
            </a:graphicData>
          </a:graphic>
        </wp:anchor>
      </w:drawing>
    </w:r>
  </w:p>
  <w:p w14:paraId="04627A2F">
    <w:pPr>
      <w:pStyle w:val="3"/>
      <w:pBdr>
        <w:bottom w:val="single" w:color="auto" w:sz="4" w:space="1"/>
      </w:pBdr>
      <w:ind w:firstLine="640" w:firstLineChars="200"/>
      <w:rPr>
        <w:rFonts w:hint="eastAsia"/>
        <w:sz w:val="32"/>
        <w:szCs w:val="32"/>
      </w:rPr>
    </w:pPr>
    <w:r>
      <w:rPr>
        <w:rFonts w:hint="eastAsia"/>
        <w:sz w:val="32"/>
        <w:szCs w:val="32"/>
      </w:rPr>
      <w:t>贵池区人民政府行政规范性文件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3NjI2MGJiYjM3OGNiMGY2ZDA3ZGZlMDZkNmIzODkifQ=="/>
  </w:docVars>
  <w:rsids>
    <w:rsidRoot w:val="00172A27"/>
    <w:rsid w:val="05AF179B"/>
    <w:rsid w:val="13E93782"/>
    <w:rsid w:val="150F2679"/>
    <w:rsid w:val="2DE9058E"/>
    <w:rsid w:val="309C2DA2"/>
    <w:rsid w:val="366C7083"/>
    <w:rsid w:val="37EC1B16"/>
    <w:rsid w:val="3B793606"/>
    <w:rsid w:val="4C6B629A"/>
    <w:rsid w:val="4D283E18"/>
    <w:rsid w:val="525767AA"/>
    <w:rsid w:val="5DAE377C"/>
    <w:rsid w:val="5E692F00"/>
    <w:rsid w:val="5F9536C8"/>
    <w:rsid w:val="64331880"/>
    <w:rsid w:val="6DC14400"/>
    <w:rsid w:val="7A2971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eastAsia="宋体" w:asciiTheme="minorHAnsi" w:hAnsiTheme="minorHAnsi" w:cstheme="minorBidi"/>
      <w:kern w:val="2"/>
      <w:sz w:val="21"/>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3556</Words>
  <Characters>3594</Characters>
  <Lines>0</Lines>
  <Paragraphs>0</Paragraphs>
  <TotalTime>13</TotalTime>
  <ScaleCrop>false</ScaleCrop>
  <LinksUpToDate>false</LinksUpToDate>
  <CharactersWithSpaces>3594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2022-10-31T03:43:00Z</dcterms:created>
  <dc:creator>清清的水</dc:creator>
  <cp:lastModifiedBy>KevinWang</cp:lastModifiedBy>
  <dcterms:modified xsi:type="dcterms:W3CDTF">2025-08-25T07:51:28Z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6CE0C9F70B2C466496E438C617F82CDB</vt:lpwstr>
  </property>
  <property fmtid="{D5CDD505-2E9C-101B-9397-08002B2CF9AE}" pid="4" name="KSOTemplateDocerSaveRecord">
    <vt:lpwstr>eyJoZGlkIjoiODA3NjI2MGJiYjM3OGNiMGY2ZDA3ZGZlMDZkNmIzODkiLCJ1c2VySWQiOiIxMDYzNTUxMjk3In0=</vt:lpwstr>
  </property>
</Properties>
</file>