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AE9D4">
      <w:pPr>
        <w:keepNext w:val="0"/>
        <w:keepLines w:val="0"/>
        <w:pageBreakBefore w:val="0"/>
        <w:widowControl/>
        <w:shd w:val="clear"/>
        <w:kinsoku/>
        <w:wordWrap/>
        <w:overflowPunct/>
        <w:topLinePunct w:val="0"/>
        <w:autoSpaceDE/>
        <w:autoSpaceDN/>
        <w:bidi w:val="0"/>
        <w:adjustRightInd/>
        <w:snapToGrid/>
        <w:spacing w:before="0" w:beforeLines="0" w:after="0" w:afterLines="0" w:line="590" w:lineRule="exact"/>
        <w:ind w:left="0" w:right="0" w:firstLine="0"/>
        <w:jc w:val="center"/>
        <w:textAlignment w:val="auto"/>
        <w:rPr>
          <w:rFonts w:hint="eastAsia" w:ascii="方正小标宋简体" w:hAnsi="方正小标宋简体" w:eastAsia="方正小标宋简体" w:cstheme="minorBidi"/>
          <w:spacing w:val="0"/>
          <w:w w:val="100"/>
          <w:kern w:val="2"/>
          <w:position w:val="0"/>
          <w:sz w:val="44"/>
          <w:szCs w:val="24"/>
          <w:shd w:val="clear"/>
        </w:rPr>
      </w:pPr>
      <w:bookmarkStart w:id="0" w:name="bookmark3"/>
      <w:bookmarkStart w:id="1" w:name="bookmark4"/>
      <w:bookmarkStart w:id="2" w:name="bookmark5"/>
    </w:p>
    <w:p w14:paraId="7EE81452">
      <w:pPr>
        <w:keepNext w:val="0"/>
        <w:keepLines w:val="0"/>
        <w:pageBreakBefore w:val="0"/>
        <w:widowControl/>
        <w:shd w:val="clear"/>
        <w:kinsoku/>
        <w:wordWrap/>
        <w:overflowPunct/>
        <w:topLinePunct w:val="0"/>
        <w:autoSpaceDE/>
        <w:autoSpaceDN/>
        <w:bidi w:val="0"/>
        <w:adjustRightInd/>
        <w:snapToGrid/>
        <w:spacing w:before="0" w:beforeLines="0" w:after="0" w:afterLines="0" w:line="590" w:lineRule="exact"/>
        <w:ind w:left="0" w:right="0" w:firstLine="0"/>
        <w:jc w:val="center"/>
        <w:textAlignment w:val="auto"/>
        <w:rPr>
          <w:rFonts w:hint="eastAsia" w:ascii="方正小标宋_GBK" w:hAnsi="方正小标宋_GBK" w:eastAsia="方正小标宋_GBK" w:cs="方正小标宋_GBK"/>
          <w:spacing w:val="0"/>
          <w:w w:val="100"/>
          <w:kern w:val="2"/>
          <w:position w:val="0"/>
          <w:sz w:val="44"/>
          <w:szCs w:val="24"/>
          <w:shd w:val="clear"/>
        </w:rPr>
      </w:pPr>
    </w:p>
    <w:p w14:paraId="254D1617">
      <w:pPr>
        <w:keepNext w:val="0"/>
        <w:keepLines w:val="0"/>
        <w:pageBreakBefore w:val="0"/>
        <w:widowControl/>
        <w:shd w:val="clear"/>
        <w:kinsoku/>
        <w:wordWrap/>
        <w:overflowPunct/>
        <w:topLinePunct w:val="0"/>
        <w:autoSpaceDE/>
        <w:autoSpaceDN/>
        <w:bidi w:val="0"/>
        <w:adjustRightInd/>
        <w:snapToGrid/>
        <w:spacing w:before="0" w:beforeLines="0" w:after="0" w:afterLines="0" w:line="590" w:lineRule="exact"/>
        <w:ind w:left="0" w:right="0" w:firstLine="0"/>
        <w:jc w:val="center"/>
        <w:textAlignment w:val="auto"/>
        <w:rPr>
          <w:rFonts w:hint="eastAsia" w:ascii="方正小标宋_GBK" w:hAnsi="方正小标宋_GBK" w:eastAsia="方正小标宋_GBK" w:cs="方正小标宋_GBK"/>
          <w:spacing w:val="0"/>
          <w:w w:val="100"/>
          <w:kern w:val="2"/>
          <w:position w:val="0"/>
          <w:sz w:val="44"/>
          <w:szCs w:val="24"/>
          <w:shd w:val="clear"/>
        </w:rPr>
      </w:pPr>
      <w:r>
        <w:rPr>
          <w:rFonts w:hint="eastAsia" w:ascii="方正小标宋_GBK" w:hAnsi="方正小标宋_GBK" w:eastAsia="方正小标宋_GBK" w:cs="方正小标宋_GBK"/>
          <w:spacing w:val="0"/>
          <w:w w:val="100"/>
          <w:kern w:val="2"/>
          <w:position w:val="0"/>
          <w:sz w:val="44"/>
          <w:szCs w:val="24"/>
          <w:shd w:val="clear"/>
        </w:rPr>
        <w:t>关于印发池州市贵池区古树名木</w:t>
      </w:r>
      <w:r>
        <w:rPr>
          <w:rFonts w:hint="eastAsia" w:ascii="方正小标宋_GBK" w:hAnsi="方正小标宋_GBK" w:eastAsia="方正小标宋_GBK" w:cs="方正小标宋_GBK"/>
          <w:spacing w:val="0"/>
          <w:w w:val="100"/>
          <w:kern w:val="2"/>
          <w:position w:val="0"/>
          <w:sz w:val="44"/>
          <w:szCs w:val="24"/>
          <w:shd w:val="clear"/>
        </w:rPr>
        <w:br w:type="textWrapping"/>
      </w:r>
      <w:r>
        <w:rPr>
          <w:rFonts w:hint="eastAsia" w:ascii="方正小标宋_GBK" w:hAnsi="方正小标宋_GBK" w:eastAsia="方正小标宋_GBK" w:cs="方正小标宋_GBK"/>
          <w:spacing w:val="0"/>
          <w:w w:val="100"/>
          <w:kern w:val="2"/>
          <w:position w:val="0"/>
          <w:sz w:val="44"/>
          <w:szCs w:val="24"/>
          <w:shd w:val="clear"/>
        </w:rPr>
        <w:t>保护管理办法的通知</w:t>
      </w:r>
      <w:bookmarkEnd w:id="0"/>
      <w:bookmarkEnd w:id="1"/>
      <w:bookmarkEnd w:id="2"/>
    </w:p>
    <w:p w14:paraId="46A5B954">
      <w:pPr>
        <w:shd w:val="clear" w:color="auto" w:fill="auto"/>
        <w:spacing w:beforeLines="0" w:afterLines="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贵政办[2010]79号</w:t>
      </w:r>
    </w:p>
    <w:p w14:paraId="50157B1C">
      <w:pPr>
        <w:keepNext w:val="0"/>
        <w:keepLines w:val="0"/>
        <w:pageBreakBefore w:val="0"/>
        <w:widowControl/>
        <w:shd w:val="clear"/>
        <w:kinsoku/>
        <w:wordWrap/>
        <w:overflowPunct/>
        <w:topLinePunct w:val="0"/>
        <w:autoSpaceDE/>
        <w:autoSpaceDN/>
        <w:bidi w:val="0"/>
        <w:adjustRightInd/>
        <w:snapToGrid/>
        <w:spacing w:before="0" w:beforeLines="0" w:after="0" w:afterLines="0" w:line="590" w:lineRule="exact"/>
        <w:ind w:left="0" w:right="0" w:firstLine="0"/>
        <w:jc w:val="center"/>
        <w:textAlignment w:val="auto"/>
        <w:rPr>
          <w:rFonts w:hint="eastAsia" w:ascii="方正小标宋简体" w:hAnsi="方正小标宋简体" w:eastAsia="方正小标宋简体" w:cstheme="minorBidi"/>
          <w:spacing w:val="0"/>
          <w:w w:val="100"/>
          <w:kern w:val="2"/>
          <w:position w:val="0"/>
          <w:sz w:val="44"/>
          <w:szCs w:val="24"/>
          <w:shd w:val="clear"/>
        </w:rPr>
      </w:pPr>
      <w:bookmarkStart w:id="35" w:name="_GoBack"/>
      <w:bookmarkEnd w:id="35"/>
    </w:p>
    <w:p w14:paraId="14493AF5">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0" w:firstLineChars="0"/>
        <w:jc w:val="left"/>
        <w:textAlignment w:val="auto"/>
        <w:rPr>
          <w:rFonts w:hint="default" w:ascii="Times New Roman" w:hAnsi="Times New Roman" w:eastAsia="方正仿宋_GBK" w:cs="Times New Roman"/>
          <w:spacing w:val="0"/>
          <w:w w:val="100"/>
          <w:kern w:val="2"/>
          <w:position w:val="0"/>
          <w:sz w:val="32"/>
          <w:szCs w:val="24"/>
          <w:shd w:val="clear"/>
        </w:rPr>
      </w:pPr>
      <w:r>
        <w:rPr>
          <w:rFonts w:hint="default" w:ascii="Times New Roman" w:hAnsi="Times New Roman" w:eastAsia="方正仿宋_GBK" w:cs="Times New Roman"/>
          <w:spacing w:val="0"/>
          <w:w w:val="100"/>
          <w:kern w:val="2"/>
          <w:position w:val="0"/>
          <w:sz w:val="32"/>
          <w:szCs w:val="24"/>
          <w:shd w:val="clear"/>
        </w:rPr>
        <w:t>各镇人民政府，街道办事处，贵池工业园区管委会，前江工业园区管委会，区政府各部门，区直属机构：</w:t>
      </w:r>
    </w:p>
    <w:p w14:paraId="51D9A9C5">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640" w:firstLineChars="200"/>
        <w:jc w:val="left"/>
        <w:textAlignment w:val="auto"/>
        <w:rPr>
          <w:rFonts w:hint="default" w:ascii="Times New Roman" w:hAnsi="Times New Roman" w:eastAsia="方正仿宋_GBK" w:cs="Times New Roman"/>
          <w:spacing w:val="0"/>
          <w:w w:val="100"/>
          <w:kern w:val="2"/>
          <w:position w:val="0"/>
          <w:sz w:val="32"/>
          <w:szCs w:val="24"/>
          <w:shd w:val="clear"/>
        </w:rPr>
      </w:pPr>
      <w:r>
        <w:rPr>
          <w:rFonts w:hint="default" w:ascii="Times New Roman" w:hAnsi="Times New Roman" w:eastAsia="方正仿宋_GBK" w:cs="Times New Roman"/>
          <w:spacing w:val="0"/>
          <w:w w:val="100"/>
          <w:kern w:val="2"/>
          <w:position w:val="0"/>
          <w:sz w:val="32"/>
          <w:szCs w:val="24"/>
          <w:shd w:val="clear"/>
        </w:rPr>
        <w:t>经区政府研究同意，现将《贵池区古树名木保护管理办法》印发给你们，请认真贯彻执行。</w:t>
      </w:r>
    </w:p>
    <w:p w14:paraId="786F54CF">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0" w:firstLineChars="0"/>
        <w:jc w:val="left"/>
        <w:textAlignment w:val="auto"/>
        <w:rPr>
          <w:rFonts w:hint="default" w:ascii="Times New Roman" w:hAnsi="Times New Roman" w:eastAsia="方正仿宋_GBK" w:cs="Times New Roman"/>
          <w:spacing w:val="0"/>
          <w:w w:val="100"/>
          <w:kern w:val="2"/>
          <w:position w:val="0"/>
          <w:sz w:val="32"/>
          <w:szCs w:val="24"/>
          <w:shd w:val="clear"/>
        </w:rPr>
      </w:pPr>
      <w:r>
        <w:rPr>
          <w:rFonts w:hint="default" w:ascii="Times New Roman" w:hAnsi="Times New Roman" w:eastAsia="方正仿宋_GBK" w:cs="Times New Roman"/>
          <w:spacing w:val="0"/>
          <w:w w:val="100"/>
          <w:kern w:val="2"/>
          <w:position w:val="0"/>
          <w:sz w:val="32"/>
          <w:szCs w:val="24"/>
          <w:shd w:val="clear"/>
        </w:rPr>
        <w:t>附件：《池州市贵池区古树名木保护管理办法》</w:t>
      </w:r>
    </w:p>
    <w:p w14:paraId="45FE68FA">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0" w:firstLineChars="0"/>
        <w:jc w:val="left"/>
        <w:textAlignment w:val="auto"/>
        <w:rPr>
          <w:rFonts w:hint="default" w:ascii="Times New Roman" w:hAnsi="Times New Roman" w:eastAsia="方正仿宋_GBK" w:cs="Times New Roman"/>
          <w:spacing w:val="0"/>
          <w:w w:val="100"/>
          <w:kern w:val="2"/>
          <w:position w:val="0"/>
          <w:sz w:val="32"/>
          <w:szCs w:val="24"/>
          <w:shd w:val="clear"/>
        </w:rPr>
      </w:pPr>
    </w:p>
    <w:p w14:paraId="551E22E4">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0" w:firstLineChars="0"/>
        <w:jc w:val="left"/>
        <w:textAlignment w:val="auto"/>
        <w:rPr>
          <w:rFonts w:hint="default" w:ascii="Times New Roman" w:hAnsi="Times New Roman" w:eastAsia="方正仿宋_GBK" w:cs="Times New Roman"/>
          <w:spacing w:val="0"/>
          <w:w w:val="100"/>
          <w:kern w:val="2"/>
          <w:position w:val="0"/>
          <w:sz w:val="32"/>
          <w:szCs w:val="24"/>
          <w:shd w:val="clear"/>
        </w:rPr>
      </w:pPr>
    </w:p>
    <w:p w14:paraId="1D39D434">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0" w:firstLineChars="0"/>
        <w:jc w:val="left"/>
        <w:textAlignment w:val="auto"/>
        <w:rPr>
          <w:rFonts w:hint="default" w:ascii="Times New Roman" w:hAnsi="Times New Roman" w:eastAsia="方正仿宋_GBK" w:cs="Times New Roman"/>
          <w:spacing w:val="0"/>
          <w:w w:val="100"/>
          <w:kern w:val="2"/>
          <w:position w:val="0"/>
          <w:sz w:val="32"/>
          <w:szCs w:val="24"/>
          <w:shd w:val="clear"/>
        </w:rPr>
      </w:pPr>
    </w:p>
    <w:p w14:paraId="25AF6A62">
      <w:pPr>
        <w:keepNext w:val="0"/>
        <w:keepLines w:val="0"/>
        <w:pageBreakBefore w:val="0"/>
        <w:widowControl/>
        <w:shd w:val="clear"/>
        <w:kinsoku/>
        <w:wordWrap/>
        <w:overflowPunct/>
        <w:topLinePunct w:val="0"/>
        <w:autoSpaceDE/>
        <w:autoSpaceDN/>
        <w:bidi w:val="0"/>
        <w:adjustRightInd/>
        <w:snapToGrid/>
        <w:spacing w:before="0" w:after="0" w:line="590" w:lineRule="exact"/>
        <w:ind w:left="0" w:leftChars="0" w:right="0" w:firstLine="3520" w:firstLineChars="1100"/>
        <w:jc w:val="left"/>
        <w:textAlignment w:val="auto"/>
        <w:rPr>
          <w:rFonts w:hint="default" w:ascii="Times New Roman" w:hAnsi="Times New Roman" w:eastAsia="方正仿宋_GBK" w:cs="Times New Roman"/>
          <w:spacing w:val="0"/>
          <w:w w:val="100"/>
          <w:kern w:val="2"/>
          <w:position w:val="0"/>
          <w:sz w:val="32"/>
          <w:szCs w:val="24"/>
          <w:shd w:val="clear"/>
        </w:rPr>
      </w:pPr>
      <w:r>
        <w:rPr>
          <w:rFonts w:hint="default" w:ascii="Times New Roman" w:hAnsi="Times New Roman" w:eastAsia="方正仿宋_GBK" w:cs="Times New Roman"/>
          <w:color w:val="000000" w:themeColor="text1"/>
          <w:sz w:val="32"/>
          <w:szCs w:val="32"/>
          <w:shd w:val="clear" w:color="auto" w:fill="FFFFFF"/>
          <w14:textFill>
            <w14:solidFill>
              <w14:schemeClr w14:val="tx1"/>
            </w14:solidFill>
          </w14:textFill>
        </w:rPr>
        <w:drawing>
          <wp:inline distT="0" distB="0" distL="114300" distR="114300">
            <wp:extent cx="8255" cy="8255"/>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0"/>
                    <a:stretch>
                      <a:fillRect/>
                    </a:stretch>
                  </pic:blipFill>
                  <pic:spPr>
                    <a:xfrm>
                      <a:off x="0" y="0"/>
                      <a:ext cx="8255" cy="8255"/>
                    </a:xfrm>
                    <a:prstGeom prst="rect">
                      <a:avLst/>
                    </a:prstGeom>
                    <a:noFill/>
                    <a:ln>
                      <a:noFill/>
                    </a:ln>
                  </pic:spPr>
                </pic:pic>
              </a:graphicData>
            </a:graphic>
          </wp:inline>
        </w:drawing>
      </w:r>
      <w:r>
        <w:rPr>
          <w:rFonts w:hint="eastAsia" w:ascii="Times New Roman" w:hAnsi="Times New Roman" w:eastAsia="方正仿宋_GBK" w:cs="Times New Roman"/>
          <w:snapToGrid w:val="0"/>
          <w:color w:val="000000"/>
          <w:spacing w:val="0"/>
          <w:kern w:val="0"/>
          <w:position w:val="0"/>
          <w:sz w:val="32"/>
          <w:szCs w:val="32"/>
          <w:lang w:val="en-US" w:eastAsia="zh-CN"/>
        </w:rPr>
        <w:t> </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池州市贵池区人民政府</w:t>
      </w:r>
      <w:r>
        <w:rPr>
          <w:rFonts w:hint="eastAsia" w:ascii="Times New Roman" w:hAnsi="Times New Roman" w:eastAsia="方正仿宋_GBK" w:cs="Times New Roman"/>
          <w:i w:val="0"/>
          <w:iCs w:val="0"/>
          <w:caps w:val="0"/>
          <w:color w:val="000000" w:themeColor="text1"/>
          <w:spacing w:val="0"/>
          <w:sz w:val="32"/>
          <w:szCs w:val="32"/>
          <w:shd w:val="clear" w:fill="FFFFFF"/>
          <w:lang w:eastAsia="zh-CN"/>
          <w14:textFill>
            <w14:solidFill>
              <w14:schemeClr w14:val="tx1"/>
            </w14:solidFill>
          </w14:textFill>
        </w:rPr>
        <w:t>办公室</w:t>
      </w:r>
    </w:p>
    <w:p w14:paraId="3407AC51">
      <w:pPr>
        <w:keepNext w:val="0"/>
        <w:keepLines w:val="0"/>
        <w:pageBreakBefore w:val="0"/>
        <w:widowControl/>
        <w:shd w:val="clear" w:color="auto" w:fill="auto"/>
        <w:kinsoku/>
        <w:wordWrap w:val="0"/>
        <w:overflowPunct/>
        <w:topLinePunct w:val="0"/>
        <w:autoSpaceDE/>
        <w:autoSpaceDN/>
        <w:bidi w:val="0"/>
        <w:adjustRightInd/>
        <w:snapToGrid/>
        <w:spacing w:before="0" w:after="0" w:line="590" w:lineRule="exact"/>
        <w:ind w:left="0" w:leftChars="0" w:right="0" w:firstLine="0" w:firstLineChars="0"/>
        <w:jc w:val="right"/>
        <w:textAlignment w:val="auto"/>
        <w:rPr>
          <w:rFonts w:hint="default" w:ascii="Times New Roman" w:hAnsi="Times New Roman" w:eastAsia="方正仿宋_GBK" w:cs="Times New Roman"/>
          <w:spacing w:val="0"/>
          <w:w w:val="100"/>
          <w:kern w:val="2"/>
          <w:position w:val="0"/>
          <w:sz w:val="32"/>
          <w:szCs w:val="24"/>
          <w:shd w:val="clear"/>
          <w:lang w:val="en-US" w:eastAsia="zh-CN"/>
        </w:rPr>
      </w:pPr>
      <w:r>
        <w:rPr>
          <w:rFonts w:hint="default" w:ascii="Times New Roman" w:hAnsi="Times New Roman" w:eastAsia="方正仿宋_GBK" w:cs="Times New Roman"/>
          <w:spacing w:val="0"/>
          <w:w w:val="100"/>
          <w:kern w:val="2"/>
          <w:position w:val="0"/>
          <w:sz w:val="32"/>
          <w:szCs w:val="24"/>
          <w:shd w:val="clear"/>
        </w:rPr>
        <w:t>二</w:t>
      </w:r>
      <w:r>
        <w:rPr>
          <w:rFonts w:ascii="宋体" w:hAnsi="宋体" w:eastAsia="宋体" w:cs="宋体"/>
          <w:sz w:val="24"/>
          <w:szCs w:val="24"/>
        </w:rPr>
        <w:t>〇</w:t>
      </w:r>
      <w:r>
        <w:rPr>
          <w:rFonts w:hint="default" w:ascii="Times New Roman" w:hAnsi="Times New Roman" w:eastAsia="方正仿宋_GBK" w:cs="Times New Roman"/>
          <w:spacing w:val="0"/>
          <w:w w:val="100"/>
          <w:kern w:val="2"/>
          <w:position w:val="0"/>
          <w:sz w:val="32"/>
          <w:szCs w:val="24"/>
          <w:shd w:val="clear"/>
        </w:rPr>
        <w:t>一</w:t>
      </w:r>
      <w:r>
        <w:rPr>
          <w:rFonts w:ascii="宋体" w:hAnsi="宋体" w:eastAsia="宋体" w:cs="宋体"/>
          <w:sz w:val="24"/>
          <w:szCs w:val="24"/>
        </w:rPr>
        <w:t>〇</w:t>
      </w:r>
      <w:r>
        <w:rPr>
          <w:rFonts w:hint="default" w:ascii="Times New Roman" w:hAnsi="Times New Roman" w:eastAsia="方正仿宋_GBK" w:cs="Times New Roman"/>
          <w:spacing w:val="0"/>
          <w:w w:val="100"/>
          <w:kern w:val="2"/>
          <w:position w:val="0"/>
          <w:sz w:val="32"/>
          <w:szCs w:val="24"/>
          <w:shd w:val="clear"/>
        </w:rPr>
        <w:t>年十二月二十七日</w:t>
      </w:r>
      <w:r>
        <w:rPr>
          <w:rFonts w:hint="eastAsia" w:eastAsia="方正仿宋_GBK" w:cs="Times New Roman"/>
          <w:spacing w:val="0"/>
          <w:w w:val="100"/>
          <w:kern w:val="2"/>
          <w:position w:val="0"/>
          <w:sz w:val="32"/>
          <w:szCs w:val="24"/>
          <w:shd w:val="clear"/>
          <w:lang w:val="en-US" w:eastAsia="zh-CN"/>
        </w:rPr>
        <w:t xml:space="preserve">          </w:t>
      </w:r>
    </w:p>
    <w:p w14:paraId="701391D0">
      <w:pPr>
        <w:rPr>
          <w:color w:val="000000"/>
          <w:spacing w:val="0"/>
          <w:w w:val="100"/>
          <w:position w:val="0"/>
        </w:rPr>
      </w:pPr>
      <w:bookmarkStart w:id="3" w:name="bookmark6"/>
      <w:bookmarkStart w:id="4" w:name="bookmark8"/>
      <w:bookmarkStart w:id="5" w:name="bookmark7"/>
      <w:r>
        <w:rPr>
          <w:color w:val="000000"/>
          <w:spacing w:val="0"/>
          <w:w w:val="100"/>
          <w:position w:val="0"/>
        </w:rPr>
        <w:br w:type="page"/>
      </w:r>
    </w:p>
    <w:p w14:paraId="1F045C9D">
      <w:pPr>
        <w:pStyle w:val="15"/>
        <w:keepNext/>
        <w:keepLines/>
        <w:pageBreakBefore w:val="0"/>
        <w:widowControl w:val="0"/>
        <w:shd w:val="clear" w:color="auto" w:fill="auto"/>
        <w:kinsoku/>
        <w:wordWrap/>
        <w:overflowPunct/>
        <w:topLinePunct w:val="0"/>
        <w:autoSpaceDE/>
        <w:autoSpaceDN/>
        <w:bidi w:val="0"/>
        <w:adjustRightInd/>
        <w:snapToGrid/>
        <w:spacing w:before="0" w:line="590" w:lineRule="exact"/>
        <w:ind w:left="0" w:right="0" w:firstLine="0"/>
        <w:jc w:val="center"/>
        <w:textAlignment w:val="auto"/>
        <w:rPr>
          <w:color w:val="000000"/>
          <w:spacing w:val="0"/>
          <w:w w:val="100"/>
          <w:position w:val="0"/>
        </w:rPr>
      </w:pPr>
    </w:p>
    <w:p w14:paraId="59F1B5E6">
      <w:pPr>
        <w:keepNext w:val="0"/>
        <w:keepLines w:val="0"/>
        <w:pageBreakBefore w:val="0"/>
        <w:widowControl/>
        <w:shd w:val="clear" w:color="auto" w:fill="auto"/>
        <w:kinsoku/>
        <w:wordWrap/>
        <w:overflowPunct/>
        <w:topLinePunct w:val="0"/>
        <w:autoSpaceDE/>
        <w:autoSpaceDN/>
        <w:bidi w:val="0"/>
        <w:adjustRightInd/>
        <w:snapToGrid/>
        <w:spacing w:before="0" w:beforeLines="0" w:after="0" w:afterLines="0" w:line="590" w:lineRule="exact"/>
        <w:ind w:left="0" w:right="0" w:firstLine="0"/>
        <w:jc w:val="center"/>
        <w:textAlignment w:val="auto"/>
        <w:rPr>
          <w:rFonts w:hint="eastAsia" w:ascii="方正小标宋_GBK" w:hAnsi="方正小标宋_GBK" w:eastAsia="方正小标宋_GBK" w:cs="方正小标宋_GBK"/>
          <w:spacing w:val="0"/>
          <w:w w:val="100"/>
          <w:kern w:val="2"/>
          <w:position w:val="0"/>
          <w:sz w:val="44"/>
          <w:szCs w:val="24"/>
          <w:shd w:val="clear"/>
        </w:rPr>
      </w:pPr>
      <w:r>
        <w:rPr>
          <w:rFonts w:hint="eastAsia" w:ascii="方正小标宋_GBK" w:hAnsi="方正小标宋_GBK" w:eastAsia="方正小标宋_GBK" w:cs="方正小标宋_GBK"/>
          <w:spacing w:val="0"/>
          <w:w w:val="100"/>
          <w:kern w:val="2"/>
          <w:position w:val="0"/>
          <w:sz w:val="44"/>
          <w:szCs w:val="24"/>
          <w:shd w:val="clear"/>
        </w:rPr>
        <w:t>池州市贵池区古树名木保护管理办法</w:t>
      </w:r>
      <w:bookmarkEnd w:id="3"/>
      <w:bookmarkEnd w:id="4"/>
      <w:bookmarkEnd w:id="5"/>
    </w:p>
    <w:p w14:paraId="4FFB4064">
      <w:pPr>
        <w:keepNext w:val="0"/>
        <w:keepLines w:val="0"/>
        <w:pageBreakBefore w:val="0"/>
        <w:widowControl/>
        <w:shd w:val="clear" w:color="auto" w:fill="auto"/>
        <w:kinsoku/>
        <w:wordWrap/>
        <w:overflowPunct/>
        <w:topLinePunct w:val="0"/>
        <w:autoSpaceDE/>
        <w:autoSpaceDN/>
        <w:bidi w:val="0"/>
        <w:adjustRightInd/>
        <w:snapToGrid/>
        <w:spacing w:before="0" w:beforeLines="0" w:after="0" w:afterLines="0" w:line="590" w:lineRule="exact"/>
        <w:ind w:left="0" w:right="0" w:firstLine="0"/>
        <w:jc w:val="center"/>
        <w:textAlignment w:val="auto"/>
        <w:rPr>
          <w:rFonts w:hint="default" w:ascii="方正小标宋简体" w:hAnsi="方正小标宋简体" w:eastAsia="方正小标宋简体" w:cstheme="minorBidi"/>
          <w:spacing w:val="0"/>
          <w:w w:val="100"/>
          <w:kern w:val="2"/>
          <w:position w:val="0"/>
          <w:sz w:val="44"/>
          <w:szCs w:val="24"/>
          <w:shd w:val="clear"/>
        </w:rPr>
      </w:pPr>
    </w:p>
    <w:p w14:paraId="3D3E3E75">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1"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第一条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为了加强古树名木保护，合理利用古树名木资源，促进生态文明建设，根据《中华人民共和国森林法》、《安徽省古树名木保护条例》等法律、行政法规，结合本区实际，制定本办法。</w:t>
      </w:r>
    </w:p>
    <w:p w14:paraId="73FB8351">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605"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本办法适用于本区行政区域内古树名木的保护管理。</w:t>
      </w:r>
    </w:p>
    <w:p w14:paraId="2E6E9081">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本办法所指古树，是指树龄100年以上的树木。</w:t>
      </w:r>
    </w:p>
    <w:p w14:paraId="7D69AC6A">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本办法所指名木，是指具有历史价值或者重要纪念意义的树木。</w:t>
      </w:r>
    </w:p>
    <w:p w14:paraId="6F33FE9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第三条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古树名木实行属地保护管理。保护古树名木坚持以政府保护为主，专业保护与公众保护相结合的原则。</w:t>
      </w:r>
    </w:p>
    <w:p w14:paraId="7E24AB83">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第四条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各镇人民政府、街道办事处应加强对古树名木保护的宣传教育,增强公众保护意识，鼓励和促进古树名木保护的科学研究</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lang w:val="zh-CN" w:eastAsia="zh-CN"/>
        </w:rPr>
        <w:t>，推广</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古树名木保护的科研成果和技术,提高古树名木的保护水平。</w:t>
      </w:r>
    </w:p>
    <w:p w14:paraId="20993945">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区财政应当按照古树名木保护级别，分别安排经费，专项用于古树名木的资源调查、认定、保护、抢救以及古树名木保护的宣传、培训等工作。</w:t>
      </w:r>
    </w:p>
    <w:p w14:paraId="21009085">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47"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第五条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区政府绿化委员会统一组织、协调本行政区域内古树名木的保护管理工作。</w:t>
      </w:r>
    </w:p>
    <w:p w14:paraId="6CD73C57">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6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区林业局、区住建委等行政主管部门按照各自职责，负责古树名木的保护管理工作。</w:t>
      </w:r>
    </w:p>
    <w:p w14:paraId="7A45941F">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1"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第六条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鼓励单位和个人向国家捐献古树名木以及捐资保护、认养古树名木。</w:t>
      </w:r>
    </w:p>
    <w:p w14:paraId="1D0FDABB">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57"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对捐献古树名木以及保护古树名木成绩显著的单位或者个人，给予表彰或奖励。</w:t>
      </w:r>
    </w:p>
    <w:p w14:paraId="293BCE81">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第七条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区林业行政主管部门每5年对本行政区域内古树名木资源进行普查，对古树名木进行登记、编号、拍照，建立资源档案。</w:t>
      </w:r>
    </w:p>
    <w:p w14:paraId="181C0D0A">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9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鼓励单位和个人向区林业行政主管部门报告发现的古树名木资源。接到报告的林业行政主管部门应当及时进行调查，更新古树名木资源档案。</w:t>
      </w:r>
    </w:p>
    <w:p w14:paraId="6CC0309F">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93"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第八条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古树按照下列标准分级：</w:t>
      </w:r>
    </w:p>
    <w:p w14:paraId="7384917C">
      <w:pPr>
        <w:pStyle w:val="11"/>
        <w:keepNext w:val="0"/>
        <w:keepLines w:val="0"/>
        <w:pageBreakBefore w:val="0"/>
        <w:widowControl w:val="0"/>
        <w:shd w:val="clear" w:color="auto" w:fill="auto"/>
        <w:tabs>
          <w:tab w:val="left" w:pos="1597"/>
        </w:tabs>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6" w:name="bookmark9"/>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6"/>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一）树龄500年以上的古树为一级；</w:t>
      </w:r>
    </w:p>
    <w:p w14:paraId="3085EB75">
      <w:pPr>
        <w:pStyle w:val="11"/>
        <w:keepNext w:val="0"/>
        <w:keepLines w:val="0"/>
        <w:pageBreakBefore w:val="0"/>
        <w:widowControl w:val="0"/>
        <w:shd w:val="clear" w:color="auto" w:fill="auto"/>
        <w:tabs>
          <w:tab w:val="left" w:pos="1597"/>
        </w:tabs>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7" w:name="bookmark10"/>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7"/>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二）树龄300年以上不满500年的古树为二级；</w:t>
      </w:r>
    </w:p>
    <w:p w14:paraId="1FECB76E">
      <w:pPr>
        <w:pStyle w:val="11"/>
        <w:keepNext w:val="0"/>
        <w:keepLines w:val="0"/>
        <w:pageBreakBefore w:val="0"/>
        <w:widowControl w:val="0"/>
        <w:shd w:val="clear" w:color="auto" w:fill="auto"/>
        <w:tabs>
          <w:tab w:val="left" w:pos="1597"/>
        </w:tabs>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8" w:name="bookmark11"/>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8"/>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三）树龄100年以上不满300年的古树为三级。</w:t>
      </w:r>
    </w:p>
    <w:p w14:paraId="0993C430">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名木按照一级古树保护。</w:t>
      </w:r>
    </w:p>
    <w:p w14:paraId="7E5A172C">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第九条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古树名木按照下列规定进行认定：</w:t>
      </w:r>
    </w:p>
    <w:p w14:paraId="4AD12F6A">
      <w:pPr>
        <w:pStyle w:val="11"/>
        <w:keepNext w:val="0"/>
        <w:keepLines w:val="0"/>
        <w:pageBreakBefore w:val="0"/>
        <w:widowControl w:val="0"/>
        <w:shd w:val="clear" w:color="auto" w:fill="auto"/>
        <w:tabs>
          <w:tab w:val="left" w:pos="1698"/>
        </w:tabs>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9" w:name="bookmark12"/>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9"/>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一）一级古树、名木由省人民政府绿化委员会组织林业、城市绿化行政主管部门成立专家委员会进行鉴定，报省人民政府认定后公布；</w:t>
      </w:r>
    </w:p>
    <w:p w14:paraId="3726C5A3">
      <w:pPr>
        <w:pStyle w:val="11"/>
        <w:keepNext w:val="0"/>
        <w:keepLines w:val="0"/>
        <w:pageBreakBefore w:val="0"/>
        <w:widowControl w:val="0"/>
        <w:shd w:val="clear" w:color="auto" w:fill="auto"/>
        <w:tabs>
          <w:tab w:val="left" w:pos="1707"/>
        </w:tabs>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0" w:name="bookmark13"/>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0"/>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二）二级古树由设区的市人民政府绿化委员会组织林业、城市绿化行政主管部门成立专家委员会进行鉴定，报设区的市人民政府认定后公布；</w:t>
      </w:r>
    </w:p>
    <w:p w14:paraId="43570FC8">
      <w:pPr>
        <w:pStyle w:val="11"/>
        <w:keepNext w:val="0"/>
        <w:keepLines w:val="0"/>
        <w:pageBreakBefore w:val="0"/>
        <w:widowControl w:val="0"/>
        <w:shd w:val="clear" w:color="auto" w:fill="auto"/>
        <w:tabs>
          <w:tab w:val="left" w:pos="920"/>
        </w:tabs>
        <w:kinsoku/>
        <w:wordWrap/>
        <w:overflowPunct/>
        <w:topLinePunct w:val="0"/>
        <w:autoSpaceDE/>
        <w:autoSpaceDN/>
        <w:bidi w:val="0"/>
        <w:adjustRightInd/>
        <w:snapToGrid/>
        <w:spacing w:before="0" w:after="0" w:line="581" w:lineRule="exact"/>
        <w:ind w:left="0" w:right="0" w:firstLine="680"/>
        <w:jc w:val="left"/>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1" w:name="bookmark14"/>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1"/>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三）三级古树由区人民政府绿化委员会组织林业行政主管部门成立专家委员会进行鉴定，报区人民政府认定后公布。</w:t>
      </w:r>
    </w:p>
    <w:p w14:paraId="01BA5E8B">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有关单位或者个人对古树名木的认定有异议的，可以向区人民政府绿化委员会提出，区人民政府绿化委员会根据具体情况，可以重新组织鉴定。</w:t>
      </w:r>
    </w:p>
    <w:p w14:paraId="5F10F2AD">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区林业行政主管部门可以根据当地古树名木资源情况，每5年确定一批树龄接近100年的树木作为古树后备资源，参照三级古树的保护措施实行保护。</w:t>
      </w:r>
    </w:p>
    <w:p w14:paraId="31E553DB">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第十一条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区林业行政主管部门按照下列规定，确定古树名木的养护责任单位：</w:t>
      </w:r>
    </w:p>
    <w:p w14:paraId="0E531D13">
      <w:pPr>
        <w:pStyle w:val="11"/>
        <w:keepNext w:val="0"/>
        <w:keepLines w:val="0"/>
        <w:pageBreakBefore w:val="0"/>
        <w:widowControl w:val="0"/>
        <w:shd w:val="clear" w:color="auto" w:fill="auto"/>
        <w:tabs>
          <w:tab w:val="left" w:pos="1688"/>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2" w:name="bookmark15"/>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2"/>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一）在机关、部队、企业事业单位等用地范围内的古树名木，所在单位为养护责任单位；</w:t>
      </w:r>
    </w:p>
    <w:p w14:paraId="173FC041">
      <w:pPr>
        <w:pStyle w:val="11"/>
        <w:keepNext w:val="0"/>
        <w:keepLines w:val="0"/>
        <w:pageBreakBefore w:val="0"/>
        <w:widowControl w:val="0"/>
        <w:shd w:val="clear" w:color="auto" w:fill="auto"/>
        <w:tabs>
          <w:tab w:val="left" w:pos="1683"/>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3" w:name="bookmark16"/>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3"/>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二）在铁路、公路、江河堤坝和水库湖渠用地范围内的古树名木，铁路、公路和水利工程管理单位为养护责任单位；</w:t>
      </w:r>
    </w:p>
    <w:p w14:paraId="33535643">
      <w:pPr>
        <w:pStyle w:val="11"/>
        <w:keepNext w:val="0"/>
        <w:keepLines w:val="0"/>
        <w:pageBreakBefore w:val="0"/>
        <w:widowControl w:val="0"/>
        <w:shd w:val="clear" w:color="auto" w:fill="auto"/>
        <w:tabs>
          <w:tab w:val="left" w:pos="1693"/>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4" w:name="bookmark17"/>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4"/>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三）在自然保护区、森林公园、风景名胜区、地质公园等用地范围内的古树名木，该园区的管理机构为养护责任单位；</w:t>
      </w:r>
    </w:p>
    <w:p w14:paraId="56BEB401">
      <w:pPr>
        <w:pStyle w:val="11"/>
        <w:keepNext w:val="0"/>
        <w:keepLines w:val="0"/>
        <w:pageBreakBefore w:val="0"/>
        <w:widowControl w:val="0"/>
        <w:shd w:val="clear" w:color="auto" w:fill="auto"/>
        <w:tabs>
          <w:tab w:val="left" w:pos="1688"/>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5" w:name="bookmark18"/>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5"/>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四）在文物保护单位、寺庙等用地范围内的古树名木，所在单位为养护责任单位；</w:t>
      </w:r>
    </w:p>
    <w:p w14:paraId="4604D7D9">
      <w:pPr>
        <w:pStyle w:val="11"/>
        <w:keepNext w:val="0"/>
        <w:keepLines w:val="0"/>
        <w:pageBreakBefore w:val="0"/>
        <w:widowControl w:val="0"/>
        <w:shd w:val="clear" w:color="auto" w:fill="auto"/>
        <w:tabs>
          <w:tab w:val="left" w:pos="1666"/>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6" w:name="bookmark19"/>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6"/>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五）在城市道路、街巷、绿地以及其他公共设施用地范围内的古树名木，城市园林绿化管理单位为养护责任单位；</w:t>
      </w:r>
    </w:p>
    <w:p w14:paraId="6FB763E8">
      <w:pPr>
        <w:pStyle w:val="11"/>
        <w:keepNext w:val="0"/>
        <w:keepLines w:val="0"/>
        <w:pageBreakBefore w:val="0"/>
        <w:widowControl w:val="0"/>
        <w:shd w:val="clear" w:color="auto" w:fill="auto"/>
        <w:tabs>
          <w:tab w:val="left" w:pos="1669"/>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7" w:name="bookmark20"/>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7"/>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六）在农村集体所有土地范围内的古树名木，该村民委员会或者村民小组为养护责任单位。</w:t>
      </w:r>
    </w:p>
    <w:p w14:paraId="1ECAEB8E">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私人所有的古树名木，所有者为养护责任人。</w:t>
      </w:r>
    </w:p>
    <w:p w14:paraId="108CFBE8">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4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sectPr>
          <w:headerReference r:id="rId5" w:type="default"/>
          <w:footerReference r:id="rId6" w:type="default"/>
          <w:footnotePr>
            <w:numFmt w:val="decimal"/>
          </w:footnotePr>
          <w:pgSz w:w="11900" w:h="16840"/>
          <w:pgMar w:top="1440" w:right="1701" w:bottom="1440" w:left="1701" w:header="1134" w:footer="1134" w:gutter="0"/>
          <w:pgNumType w:start="1"/>
          <w:cols w:space="0" w:num="1"/>
          <w:rtlGutter w:val="0"/>
          <w:docGrid w:linePitch="360" w:charSpace="0"/>
        </w:sect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在城市住宅小区范围内的古树名木，由住宅小区所在地街</w:t>
      </w:r>
    </w:p>
    <w:p w14:paraId="55644DFD">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道办事处组织养护。</w:t>
      </w:r>
    </w:p>
    <w:p w14:paraId="6B59DDB0">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有关单位或者个人对确定的古树名木养护责任有异议的，可以向林业行政主管部门申请复核。</w:t>
      </w:r>
    </w:p>
    <w:p w14:paraId="37F90916">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第十二条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区林业行政主管部门应当与养护责任单位或者个人签订养护责任书，明确养护责任和义务。</w:t>
      </w:r>
    </w:p>
    <w:p w14:paraId="6A78B0F6">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61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养护责任单位或者个人应当加强对古树名木的日常养护，保障古树名木正常生长，防范和制止各种损害古树名木的行为，并接受辖区林业站的技术指导和监督检查。</w:t>
      </w:r>
    </w:p>
    <w:p w14:paraId="3AFC3AC3">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遭受有害生物危害或者人为和自然损伤，出现明显的生长衰弱、濒危症状的，养护责任单位或者个人应当及时报告所辖地的林业站。林业站应当在接到报告后及时组织专业技术人员进行现场调查，并采取相应措施对古树名木进行抢救和复壮。</w:t>
      </w:r>
    </w:p>
    <w:p w14:paraId="3FC6A674">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第十三条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古树名木的日常养护费用，由养护责任单位或者个人承担。区林业局应当根据具体情况，对古树名木养护责任单位或者个人给予适当补助。</w:t>
      </w:r>
    </w:p>
    <w:p w14:paraId="29C0D2C6">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第十四条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区林业行政主管部门应当加强对古树名木保护的监督管理，督促各林业站每年至少组织一次对古树名木工作的检查。</w:t>
      </w:r>
    </w:p>
    <w:p w14:paraId="6119A68D">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第十五条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古树名木由负责认定的人民政府设立保护牌，并根据实际需要设置保护栏、避雷装置等相应的保护设施。</w:t>
      </w:r>
    </w:p>
    <w:p w14:paraId="08F4830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保护牌应当标明古树名木名称、学名、科名、树龄、保护级别、编号、养护责任单位或者个人、设置时间以及砍伐、擅自移植或者毁坏古树名木应当承担的法律责任等内容。捐资保护、认养古树名木的单位或者个人可以在古树名木保护牌中享有认养期限内的署名权。</w:t>
      </w:r>
    </w:p>
    <w:p w14:paraId="67F5DBED">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任何单位和个人不得擅自移动或者损毁古树名木保护牌及保护设施。</w:t>
      </w:r>
    </w:p>
    <w:p w14:paraId="0ECAE94D">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第十六条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禁止下列损害古树名木的行为：</w:t>
      </w:r>
    </w:p>
    <w:p w14:paraId="5D115193">
      <w:pPr>
        <w:pStyle w:val="11"/>
        <w:keepNext w:val="0"/>
        <w:keepLines w:val="0"/>
        <w:pageBreakBefore w:val="0"/>
        <w:widowControl w:val="0"/>
        <w:shd w:val="clear" w:color="auto" w:fill="auto"/>
        <w:tabs>
          <w:tab w:val="left" w:pos="1604"/>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8" w:name="bookmark21"/>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8"/>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一）砍伐；</w:t>
      </w:r>
    </w:p>
    <w:p w14:paraId="5C43B897">
      <w:pPr>
        <w:pStyle w:val="11"/>
        <w:keepNext w:val="0"/>
        <w:keepLines w:val="0"/>
        <w:pageBreakBefore w:val="0"/>
        <w:widowControl w:val="0"/>
        <w:shd w:val="clear" w:color="auto" w:fill="auto"/>
        <w:tabs>
          <w:tab w:val="left" w:pos="1604"/>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19" w:name="bookmark22"/>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19"/>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二）擅自移植；</w:t>
      </w:r>
    </w:p>
    <w:p w14:paraId="5736C3D5">
      <w:pPr>
        <w:pStyle w:val="11"/>
        <w:keepNext w:val="0"/>
        <w:keepLines w:val="0"/>
        <w:pageBreakBefore w:val="0"/>
        <w:widowControl w:val="0"/>
        <w:shd w:val="clear" w:color="auto" w:fill="auto"/>
        <w:tabs>
          <w:tab w:val="left" w:pos="1683"/>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0" w:name="bookmark23"/>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0"/>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ab/>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刻划、钉钉、剥损树皮、掘根、攀树、折枝、悬挂物品或者以古树名木为支撑物；</w:t>
      </w:r>
    </w:p>
    <w:p w14:paraId="034608D5">
      <w:pPr>
        <w:pStyle w:val="11"/>
        <w:keepNext w:val="0"/>
        <w:keepLines w:val="0"/>
        <w:pageBreakBefore w:val="0"/>
        <w:widowControl w:val="0"/>
        <w:shd w:val="clear" w:color="auto" w:fill="auto"/>
        <w:tabs>
          <w:tab w:val="left" w:pos="1678"/>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1" w:name="bookmark24"/>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1"/>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四）在距离古树名木树冠垂直投影5米范围内取土、采石、挖砂、烧火、排烟以及堆放和倾倒有毒有害物品；</w:t>
      </w:r>
    </w:p>
    <w:p w14:paraId="04AD2C8A">
      <w:pPr>
        <w:pStyle w:val="11"/>
        <w:keepNext w:val="0"/>
        <w:keepLines w:val="0"/>
        <w:pageBreakBefore w:val="0"/>
        <w:widowControl w:val="0"/>
        <w:shd w:val="clear" w:color="auto" w:fill="auto"/>
        <w:tabs>
          <w:tab w:val="left" w:pos="1604"/>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2" w:name="bookmark25"/>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2"/>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五）危害古树名木正常生长的其他行为。</w:t>
      </w:r>
    </w:p>
    <w:p w14:paraId="4FB3DFAC">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第十七条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建设项目影响古树名木正常生长的，建设单位应当在施工前制定古树名木保护方案，并按照古树名木保护级别报相应的林业行政主管部门审查。林业行政主管部门应当在收到保护方案后10日内作出审查决定，符合养护技术规范的，经审查同意后，由本级人民政府批准。</w:t>
      </w:r>
    </w:p>
    <w:p w14:paraId="72601983">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古树名木保护方案未经批准，建设单位不得开工建设。</w:t>
      </w:r>
    </w:p>
    <w:p w14:paraId="2FB5B41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第十八条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有下列情形之一的，可以对古树名木采取移植保护措施：</w:t>
      </w:r>
    </w:p>
    <w:p w14:paraId="3C974465">
      <w:pPr>
        <w:pStyle w:val="11"/>
        <w:keepNext w:val="0"/>
        <w:keepLines w:val="0"/>
        <w:pageBreakBefore w:val="0"/>
        <w:widowControl w:val="0"/>
        <w:shd w:val="clear" w:color="auto" w:fill="auto"/>
        <w:tabs>
          <w:tab w:val="left" w:pos="1698"/>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3" w:name="bookmark26"/>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3"/>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一）原生长环境不适宜古树名木继续生长，可能导致古树名木死亡的；</w:t>
      </w:r>
    </w:p>
    <w:p w14:paraId="08C27A54">
      <w:pPr>
        <w:pStyle w:val="11"/>
        <w:keepNext w:val="0"/>
        <w:keepLines w:val="0"/>
        <w:pageBreakBefore w:val="0"/>
        <w:widowControl w:val="0"/>
        <w:shd w:val="clear" w:color="auto" w:fill="auto"/>
        <w:tabs>
          <w:tab w:val="left" w:pos="1604"/>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4" w:name="bookmark27"/>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4"/>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二）建设项目无法避让的；</w:t>
      </w:r>
    </w:p>
    <w:p w14:paraId="1FC56D83">
      <w:pPr>
        <w:pStyle w:val="11"/>
        <w:keepNext w:val="0"/>
        <w:keepLines w:val="0"/>
        <w:pageBreakBefore w:val="0"/>
        <w:widowControl w:val="0"/>
        <w:shd w:val="clear" w:color="auto" w:fill="auto"/>
        <w:tabs>
          <w:tab w:val="left" w:pos="1604"/>
        </w:tabs>
        <w:kinsoku/>
        <w:wordWrap/>
        <w:overflowPunct/>
        <w:topLinePunct w:val="0"/>
        <w:autoSpaceDE/>
        <w:autoSpaceDN/>
        <w:bidi w:val="0"/>
        <w:adjustRightInd/>
        <w:snapToGrid/>
        <w:spacing w:before="0" w:after="0" w:line="578"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5" w:name="bookmark28"/>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5"/>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三）科学研究等特殊需要的。</w:t>
      </w:r>
    </w:p>
    <w:p w14:paraId="30E2CC8F">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古树名木的生长状况，可能对公众生命、财产安全造成危害的，区人民政府林业行政主管部门应当采取相应的防护措施。采取防护措施后，仍无法消除危害的，报经批准后予以移植。</w:t>
      </w:r>
    </w:p>
    <w:p w14:paraId="72B32C6F">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第十九条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移植古树名木，应当按照古树名木保护级别向相应的林业行政主管部门提出移植申请，并提交下列材料：</w:t>
      </w:r>
    </w:p>
    <w:p w14:paraId="5F8BAB09">
      <w:pPr>
        <w:pStyle w:val="11"/>
        <w:keepNext w:val="0"/>
        <w:keepLines w:val="0"/>
        <w:pageBreakBefore w:val="0"/>
        <w:widowControl w:val="0"/>
        <w:shd w:val="clear" w:color="auto" w:fill="auto"/>
        <w:tabs>
          <w:tab w:val="left" w:pos="1571"/>
        </w:tabs>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6" w:name="bookmark29"/>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6"/>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一）移植申请书；</w:t>
      </w:r>
    </w:p>
    <w:p w14:paraId="1790B7BA">
      <w:pPr>
        <w:pStyle w:val="11"/>
        <w:keepNext w:val="0"/>
        <w:keepLines w:val="0"/>
        <w:pageBreakBefore w:val="0"/>
        <w:widowControl w:val="0"/>
        <w:shd w:val="clear" w:color="auto" w:fill="auto"/>
        <w:tabs>
          <w:tab w:val="left" w:pos="1571"/>
        </w:tabs>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7" w:name="bookmark30"/>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7"/>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二）移植方案；</w:t>
      </w:r>
    </w:p>
    <w:p w14:paraId="6412EF92">
      <w:pPr>
        <w:pStyle w:val="11"/>
        <w:keepNext w:val="0"/>
        <w:keepLines w:val="0"/>
        <w:pageBreakBefore w:val="0"/>
        <w:widowControl w:val="0"/>
        <w:shd w:val="clear" w:color="auto" w:fill="auto"/>
        <w:tabs>
          <w:tab w:val="left" w:pos="1571"/>
        </w:tabs>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8" w:name="bookmark31"/>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8"/>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三）移入地有关单位或者个人出具的养护责任承诺书。</w:t>
      </w:r>
    </w:p>
    <w:p w14:paraId="3FDBE11D">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林业行政主管部门受理移植申请后，应当组织有关专家对移植方案的可行性进行论证，并在30日内审核完毕。经审核同意后，由有权机关依法批准；审核不同意或者不予批准的，应当书面告知申请人并说明理由。</w:t>
      </w:r>
    </w:p>
    <w:p w14:paraId="2FEE1140">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经批准移植的古树名木，由专业绿化作业单位按照批准的移植方案和移植地点实施移植。</w:t>
      </w:r>
    </w:p>
    <w:p w14:paraId="6A43963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移植古树名木的全部费用以及移植后5年内的恢复、养护费用由申请移植单位承担。</w:t>
      </w:r>
    </w:p>
    <w:p w14:paraId="2CCFF31C">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6"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第二十一条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古树名木死亡的，养护责任单位或者个人应当及时报告区林业行政主管部门。区林业行政主管部门应当在接到报告后5日内组织专业技术人员进行确认，查明原因和责任后注销登记，并报本级人民政府绿化委员会备案。</w:t>
      </w:r>
    </w:p>
    <w:p w14:paraId="2F1A0AB3">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6"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任何单位和个人不得擅自处理未经林业行政主管部门确认死亡的古树名木。</w:t>
      </w:r>
    </w:p>
    <w:p w14:paraId="426FBAAF">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6"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经林业行政主管部门确认死亡的古树名木具有景观价值的，可以采取相应措施处理后予以保护。</w:t>
      </w:r>
    </w:p>
    <w:p w14:paraId="17C0DDFF">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61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第二十二条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区林业行政主管部门应当建立举报制度，公布举报电话号码、通信地址或者电子邮件信箱。</w:t>
      </w:r>
    </w:p>
    <w:p w14:paraId="39B0E3CB">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任何单位或者个人均有权举报危害古树名木正常生长的违法行为。林业行政主管部门接到举报后，应当依法调查处理。</w:t>
      </w:r>
    </w:p>
    <w:p w14:paraId="0E5367E8">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3"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第二十三条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违反本办法第十二条第二款规定，古树名木养护责任单位或者个人因养护不善致使古树名木损伤的，由区政府林业行政主管部门责令改正，并在林业行政主管部门的指导下采取相应的救治措施；拒不采取救治措施的，由林业行政主管部门予以救治，并可处以1000元以上5000元以下的罚款。</w:t>
      </w:r>
    </w:p>
    <w:p w14:paraId="4A1A2B37">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9"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第二十四条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违反本办法第十五条第三款规定，擅自移动或者损毁古树名木保护牌及保护设施的，由区政府林业行政主管部门责令限期恢复原状；逾期未恢复原状的，由林业行政主管部门代为恢复原状，所需费用由责任人承担。</w:t>
      </w:r>
    </w:p>
    <w:p w14:paraId="486AAE5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4"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第二十五条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违反本办法第十六条第一项、第二项规定，砍伐或者擅自移植古树名木，未构成犯罪的，由区政府林业行政主管部门责令停止违法行为，没收古树名木，并处以古树名木价值1倍以上5倍以下的罚款；造成损失的，依法承担赔偿责任。</w:t>
      </w:r>
    </w:p>
    <w:p w14:paraId="3006E69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95"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第二十六条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违反本办法第十六条第三项、第四项规定，有下列行为之一的，由区政府林业行政主管部门责令停止违法行为、恢复原状或者采取补救措施，并可以按照下列规定处罚：</w:t>
      </w:r>
    </w:p>
    <w:p w14:paraId="69F8E1C2">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66"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sectPr>
          <w:footerReference r:id="rId7" w:type="default"/>
          <w:footnotePr>
            <w:numFmt w:val="decimal"/>
          </w:footnotePr>
          <w:type w:val="continuous"/>
          <w:pgSz w:w="11900" w:h="16840"/>
          <w:pgMar w:top="1440" w:right="1701" w:bottom="1440" w:left="1701" w:header="1134" w:footer="1134" w:gutter="0"/>
          <w:cols w:space="0" w:num="1"/>
          <w:rtlGutter w:val="0"/>
          <w:docGrid w:linePitch="360" w:charSpace="0"/>
        </w:sectPr>
      </w:pP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（一）刻划、钉钉、攀树、折枝、悬挂物品或者以古树名木为支撑物的，处以200元以上1000元以下的罚款；</w:t>
      </w:r>
    </w:p>
    <w:p w14:paraId="5BB69019">
      <w:pPr>
        <w:pStyle w:val="11"/>
        <w:keepNext w:val="0"/>
        <w:keepLines w:val="0"/>
        <w:pageBreakBefore w:val="0"/>
        <w:widowControl w:val="0"/>
        <w:shd w:val="clear" w:color="auto" w:fill="auto"/>
        <w:tabs>
          <w:tab w:val="left" w:pos="1678"/>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29" w:name="bookmark32"/>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29"/>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二）在距离古树名木树冠垂直投影5米范围内取土、采石、挖砂、烧火、排烟以及堆放和倾倒有毒有害物品的，处以1000元以上5000元以下的罚款；</w:t>
      </w:r>
    </w:p>
    <w:p w14:paraId="4795492D">
      <w:pPr>
        <w:pStyle w:val="11"/>
        <w:keepNext w:val="0"/>
        <w:keepLines w:val="0"/>
        <w:pageBreakBefore w:val="0"/>
        <w:widowControl w:val="0"/>
        <w:shd w:val="clear" w:color="auto" w:fill="auto"/>
        <w:tabs>
          <w:tab w:val="left" w:pos="1683"/>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30" w:name="bookmark33"/>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30"/>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三）剥损树皮、掘根的，处以2000元以上1万元以下的罚款。前款违法行为导致古树名木死亡的，依照本办法第二十五条规定处罚。</w:t>
      </w:r>
    </w:p>
    <w:p w14:paraId="54F05633">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第二十七条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违反本办法第十七条第二款规定，古树名木保护方案未经批准，建设单位擅自开工建设的，由区人民政府林业行政主管部门责令限期改正或者采取其他补救措施；造成古树名木死亡的，依照本办法第二十五条规定处罚。</w:t>
      </w:r>
    </w:p>
    <w:p w14:paraId="3EC0269A">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第二十八条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违反本办法第二十一条第二款规定，擅自处理未经林业行政主管部门确认死亡的古树名木的，由区人民政府林业行政主管部门没收违法所得，每株处以2000元以上1万元以下的罚款。</w:t>
      </w:r>
    </w:p>
    <w:p w14:paraId="49B4D46C">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default"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第二十九条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区林业行政主管部门违反本办法规定，有下列情形之一，未构成犯罪的，对直接负责的主管人员和其他直接责任人员依法给予行政处分：</w:t>
      </w:r>
    </w:p>
    <w:p w14:paraId="10454EC1">
      <w:pPr>
        <w:pStyle w:val="11"/>
        <w:keepNext w:val="0"/>
        <w:keepLines w:val="0"/>
        <w:pageBreakBefore w:val="0"/>
        <w:widowControl w:val="0"/>
        <w:shd w:val="clear" w:color="auto" w:fill="auto"/>
        <w:tabs>
          <w:tab w:val="left" w:pos="1596"/>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31" w:name="bookmark34"/>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31"/>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一）违反规定认定古树名木的；</w:t>
      </w:r>
    </w:p>
    <w:p w14:paraId="057B87DB">
      <w:pPr>
        <w:pStyle w:val="11"/>
        <w:keepNext w:val="0"/>
        <w:keepLines w:val="0"/>
        <w:pageBreakBefore w:val="0"/>
        <w:widowControl w:val="0"/>
        <w:shd w:val="clear" w:color="auto" w:fill="auto"/>
        <w:tabs>
          <w:tab w:val="left" w:pos="1596"/>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32" w:name="bookmark35"/>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32"/>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二）未依法履行古树名木保护与监督管理职责的；</w:t>
      </w:r>
    </w:p>
    <w:p w14:paraId="5A3A340A">
      <w:pPr>
        <w:pStyle w:val="11"/>
        <w:keepNext w:val="0"/>
        <w:keepLines w:val="0"/>
        <w:pageBreakBefore w:val="0"/>
        <w:widowControl w:val="0"/>
        <w:shd w:val="clear" w:color="auto" w:fill="auto"/>
        <w:tabs>
          <w:tab w:val="left" w:pos="1596"/>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33" w:name="bookmark36"/>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33"/>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三）违法批准移植古树名木的；</w:t>
      </w:r>
    </w:p>
    <w:p w14:paraId="2738FF72">
      <w:pPr>
        <w:pStyle w:val="11"/>
        <w:keepNext w:val="0"/>
        <w:keepLines w:val="0"/>
        <w:pageBreakBefore w:val="0"/>
        <w:widowControl w:val="0"/>
        <w:shd w:val="clear" w:color="auto" w:fill="auto"/>
        <w:tabs>
          <w:tab w:val="left" w:pos="1596"/>
        </w:tabs>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bookmarkStart w:id="34" w:name="bookmark37"/>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w:t>
      </w:r>
      <w:bookmarkEnd w:id="34"/>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四）其他滥用职权、徇私舞弊、玩忽职守行为的。</w:t>
      </w:r>
    </w:p>
    <w:p w14:paraId="29AF5CB9">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580" w:lineRule="exact"/>
        <w:ind w:left="0" w:right="0" w:firstLine="680"/>
        <w:jc w:val="both"/>
        <w:textAlignment w:val="auto"/>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pP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rPr>
        <w:t>第三十条</w:t>
      </w:r>
      <w:r>
        <w:rPr>
          <w:rFonts w:hint="eastAsia" w:ascii="方正黑体_GBK" w:hAnsi="方正黑体_GBK" w:eastAsia="方正黑体_GBK" w:cs="方正黑体_GBK"/>
          <w:b w:val="0"/>
          <w:bCs w:val="0"/>
          <w:i w:val="0"/>
          <w:iCs w:val="0"/>
          <w:smallCaps w:val="0"/>
          <w:strike w:val="0"/>
          <w:snapToGrid w:val="0"/>
          <w:color w:val="000000"/>
          <w:spacing w:val="0"/>
          <w:w w:val="100"/>
          <w:kern w:val="0"/>
          <w:position w:val="0"/>
          <w:sz w:val="32"/>
          <w:szCs w:val="32"/>
          <w:u w:val="none"/>
          <w:shd w:val="clear"/>
          <w:lang w:val="en-US" w:eastAsia="zh-CN"/>
        </w:rPr>
        <w:t xml:space="preserve">   </w:t>
      </w:r>
      <w:r>
        <w:rPr>
          <w:rFonts w:hint="default" w:ascii="Times New Roman" w:hAnsi="Times New Roman" w:eastAsia="方正仿宋_GBK" w:cs="Times New Roman"/>
          <w:b w:val="0"/>
          <w:bCs w:val="0"/>
          <w:i w:val="0"/>
          <w:iCs w:val="0"/>
          <w:smallCaps w:val="0"/>
          <w:strike w:val="0"/>
          <w:snapToGrid w:val="0"/>
          <w:color w:val="000000"/>
          <w:spacing w:val="0"/>
          <w:w w:val="100"/>
          <w:kern w:val="0"/>
          <w:position w:val="0"/>
          <w:sz w:val="32"/>
          <w:szCs w:val="32"/>
          <w:u w:val="none"/>
          <w:shd w:val="clear"/>
        </w:rPr>
        <w:t>本办法自2011年1月1日起施行。</w:t>
      </w:r>
    </w:p>
    <w:sectPr>
      <w:footerReference r:id="rId8" w:type="default"/>
      <w:footnotePr>
        <w:numFmt w:val="decimal"/>
      </w:footnotePr>
      <w:type w:val="continuous"/>
      <w:pgSz w:w="11900" w:h="16840"/>
      <w:pgMar w:top="1440" w:right="1701" w:bottom="1440" w:left="1701" w:header="1134" w:footer="1134"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1" w:fontKey="{C2B6D877-448C-4DE9-B537-8BC908271057}"/>
  </w:font>
  <w:font w:name="方正小标宋_GBK">
    <w:panose1 w:val="02000000000000000000"/>
    <w:charset w:val="86"/>
    <w:family w:val="auto"/>
    <w:pitch w:val="default"/>
    <w:sig w:usb0="A00002BF" w:usb1="38CF7CFA" w:usb2="00082016" w:usb3="00000000" w:csb0="00040001" w:csb1="00000000"/>
    <w:embedRegular r:id="rId2" w:fontKey="{41E1083F-59E0-4FB2-8C76-F025D4DC1CDC}"/>
  </w:font>
  <w:font w:name="方正仿宋_GBK">
    <w:panose1 w:val="02000000000000000000"/>
    <w:charset w:val="86"/>
    <w:family w:val="auto"/>
    <w:pitch w:val="default"/>
    <w:sig w:usb0="A00002BF" w:usb1="38CF7CFA" w:usb2="00082016" w:usb3="00000000" w:csb0="00040001" w:csb1="00000000"/>
    <w:embedRegular r:id="rId3" w:fontKey="{64D7CCBC-9B70-4601-BC84-D1E152229226}"/>
  </w:font>
  <w:font w:name="方正黑体_GBK">
    <w:panose1 w:val="02010600010101010101"/>
    <w:charset w:val="86"/>
    <w:family w:val="auto"/>
    <w:pitch w:val="default"/>
    <w:sig w:usb0="00000001" w:usb1="080E0000" w:usb2="00000000" w:usb3="00000000" w:csb0="00040000" w:csb1="00000000"/>
    <w:embedRegular r:id="rId4" w:fontKey="{CA83142E-47A5-496F-8070-F3847AC2D65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2D7B">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eastAsia="宋体"/>
        <w:sz w:val="28"/>
        <w:szCs w:val="28"/>
        <w:lang w:eastAsia="zh-CN"/>
      </w:rPr>
    </w:pPr>
    <w:r>
      <w:rPr>
        <w:sz w:val="28"/>
      </w:rPr>
      <mc:AlternateContent>
        <mc:Choice Requires="wps">
          <w:drawing>
            <wp:anchor distT="0" distB="0" distL="114300" distR="114300" simplePos="0" relativeHeight="251663360"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1FDC4B">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3360;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JV8C1QAAAAgBAAAPAAAAAAAAAAEAIAAAACIAAABkcnMvZG93bnJldi54bWxQ&#10;SwECFAAUAAAACACHTuJAYa2EcjMCAABjBAAADgAAAAAAAAABACAAAAAkAQAAZHJzL2Uyb0RvYy54&#10;bWxQSwUGAAAAAAYABgBZAQAAyQUAAAAA&#10;">
              <v:fill on="f" focussize="0,0"/>
              <v:stroke on="f" weight="0.5pt"/>
              <v:imagedata o:title=""/>
              <o:lock v:ext="edit" aspectratio="f"/>
              <v:textbox inset="0mm,0mm,0mm,0mm" style="mso-fit-shape-to-text:t;">
                <w:txbxContent>
                  <w:p w14:paraId="611FDC4B">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v:textbox>
            </v:shape>
          </w:pict>
        </mc:Fallback>
      </mc:AlternateContent>
    </w:r>
  </w:p>
  <w:p w14:paraId="119930B6">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2336"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12" name="直接连接符 12"/>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2336;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lOXYM0gAAAAUBAAAPAAAAAAAAAAEAIAAAACIAAABkcnMvZG93bnJldi54&#10;bWxQSwECFAAUAAAACACHTuJATzC/GAACAADhAwAADgAAAAAAAAABACAAAAAhAQAAZHJzL2Uyb0Rv&#10;Yy54bWxQSwUGAAAAAAYABgBZAQAAkwU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p w14:paraId="6AD29319">
    <w:pPr>
      <w:widowControl w:val="0"/>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4D0EC">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eastAsia="宋体"/>
        <w:sz w:val="28"/>
        <w:szCs w:val="28"/>
        <w:lang w:eastAsia="zh-CN"/>
      </w:rPr>
    </w:pPr>
    <w:r>
      <w:rPr>
        <w:sz w:val="28"/>
      </w:rPr>
      <mc:AlternateContent>
        <mc:Choice Requires="wps">
          <w:drawing>
            <wp:anchor distT="0" distB="0" distL="114300" distR="114300" simplePos="0" relativeHeight="251665408"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BCD85">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5408;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9YuHZDICAABhBAAADgAAAGRycy9lMm9Eb2MueG1srVTNjtMw&#10;EL4j8Q6W7zRpEbtV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D1i4dkMgIAAGEEAAAOAAAAAAAAAAEAIAAAACQBAABkcnMvZTJvRG9jLnht&#10;bFBLBQYAAAAABgAGAFkBAADIBQAAAAA=&#10;">
              <v:fill on="f" focussize="0,0"/>
              <v:stroke on="f" weight="0.5pt"/>
              <v:imagedata o:title=""/>
              <o:lock v:ext="edit" aspectratio="f"/>
              <v:textbox inset="0mm,0mm,0mm,0mm" style="mso-fit-shape-to-text:t;">
                <w:txbxContent>
                  <w:p w14:paraId="416BCD85">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v:textbox>
            </v:shape>
          </w:pict>
        </mc:Fallback>
      </mc:AlternateContent>
    </w:r>
  </w:p>
  <w:p w14:paraId="649FFE23">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4384"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8" name="直接连接符 8"/>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4384;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U5dgzSAAAABQEAAA8AAAAAAAAAAQAgAAAAIgAAAGRycy9kb3ducmV2Lnht&#10;bFBLAQIUABQAAAAIAIdO4kCtwpU+/wEAAN8DAAAOAAAAAAAAAAEAIAAAACEBAABkcnMvZTJvRG9j&#10;LnhtbFBLBQYAAAAABgAGAFkBAACS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p w14:paraId="32B5BC33">
    <w:pPr>
      <w:widowControl w:val="0"/>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89DE8">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eastAsia="宋体"/>
        <w:sz w:val="28"/>
        <w:szCs w:val="28"/>
        <w:lang w:eastAsia="zh-CN"/>
      </w:rPr>
    </w:pPr>
    <w:r>
      <w:rPr>
        <w:sz w:val="28"/>
      </w:rPr>
      <mc:AlternateContent>
        <mc:Choice Requires="wps">
          <w:drawing>
            <wp:anchor distT="0" distB="0" distL="114300" distR="114300" simplePos="0" relativeHeight="251667456"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9F11F">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7456;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ApUg9DICAABhBAAADgAAAGRycy9lMm9Eb2MueG1srVTNjtMw&#10;EL4j8Q6W7zRpEatu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AClSD0MgIAAGEEAAAOAAAAAAAAAAEAIAAAACQBAABkcnMvZTJvRG9jLnht&#10;bFBLBQYAAAAABgAGAFkBAADIBQAAAAA=&#10;">
              <v:fill on="f" focussize="0,0"/>
              <v:stroke on="f" weight="0.5pt"/>
              <v:imagedata o:title=""/>
              <o:lock v:ext="edit" aspectratio="f"/>
              <v:textbox inset="0mm,0mm,0mm,0mm" style="mso-fit-shape-to-text:t;">
                <w:txbxContent>
                  <w:p w14:paraId="20D9F11F">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v:textbox>
            </v:shape>
          </w:pict>
        </mc:Fallback>
      </mc:AlternateContent>
    </w:r>
  </w:p>
  <w:p w14:paraId="4BB3EA35">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6432" behindDoc="0" locked="0" layoutInCell="1" allowOverlap="1">
              <wp:simplePos x="0" y="0"/>
              <wp:positionH relativeFrom="column">
                <wp:posOffset>13970</wp:posOffset>
              </wp:positionH>
              <wp:positionV relativeFrom="paragraph">
                <wp:posOffset>7620</wp:posOffset>
              </wp:positionV>
              <wp:extent cx="5430520" cy="0"/>
              <wp:effectExtent l="0" t="0" r="0" b="0"/>
              <wp:wrapNone/>
              <wp:docPr id="10" name="直接连接符 10"/>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pt;margin-top:0.6pt;height:0pt;width:427.6pt;z-index:251666432;mso-width-relative:page;mso-height-relative:page;" filled="f" stroked="t" coordsize="21600,21600" o:gfxdata="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ZTl2DNIAAAAFAQAADwAAAAAAAAABACAAAAAiAAAAZHJzL2Rvd25yZXYueG1s&#10;UEsBAhQAFAAAAAgAh07iQLCcXo/+AQAA4QMAAA4AAAAAAAAAAQAgAAAAIQEAAGRycy9lMm9Eb2Mu&#10;eG1sUEsFBgAAAAAGAAYAWQEAAJEFA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w:t>
    </w:r>
    <w:r>
      <w:rPr>
        <w:rFonts w:hint="eastAsia" w:eastAsia="宋体"/>
        <w:sz w:val="28"/>
        <w:szCs w:val="28"/>
        <w:lang w:eastAsia="zh-CN"/>
      </w:rPr>
      <w:t>办公室</w:t>
    </w:r>
    <w:r>
      <w:rPr>
        <w:rFonts w:hint="eastAsia"/>
        <w:sz w:val="28"/>
        <w:szCs w:val="28"/>
      </w:rPr>
      <w:t>发</w:t>
    </w:r>
    <w:r>
      <w:rPr>
        <w:rFonts w:hint="eastAsia" w:eastAsia="宋体"/>
        <w:sz w:val="28"/>
        <w:szCs w:val="28"/>
        <w:lang w:eastAsia="zh-CN"/>
      </w:rPr>
      <w:t>布</w:t>
    </w:r>
  </w:p>
  <w:p w14:paraId="6316DC63">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6628765</wp:posOffset>
              </wp:positionH>
              <wp:positionV relativeFrom="page">
                <wp:posOffset>9958070</wp:posOffset>
              </wp:positionV>
              <wp:extent cx="45720" cy="79375"/>
              <wp:effectExtent l="0" t="0" r="0" b="0"/>
              <wp:wrapNone/>
              <wp:docPr id="5" name="Shape 5"/>
              <wp:cNvGraphicFramePr/>
              <a:graphic xmlns:a="http://schemas.openxmlformats.org/drawingml/2006/main">
                <a:graphicData uri="http://schemas.microsoft.com/office/word/2010/wordprocessingShape">
                  <wps:wsp>
                    <wps:cNvSpPr txBox="1"/>
                    <wps:spPr>
                      <a:xfrm>
                        <a:off x="0" y="0"/>
                        <a:ext cx="45720" cy="79375"/>
                      </a:xfrm>
                      <a:prstGeom prst="rect">
                        <a:avLst/>
                      </a:prstGeom>
                      <a:noFill/>
                    </wps:spPr>
                    <wps:txbx>
                      <w:txbxContent>
                        <w:p w14:paraId="79A5B553">
                          <w:pPr>
                            <w:pStyle w:val="1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9</w:t>
                          </w:r>
                        </w:p>
                      </w:txbxContent>
                    </wps:txbx>
                    <wps:bodyPr wrap="none" lIns="0" tIns="0" rIns="0" bIns="0">
                      <a:spAutoFit/>
                    </wps:bodyPr>
                  </wps:wsp>
                </a:graphicData>
              </a:graphic>
            </wp:anchor>
          </w:drawing>
        </mc:Choice>
        <mc:Fallback>
          <w:pict>
            <v:shape id="Shape 5" o:spid="_x0000_s1026" o:spt="202" type="#_x0000_t202" style="position:absolute;left:0pt;margin-left:521.95pt;margin-top:784.1pt;height:6.25pt;width:3.6pt;mso-position-horizontal-relative:page;mso-position-vertical-relative:page;mso-wrap-style:none;z-index:-251657216;mso-width-relative:page;mso-height-relative:page;" filled="f" stroked="f" coordsize="21600,21600" o:gfxdata="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cZ9K7tkA&#10;AAAPAQAADwAAAAAAAAABACAAAAAiAAAAZHJzL2Rvd25yZXYueG1sUEsBAhQAFAAAAAgAh07iQB4i&#10;h8OsAQAAbQMAAA4AAAAAAAAAAQAgAAAAKAEAAGRycy9lMm9Eb2MueG1sUEsFBgAAAAAGAAYAWQEA&#10;AEYFAAAAAA==&#10;">
              <v:fill on="f" focussize="0,0"/>
              <v:stroke on="f"/>
              <v:imagedata o:title=""/>
              <o:lock v:ext="edit" aspectratio="f"/>
              <v:textbox inset="0mm,0mm,0mm,0mm" style="mso-fit-shape-to-text:t;">
                <w:txbxContent>
                  <w:p w14:paraId="79A5B553">
                    <w:pPr>
                      <w:pStyle w:val="1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9</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p>
  </w:footnote>
  <w:footnote w:type="continuationSeparator" w:id="1">
    <w:p>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20F8">
    <w:pPr>
      <w:pStyle w:val="3"/>
      <w:ind w:firstLine="540" w:firstLineChars="300"/>
      <w:jc w:val="left"/>
      <w:rPr>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31115</wp:posOffset>
          </wp:positionH>
          <wp:positionV relativeFrom="paragraph">
            <wp:posOffset>-26035</wp:posOffset>
          </wp:positionV>
          <wp:extent cx="276860" cy="290195"/>
          <wp:effectExtent l="0" t="0" r="8890" b="14605"/>
          <wp:wrapTight wrapText="bothSides">
            <wp:wrapPolygon>
              <wp:start x="0" y="0"/>
              <wp:lineTo x="0" y="19851"/>
              <wp:lineTo x="20114" y="19851"/>
              <wp:lineTo x="20114" y="0"/>
              <wp:lineTo x="0" y="0"/>
            </wp:wrapPolygon>
          </wp:wrapTight>
          <wp:docPr id="4"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国徽"/>
                  <pic:cNvPicPr>
                    <a:picLocks noChangeAspect="1"/>
                  </pic:cNvPicPr>
                </pic:nvPicPr>
                <pic:blipFill>
                  <a:blip r:embed="rId1"/>
                  <a:stretch>
                    <a:fillRect/>
                  </a:stretch>
                </pic:blipFill>
                <pic:spPr>
                  <a:xfrm>
                    <a:off x="0" y="0"/>
                    <a:ext cx="276860" cy="290195"/>
                  </a:xfrm>
                  <a:prstGeom prst="rect">
                    <a:avLst/>
                  </a:prstGeom>
                  <a:noFill/>
                  <a:ln>
                    <a:noFill/>
                  </a:ln>
                </pic:spPr>
              </pic:pic>
            </a:graphicData>
          </a:graphic>
        </wp:anchor>
      </w:drawing>
    </w:r>
    <w:r>
      <w:rPr>
        <w:rFonts w:hint="eastAsia"/>
        <w:sz w:val="32"/>
        <w:szCs w:val="32"/>
      </w:rPr>
      <w:t>贵池区人民政府</w:t>
    </w:r>
    <w:r>
      <w:rPr>
        <w:rFonts w:hint="eastAsia" w:eastAsia="宋体"/>
        <w:sz w:val="32"/>
        <w:szCs w:val="32"/>
        <w:lang w:val="en-US" w:eastAsia="zh-CN"/>
      </w:rPr>
      <w:t>办公室</w:t>
    </w:r>
    <w:r>
      <w:rPr>
        <w:rFonts w:hint="eastAsia"/>
        <w:sz w:val="32"/>
        <w:szCs w:val="32"/>
      </w:rPr>
      <w:t>行政规范性文件</w:t>
    </w:r>
  </w:p>
  <w:p w14:paraId="7A094393">
    <w:pPr>
      <w:pStyle w:val="3"/>
      <w:rPr>
        <w:rFonts w:ascii="Arial"/>
        <w:sz w:val="2"/>
      </w:rPr>
    </w:pPr>
    <w:r>
      <w:rPr>
        <w:sz w:val="18"/>
      </w:rPr>
      <mc:AlternateContent>
        <mc:Choice Requires="wps">
          <w:drawing>
            <wp:anchor distT="0" distB="0" distL="114300" distR="114300" simplePos="0" relativeHeight="251661312" behindDoc="0" locked="0" layoutInCell="1" allowOverlap="1">
              <wp:simplePos x="0" y="0"/>
              <wp:positionH relativeFrom="column">
                <wp:posOffset>-6350</wp:posOffset>
              </wp:positionH>
              <wp:positionV relativeFrom="paragraph">
                <wp:posOffset>60325</wp:posOffset>
              </wp:positionV>
              <wp:extent cx="5371465" cy="0"/>
              <wp:effectExtent l="0" t="0" r="0" b="0"/>
              <wp:wrapNone/>
              <wp:docPr id="6" name="直接连接符 6"/>
              <wp:cNvGraphicFramePr/>
              <a:graphic xmlns:a="http://schemas.openxmlformats.org/drawingml/2006/main">
                <a:graphicData uri="http://schemas.microsoft.com/office/word/2010/wordprocessingShape">
                  <wps:wsp>
                    <wps:cNvCnPr/>
                    <wps:spPr>
                      <a:xfrm>
                        <a:off x="1104265" y="1086485"/>
                        <a:ext cx="537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5pt;margin-top:4.75pt;height:0pt;width:422.95pt;z-index:251661312;mso-width-relative:page;mso-height-relative:page;" filled="f" stroked="t" coordsize="21600,21600" o:gfxdata="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tCQQ1AAAAAYBAAAPAAAAAAAAAAEAIAAAACIAAABkcnMvZG93bnJldi54&#10;bWxQSwECFAAUAAAACACHTuJAf6TwgP4BAADfAwAADgAAAAAAAAABACAAAAAjAQAAZHJzL2Uyb0Rv&#10;Yy54bWxQSwUGAAAAAAYABgBZAQAAkwUAAAAA&#10;">
              <v:fill on="f" focussize="0,0"/>
              <v:stroke color="#000000 [3200]" joinstyle="round"/>
              <v:imagedata o:title=""/>
              <o:lock v:ext="edit" aspectratio="f"/>
            </v:line>
          </w:pict>
        </mc:Fallback>
      </mc:AlternateContent>
    </w:r>
  </w:p>
  <w:p w14:paraId="541CAE93">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
  <w:docVars>
    <w:docVar w:name="commondata" w:val="eyJoZGlkIjoiMzY4OWI5ZDA4ZGYzYjBlODIwMzg0MmQ0MjJiMTViNTkifQ=="/>
  </w:docVars>
  <w:rsids>
    <w:rsidRoot w:val="00000000"/>
    <w:rsid w:val="0816634D"/>
    <w:rsid w:val="13215C5C"/>
    <w:rsid w:val="14A42426"/>
    <w:rsid w:val="193F10D6"/>
    <w:rsid w:val="48895562"/>
    <w:rsid w:val="5EE27322"/>
    <w:rsid w:val="606B48EC"/>
    <w:rsid w:val="720E0702"/>
    <w:rsid w:val="78CD72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5">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Heading #1|1_"/>
    <w:basedOn w:val="5"/>
    <w:link w:val="7"/>
    <w:qFormat/>
    <w:uiPriority w:val="0"/>
    <w:rPr>
      <w:rFonts w:ascii="宋体" w:hAnsi="宋体" w:eastAsia="宋体" w:cs="宋体"/>
      <w:color w:val="FF0000"/>
      <w:sz w:val="168"/>
      <w:szCs w:val="168"/>
      <w:u w:val="none"/>
      <w:shd w:val="clear" w:color="auto" w:fill="auto"/>
      <w:lang w:val="zh-TW" w:eastAsia="zh-TW" w:bidi="zh-TW"/>
    </w:rPr>
  </w:style>
  <w:style w:type="paragraph" w:customStyle="1" w:styleId="7">
    <w:name w:val="Heading #1|1"/>
    <w:basedOn w:val="1"/>
    <w:link w:val="6"/>
    <w:qFormat/>
    <w:uiPriority w:val="0"/>
    <w:pPr>
      <w:widowControl w:val="0"/>
      <w:shd w:val="clear" w:color="auto" w:fill="auto"/>
      <w:spacing w:before="1020" w:after="580"/>
      <w:jc w:val="right"/>
      <w:outlineLvl w:val="0"/>
    </w:pPr>
    <w:rPr>
      <w:rFonts w:ascii="宋体" w:hAnsi="宋体" w:eastAsia="宋体" w:cs="宋体"/>
      <w:color w:val="FF0000"/>
      <w:sz w:val="168"/>
      <w:szCs w:val="168"/>
      <w:u w:val="none"/>
      <w:shd w:val="clear" w:color="auto" w:fill="auto"/>
      <w:lang w:val="zh-TW" w:eastAsia="zh-TW" w:bidi="zh-TW"/>
    </w:rPr>
  </w:style>
  <w:style w:type="character" w:customStyle="1" w:styleId="8">
    <w:name w:val="Header or footer|2_"/>
    <w:basedOn w:val="5"/>
    <w:link w:val="9"/>
    <w:qFormat/>
    <w:uiPriority w:val="0"/>
    <w:rPr>
      <w:sz w:val="20"/>
      <w:szCs w:val="20"/>
      <w:u w:val="none"/>
      <w:shd w:val="clear" w:color="auto" w:fill="auto"/>
      <w:lang w:val="zh-TW" w:eastAsia="zh-TW" w:bidi="zh-TW"/>
    </w:rPr>
  </w:style>
  <w:style w:type="paragraph" w:customStyle="1" w:styleId="9">
    <w:name w:val="Header or footer|2"/>
    <w:basedOn w:val="1"/>
    <w:link w:val="8"/>
    <w:qFormat/>
    <w:uiPriority w:val="0"/>
    <w:pPr>
      <w:widowControl w:val="0"/>
      <w:shd w:val="clear" w:color="auto" w:fill="auto"/>
    </w:pPr>
    <w:rPr>
      <w:sz w:val="20"/>
      <w:szCs w:val="20"/>
      <w:u w:val="none"/>
      <w:shd w:val="clear" w:color="auto" w:fill="auto"/>
      <w:lang w:val="zh-TW" w:eastAsia="zh-TW" w:bidi="zh-TW"/>
    </w:rPr>
  </w:style>
  <w:style w:type="character" w:customStyle="1" w:styleId="10">
    <w:name w:val="Body text|1_"/>
    <w:basedOn w:val="5"/>
    <w:link w:val="11"/>
    <w:qFormat/>
    <w:uiPriority w:val="0"/>
    <w:rPr>
      <w:rFonts w:ascii="宋体" w:hAnsi="宋体" w:eastAsia="宋体" w:cs="宋体"/>
      <w:sz w:val="30"/>
      <w:szCs w:val="30"/>
      <w:u w:val="none"/>
      <w:shd w:val="clear" w:color="auto" w:fill="auto"/>
      <w:lang w:val="zh-TW" w:eastAsia="zh-TW" w:bidi="zh-TW"/>
    </w:rPr>
  </w:style>
  <w:style w:type="paragraph" w:customStyle="1" w:styleId="11">
    <w:name w:val="Body text|1"/>
    <w:basedOn w:val="1"/>
    <w:link w:val="10"/>
    <w:qFormat/>
    <w:uiPriority w:val="0"/>
    <w:pPr>
      <w:widowControl w:val="0"/>
      <w:shd w:val="clear" w:color="auto" w:fill="auto"/>
      <w:spacing w:line="408" w:lineRule="auto"/>
      <w:ind w:firstLine="400"/>
    </w:pPr>
    <w:rPr>
      <w:rFonts w:ascii="宋体" w:hAnsi="宋体" w:eastAsia="宋体" w:cs="宋体"/>
      <w:sz w:val="30"/>
      <w:szCs w:val="30"/>
      <w:u w:val="none"/>
      <w:shd w:val="clear" w:color="auto" w:fill="auto"/>
      <w:lang w:val="zh-TW" w:eastAsia="zh-TW" w:bidi="zh-TW"/>
    </w:rPr>
  </w:style>
  <w:style w:type="character" w:customStyle="1" w:styleId="12">
    <w:name w:val="Heading #2|1_"/>
    <w:basedOn w:val="5"/>
    <w:link w:val="13"/>
    <w:qFormat/>
    <w:uiPriority w:val="0"/>
    <w:rPr>
      <w:rFonts w:ascii="宋体" w:hAnsi="宋体" w:eastAsia="宋体" w:cs="宋体"/>
      <w:sz w:val="42"/>
      <w:szCs w:val="42"/>
      <w:u w:val="none"/>
      <w:shd w:val="clear" w:color="auto" w:fill="auto"/>
      <w:lang w:val="zh-TW" w:eastAsia="zh-TW" w:bidi="zh-TW"/>
    </w:rPr>
  </w:style>
  <w:style w:type="paragraph" w:customStyle="1" w:styleId="13">
    <w:name w:val="Heading #2|1"/>
    <w:basedOn w:val="1"/>
    <w:link w:val="12"/>
    <w:qFormat/>
    <w:uiPriority w:val="0"/>
    <w:pPr>
      <w:widowControl w:val="0"/>
      <w:shd w:val="clear" w:color="auto" w:fill="auto"/>
      <w:spacing w:after="520" w:line="696" w:lineRule="exact"/>
      <w:jc w:val="center"/>
      <w:outlineLvl w:val="1"/>
    </w:pPr>
    <w:rPr>
      <w:rFonts w:ascii="宋体" w:hAnsi="宋体" w:eastAsia="宋体" w:cs="宋体"/>
      <w:sz w:val="42"/>
      <w:szCs w:val="42"/>
      <w:u w:val="none"/>
      <w:shd w:val="clear" w:color="auto" w:fill="auto"/>
      <w:lang w:val="zh-TW" w:eastAsia="zh-TW" w:bidi="zh-TW"/>
    </w:rPr>
  </w:style>
  <w:style w:type="character" w:customStyle="1" w:styleId="14">
    <w:name w:val="Heading #3|1_"/>
    <w:basedOn w:val="5"/>
    <w:link w:val="15"/>
    <w:qFormat/>
    <w:uiPriority w:val="0"/>
    <w:rPr>
      <w:rFonts w:ascii="宋体" w:hAnsi="宋体" w:eastAsia="宋体" w:cs="宋体"/>
      <w:b/>
      <w:bCs/>
      <w:sz w:val="44"/>
      <w:szCs w:val="44"/>
      <w:u w:val="none"/>
      <w:shd w:val="clear" w:color="auto" w:fill="auto"/>
      <w:lang w:val="zh-TW" w:eastAsia="zh-TW" w:bidi="zh-TW"/>
    </w:rPr>
  </w:style>
  <w:style w:type="paragraph" w:customStyle="1" w:styleId="15">
    <w:name w:val="Heading #3|1"/>
    <w:basedOn w:val="1"/>
    <w:link w:val="14"/>
    <w:qFormat/>
    <w:uiPriority w:val="0"/>
    <w:pPr>
      <w:widowControl w:val="0"/>
      <w:shd w:val="clear" w:color="auto" w:fill="auto"/>
      <w:spacing w:after="440"/>
      <w:jc w:val="center"/>
      <w:outlineLvl w:val="2"/>
    </w:pPr>
    <w:rPr>
      <w:rFonts w:ascii="宋体" w:hAnsi="宋体" w:eastAsia="宋体" w:cs="宋体"/>
      <w:b/>
      <w:bCs/>
      <w:sz w:val="44"/>
      <w:szCs w:val="44"/>
      <w:u w:val="none"/>
      <w:shd w:val="clear" w:color="auto" w:fill="auto"/>
      <w:lang w:val="zh-TW" w:eastAsia="zh-TW" w:bidi="zh-TW"/>
    </w:rPr>
  </w:style>
  <w:style w:type="character" w:customStyle="1" w:styleId="16">
    <w:name w:val="Header or footer|1_"/>
    <w:basedOn w:val="5"/>
    <w:link w:val="17"/>
    <w:qFormat/>
    <w:uiPriority w:val="0"/>
    <w:rPr>
      <w:sz w:val="18"/>
      <w:szCs w:val="18"/>
      <w:u w:val="none"/>
      <w:shd w:val="clear" w:color="auto" w:fill="auto"/>
      <w:lang w:val="zh-TW" w:eastAsia="zh-TW" w:bidi="zh-TW"/>
    </w:rPr>
  </w:style>
  <w:style w:type="paragraph" w:customStyle="1" w:styleId="17">
    <w:name w:val="Header or footer|1"/>
    <w:basedOn w:val="1"/>
    <w:link w:val="16"/>
    <w:qFormat/>
    <w:uiPriority w:val="0"/>
    <w:pPr>
      <w:widowControl w:val="0"/>
      <w:shd w:val="clear" w:color="auto" w:fill="auto"/>
      <w:jc w:val="right"/>
    </w:pPr>
    <w:rPr>
      <w:sz w:val="18"/>
      <w:szCs w:val="18"/>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2.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4064</Words>
  <Characters>4113</Characters>
  <TotalTime>2</TotalTime>
  <ScaleCrop>false</ScaleCrop>
  <LinksUpToDate>false</LinksUpToDate>
  <CharactersWithSpaces>4215</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2022-11-04T09:01:00Z</dcterms:created>
  <dc:creator>微软用户</dc:creator>
  <cp:lastModifiedBy>KevinWang</cp:lastModifiedBy>
  <cp:lastPrinted>2022-11-04T09:01:00Z</cp:lastPrinted>
  <dcterms:modified xsi:type="dcterms:W3CDTF">2024-12-24T02:02:33Z</dcterms:modified>
  <dc:title>   贵池区古树名木保护管理办法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A06E0B6D58D4444D9A20834BE810054B</vt:lpwstr>
  </property>
</Properties>
</file>